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2D8B" w14:textId="77777777" w:rsidR="007034A5" w:rsidRPr="00D407AE" w:rsidRDefault="00E86DCD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K</w:t>
      </w:r>
      <w:r w:rsidR="000F45DC" w:rsidRPr="00D407AE">
        <w:rPr>
          <w:rFonts w:ascii="Arial Narrow" w:hAnsi="Arial Narrow" w:cstheme="minorHAnsi"/>
          <w:sz w:val="22"/>
          <w:szCs w:val="22"/>
        </w:rPr>
        <w:t>Ú</w:t>
      </w:r>
      <w:r w:rsidRPr="00D407AE">
        <w:rPr>
          <w:rFonts w:ascii="Arial Narrow" w:hAnsi="Arial Narrow" w:cstheme="minorHAnsi"/>
          <w:sz w:val="22"/>
          <w:szCs w:val="22"/>
        </w:rPr>
        <w:t>PNA ZMLUVA</w:t>
      </w:r>
      <w:r w:rsidR="007034A5"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0F06DE94" w14:textId="77777777" w:rsidR="007034A5" w:rsidRPr="00D407AE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uzatvorená podľa § 409  a nasl. zák. č. 513/1991 Zb. Obchodný zákonník, </w:t>
      </w:r>
      <w:r w:rsidR="007B0523" w:rsidRPr="00D407AE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D407AE">
        <w:rPr>
          <w:rFonts w:ascii="Arial Narrow" w:hAnsi="Arial Narrow" w:cstheme="minorHAnsi"/>
          <w:sz w:val="22"/>
          <w:szCs w:val="22"/>
        </w:rPr>
        <w:t>predpisov (ďalej len „Zmluva“)</w:t>
      </w:r>
    </w:p>
    <w:p w14:paraId="15958645" w14:textId="77777777" w:rsidR="007034A5" w:rsidRPr="00D407AE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14:paraId="244CC8E1" w14:textId="77777777" w:rsidR="007034A5" w:rsidRPr="00D407AE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14:paraId="30C321FA" w14:textId="77777777" w:rsidR="007034A5" w:rsidRPr="00D407AE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D407AE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D407AE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14:paraId="6966BA84" w14:textId="77777777" w:rsidR="007034A5" w:rsidRPr="00D407AE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D407AE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D407AE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14:paraId="250E4B9F" w14:textId="77777777" w:rsidR="004C52F2" w:rsidRPr="00D407AE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>v zastúpení:</w:t>
      </w:r>
      <w:r w:rsidR="0008584F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D407AE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D407AE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D407AE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D407AE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D407AE">
        <w:rPr>
          <w:rFonts w:ascii="Arial Narrow" w:hAnsi="Arial Narrow" w:cstheme="minorHAnsi"/>
          <w:sz w:val="22"/>
          <w:szCs w:val="22"/>
        </w:rPr>
        <w:t xml:space="preserve">riaditeľ </w:t>
      </w:r>
    </w:p>
    <w:p w14:paraId="3077DB4B" w14:textId="77777777" w:rsidR="007034A5" w:rsidRPr="00D407AE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D407A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bCs/>
          <w:sz w:val="22"/>
          <w:szCs w:val="22"/>
        </w:rPr>
        <w:t>IČO: 00 606 707</w:t>
      </w:r>
    </w:p>
    <w:p w14:paraId="7507770B" w14:textId="77777777" w:rsidR="007034A5" w:rsidRPr="00D407A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D407A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D407A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D407AE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407AE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D407A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D407A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D407AE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D407AE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D407AE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D407AE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D407AE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14:paraId="4B148B86" w14:textId="77777777" w:rsidR="007034A5" w:rsidRPr="00D407AE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14:paraId="6E396679" w14:textId="77777777" w:rsidR="00D45C34" w:rsidRPr="00D407AE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D407AE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D407AE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D407A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>v zastúpení</w:t>
      </w:r>
      <w:r w:rsidRPr="00D407AE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1826D994" w14:textId="77777777" w:rsidR="00624BAF" w:rsidRPr="00D407A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2575D424" w14:textId="77777777" w:rsidR="00624BAF" w:rsidRPr="00D407A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34582698" w14:textId="77777777" w:rsidR="00624BAF" w:rsidRPr="00D407A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34CD73EE" w14:textId="77777777" w:rsidR="00624BAF" w:rsidRPr="00D407A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48E53BB7" w14:textId="77777777" w:rsidR="00624BAF" w:rsidRPr="00D407A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1D30B58C" w14:textId="77777777" w:rsidR="00624BAF" w:rsidRPr="00D407A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70B17C12" w14:textId="77777777" w:rsidR="00624BAF" w:rsidRPr="00D407A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14:paraId="63F1B1ED" w14:textId="77777777" w:rsidR="00624BAF" w:rsidRPr="00D407A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D407AE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,  odd: </w:t>
      </w:r>
      <w:r w:rsidR="00AE565D" w:rsidRPr="00D407AE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D407AE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D407AE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D407AE">
        <w:rPr>
          <w:rFonts w:ascii="Arial Narrow" w:hAnsi="Arial Narrow" w:cstheme="minorHAnsi"/>
          <w:bCs/>
          <w:sz w:val="22"/>
          <w:szCs w:val="22"/>
        </w:rPr>
        <w:t>.................</w:t>
      </w:r>
    </w:p>
    <w:p w14:paraId="4A43C6CF" w14:textId="77777777" w:rsidR="00E54CE5" w:rsidRPr="00D407AE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</w:r>
    </w:p>
    <w:p w14:paraId="252EDAC1" w14:textId="7FAC750A" w:rsidR="00E54CE5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14:paraId="1612F05B" w14:textId="77777777" w:rsidR="00D407AE" w:rsidRPr="00D407AE" w:rsidRDefault="00D407AE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118AD2A4" w14:textId="667068D0" w:rsidR="007034A5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0171EBAD" w14:textId="77777777" w:rsidR="002D7398" w:rsidRPr="00D407AE" w:rsidRDefault="002D7398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15BF9DB8" w14:textId="77777777" w:rsidR="003A74C2" w:rsidRPr="00D407AE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14:paraId="731261E6" w14:textId="77777777" w:rsidR="0051451F" w:rsidRPr="00D407AE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AD6B4B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AD6B4B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AD6B4B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AD6B4B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AD6B4B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AD6B4B">
        <w:rPr>
          <w:rFonts w:ascii="Arial Narrow" w:hAnsi="Arial Narrow" w:cstheme="minorHAnsi"/>
          <w:sz w:val="22"/>
          <w:szCs w:val="22"/>
          <w:u w:val="single"/>
          <w:lang w:val="sk-SK"/>
        </w:rPr>
        <w:t>Úvodné ustanovenia</w:t>
      </w:r>
    </w:p>
    <w:p w14:paraId="2342AE64" w14:textId="77777777" w:rsidR="007900AC" w:rsidRPr="00A852A7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="Calibri"/>
          <w:sz w:val="22"/>
          <w:szCs w:val="22"/>
        </w:rPr>
      </w:pPr>
      <w:r w:rsidRPr="00AD6B4B">
        <w:rPr>
          <w:rFonts w:ascii="Arial Narrow" w:hAnsi="Arial Narrow" w:cs="Calibri"/>
          <w:sz w:val="22"/>
          <w:szCs w:val="22"/>
        </w:rPr>
        <w:t xml:space="preserve">Kupujúci </w:t>
      </w:r>
      <w:r w:rsidR="003653C4" w:rsidRPr="00AD6B4B">
        <w:rPr>
          <w:rFonts w:ascii="Arial Narrow" w:hAnsi="Arial Narrow" w:cs="Calibri"/>
          <w:sz w:val="22"/>
          <w:szCs w:val="22"/>
        </w:rPr>
        <w:t>v</w:t>
      </w:r>
      <w:r w:rsidRPr="00AD6B4B">
        <w:rPr>
          <w:rFonts w:ascii="Arial Narrow" w:hAnsi="Arial Narrow" w:cs="Calibri"/>
          <w:sz w:val="22"/>
          <w:szCs w:val="22"/>
        </w:rPr>
        <w:t xml:space="preserve"> rámci plnenia svojich úloh obstaráva </w:t>
      </w:r>
      <w:r w:rsidR="00DA3D2C" w:rsidRPr="00AD6B4B">
        <w:rPr>
          <w:rFonts w:ascii="Arial Narrow" w:hAnsi="Arial Narrow" w:cs="Calibri"/>
          <w:sz w:val="22"/>
          <w:szCs w:val="22"/>
        </w:rPr>
        <w:t xml:space="preserve">tovar </w:t>
      </w:r>
      <w:r w:rsidRPr="00AD6B4B">
        <w:rPr>
          <w:rFonts w:ascii="Arial Narrow" w:hAnsi="Arial Narrow" w:cs="Calibri"/>
          <w:sz w:val="22"/>
          <w:szCs w:val="22"/>
        </w:rPr>
        <w:t xml:space="preserve">postupom stanoveným zákonom č. </w:t>
      </w:r>
      <w:r w:rsidR="00912F4A" w:rsidRPr="00AD6B4B">
        <w:rPr>
          <w:rFonts w:ascii="Arial Narrow" w:hAnsi="Arial Narrow" w:cs="Calibri"/>
          <w:sz w:val="22"/>
          <w:szCs w:val="22"/>
        </w:rPr>
        <w:t>343</w:t>
      </w:r>
      <w:r w:rsidRPr="00AD6B4B">
        <w:rPr>
          <w:rFonts w:ascii="Arial Narrow" w:hAnsi="Arial Narrow" w:cs="Calibri"/>
          <w:sz w:val="22"/>
          <w:szCs w:val="22"/>
        </w:rPr>
        <w:t>/20</w:t>
      </w:r>
      <w:r w:rsidR="00912F4A" w:rsidRPr="00AD6B4B">
        <w:rPr>
          <w:rFonts w:ascii="Arial Narrow" w:hAnsi="Arial Narrow" w:cs="Calibri"/>
          <w:sz w:val="22"/>
          <w:szCs w:val="22"/>
        </w:rPr>
        <w:t>1</w:t>
      </w:r>
      <w:r w:rsidR="00B025E8" w:rsidRPr="00AD6B4B">
        <w:rPr>
          <w:rFonts w:ascii="Arial Narrow" w:hAnsi="Arial Narrow" w:cs="Calibri"/>
          <w:sz w:val="22"/>
          <w:szCs w:val="22"/>
        </w:rPr>
        <w:t>5</w:t>
      </w:r>
      <w:r w:rsidRPr="00AD6B4B">
        <w:rPr>
          <w:rFonts w:ascii="Arial Narrow" w:hAnsi="Arial Narrow" w:cs="Calibri"/>
          <w:sz w:val="22"/>
          <w:szCs w:val="22"/>
        </w:rPr>
        <w:t xml:space="preserve"> Z. z. o </w:t>
      </w:r>
      <w:r w:rsidRPr="00A852A7">
        <w:rPr>
          <w:rFonts w:ascii="Arial Narrow" w:hAnsi="Arial Narrow" w:cs="Calibri"/>
          <w:sz w:val="22"/>
          <w:szCs w:val="22"/>
        </w:rPr>
        <w:t>verejnom obstarávaní a o zmene a doplnení niektorých zákonov,</w:t>
      </w:r>
      <w:r w:rsidR="006536BA" w:rsidRPr="00A852A7">
        <w:rPr>
          <w:rFonts w:ascii="Arial Narrow" w:hAnsi="Arial Narrow" w:cs="Calibri"/>
          <w:sz w:val="22"/>
          <w:szCs w:val="22"/>
        </w:rPr>
        <w:t xml:space="preserve"> v znení neskorších predpisov</w:t>
      </w:r>
      <w:r w:rsidR="002027D7" w:rsidRPr="00A852A7">
        <w:rPr>
          <w:rFonts w:ascii="Arial Narrow" w:hAnsi="Arial Narrow" w:cs="Calibri"/>
          <w:sz w:val="22"/>
          <w:szCs w:val="22"/>
        </w:rPr>
        <w:t xml:space="preserve"> (ďalej len  „zák</w:t>
      </w:r>
      <w:r w:rsidR="002F0C82" w:rsidRPr="00A852A7">
        <w:rPr>
          <w:rFonts w:ascii="Arial Narrow" w:hAnsi="Arial Narrow" w:cs="Calibri"/>
          <w:sz w:val="22"/>
          <w:szCs w:val="22"/>
        </w:rPr>
        <w:t xml:space="preserve">. č. </w:t>
      </w:r>
      <w:r w:rsidR="00912F4A" w:rsidRPr="00A852A7">
        <w:rPr>
          <w:rFonts w:ascii="Arial Narrow" w:hAnsi="Arial Narrow" w:cs="Calibri"/>
          <w:sz w:val="22"/>
          <w:szCs w:val="22"/>
        </w:rPr>
        <w:t>343</w:t>
      </w:r>
      <w:r w:rsidR="002F0C82" w:rsidRPr="00A852A7">
        <w:rPr>
          <w:rFonts w:ascii="Arial Narrow" w:hAnsi="Arial Narrow" w:cs="Calibri"/>
          <w:sz w:val="22"/>
          <w:szCs w:val="22"/>
        </w:rPr>
        <w:t>/20</w:t>
      </w:r>
      <w:r w:rsidR="00B025E8" w:rsidRPr="00A852A7">
        <w:rPr>
          <w:rFonts w:ascii="Arial Narrow" w:hAnsi="Arial Narrow" w:cs="Calibri"/>
          <w:sz w:val="22"/>
          <w:szCs w:val="22"/>
        </w:rPr>
        <w:t>15</w:t>
      </w:r>
      <w:r w:rsidR="002F0C82" w:rsidRPr="00A852A7">
        <w:rPr>
          <w:rFonts w:ascii="Arial Narrow" w:hAnsi="Arial Narrow" w:cs="Calibri"/>
          <w:sz w:val="22"/>
          <w:szCs w:val="22"/>
        </w:rPr>
        <w:t xml:space="preserve"> Z. z.“).</w:t>
      </w:r>
    </w:p>
    <w:p w14:paraId="5028F34A" w14:textId="780FE172" w:rsidR="00624BAF" w:rsidRPr="00A852A7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="Calibri"/>
          <w:sz w:val="22"/>
          <w:szCs w:val="22"/>
        </w:rPr>
      </w:pPr>
      <w:r w:rsidRPr="00A852A7">
        <w:rPr>
          <w:rFonts w:ascii="Arial Narrow" w:hAnsi="Arial Narrow" w:cs="Calibri"/>
          <w:sz w:val="22"/>
          <w:szCs w:val="22"/>
        </w:rPr>
        <w:tab/>
      </w:r>
      <w:r w:rsidR="007B67A8" w:rsidRPr="00A852A7">
        <w:rPr>
          <w:rFonts w:ascii="Arial Narrow" w:hAnsi="Arial Narrow" w:cs="Calibri"/>
          <w:sz w:val="22"/>
          <w:szCs w:val="22"/>
        </w:rPr>
        <w:t>T</w:t>
      </w:r>
      <w:r w:rsidR="007B67A8" w:rsidRP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úto  zmluvu uzatvára kupujúci, ktorý je verejným obstarávateľom s predávajúcim, ktorý je  úspešným uchádzačom na základe výsledku zadávania zákazky postupom verejnej súťaže, podľa § 66 ods. 7 a nasl. zák. č. 343/2015 Z. z. , s názvom predmetu zákazky : „</w:t>
      </w:r>
      <w:r w:rsidR="00424238" w:rsidRP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Prístrojové vybavenie endoskopického centra </w:t>
      </w:r>
      <w:r w:rsidR="00A27B6A" w:rsidRP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I</w:t>
      </w:r>
      <w:r w:rsidR="00424238" w:rsidRP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I</w:t>
      </w:r>
      <w:r w:rsidR="007B67A8" w:rsidRP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“,   zadávanej na základe verejnej súťaže uverejnenej </w:t>
      </w:r>
      <w:r w:rsidR="00E3100B" w:rsidRP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vo Vestníku verejného obstarávania </w:t>
      </w:r>
      <w:r w:rsid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č. </w:t>
      </w:r>
      <w:r w:rsidR="007B67A8" w:rsidRP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.................</w:t>
      </w:r>
      <w:r w:rsid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 </w:t>
      </w:r>
      <w:r w:rsidR="007B67A8" w:rsidRPr="00A852A7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zo dňa ........................ pod číslom ......................... (ďalej len „verejné obstarávanie“)</w:t>
      </w:r>
    </w:p>
    <w:p w14:paraId="4E0A4A3B" w14:textId="38E65711" w:rsidR="00BF6C33" w:rsidRPr="00A852A7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="Calibri"/>
          <w:sz w:val="22"/>
          <w:szCs w:val="22"/>
        </w:rPr>
      </w:pPr>
      <w:r w:rsidRPr="00A852A7">
        <w:rPr>
          <w:rFonts w:ascii="Arial Narrow" w:hAnsi="Arial Narrow" w:cs="Calibri"/>
          <w:sz w:val="22"/>
          <w:szCs w:val="22"/>
        </w:rPr>
        <w:t xml:space="preserve">Evidenčné číslo verejného obstarávania </w:t>
      </w:r>
      <w:r w:rsidR="00624BAF" w:rsidRPr="00A852A7">
        <w:rPr>
          <w:rFonts w:ascii="Arial Narrow" w:hAnsi="Arial Narrow" w:cs="Calibri"/>
          <w:sz w:val="22"/>
          <w:szCs w:val="22"/>
        </w:rPr>
        <w:t>kupujúceho</w:t>
      </w:r>
      <w:r w:rsidRPr="00A852A7">
        <w:rPr>
          <w:rFonts w:ascii="Arial Narrow" w:hAnsi="Arial Narrow" w:cs="Calibri"/>
          <w:sz w:val="22"/>
          <w:szCs w:val="22"/>
        </w:rPr>
        <w:t xml:space="preserve"> : </w:t>
      </w:r>
      <w:r w:rsidR="00F457B0" w:rsidRPr="00A852A7">
        <w:rPr>
          <w:rFonts w:ascii="Arial Narrow" w:hAnsi="Arial Narrow" w:cs="Calibri"/>
          <w:sz w:val="22"/>
          <w:szCs w:val="22"/>
        </w:rPr>
        <w:t xml:space="preserve"> </w:t>
      </w:r>
      <w:r w:rsidR="00AE565D" w:rsidRPr="00A852A7">
        <w:rPr>
          <w:rFonts w:ascii="Arial Narrow" w:hAnsi="Arial Narrow" w:cs="Calibri"/>
          <w:sz w:val="22"/>
          <w:szCs w:val="22"/>
        </w:rPr>
        <w:t>UNLP-202</w:t>
      </w:r>
      <w:r w:rsidR="00BB1886" w:rsidRPr="00A852A7">
        <w:rPr>
          <w:rFonts w:ascii="Arial Narrow" w:hAnsi="Arial Narrow" w:cs="Calibri"/>
          <w:sz w:val="22"/>
          <w:szCs w:val="22"/>
        </w:rPr>
        <w:t>3</w:t>
      </w:r>
      <w:r w:rsidR="00E3100B" w:rsidRPr="00A852A7">
        <w:rPr>
          <w:rFonts w:ascii="Arial Narrow" w:hAnsi="Arial Narrow" w:cs="Calibri"/>
          <w:sz w:val="22"/>
          <w:szCs w:val="22"/>
        </w:rPr>
        <w:t>-50-NZ-VS</w:t>
      </w:r>
      <w:r w:rsidR="00424238" w:rsidRPr="00A852A7">
        <w:rPr>
          <w:rFonts w:ascii="Arial Narrow" w:hAnsi="Arial Narrow" w:cs="Calibri"/>
          <w:sz w:val="22"/>
          <w:szCs w:val="22"/>
        </w:rPr>
        <w:t>.</w:t>
      </w:r>
    </w:p>
    <w:p w14:paraId="7BCE85EF" w14:textId="77777777" w:rsidR="00B025E8" w:rsidRPr="00A852A7" w:rsidRDefault="00B025E8" w:rsidP="00AB70AD">
      <w:pPr>
        <w:pStyle w:val="Cislovanie2"/>
        <w:contextualSpacing/>
        <w:rPr>
          <w:rFonts w:ascii="Arial Narrow" w:hAnsi="Arial Narrow" w:cs="Calibri"/>
          <w:sz w:val="22"/>
          <w:szCs w:val="22"/>
        </w:rPr>
      </w:pPr>
      <w:r w:rsidRPr="00A852A7">
        <w:rPr>
          <w:rFonts w:ascii="Arial Narrow" w:hAnsi="Arial Narrow" w:cs="Calibri"/>
          <w:sz w:val="22"/>
          <w:szCs w:val="22"/>
        </w:rPr>
        <w:t>Kupujúci je poskytovateľom zdravotnej starostlivosti podľa zák. č. 578/2004 Z.</w:t>
      </w:r>
      <w:r w:rsidR="00801614" w:rsidRPr="00A852A7">
        <w:rPr>
          <w:rFonts w:ascii="Arial Narrow" w:hAnsi="Arial Narrow" w:cs="Calibri"/>
          <w:sz w:val="22"/>
          <w:szCs w:val="22"/>
        </w:rPr>
        <w:t xml:space="preserve"> </w:t>
      </w:r>
      <w:r w:rsidRPr="00A852A7">
        <w:rPr>
          <w:rFonts w:ascii="Arial Narrow" w:hAnsi="Arial Narrow" w:cs="Calibri"/>
          <w:sz w:val="22"/>
          <w:szCs w:val="22"/>
        </w:rPr>
        <w:t>z.</w:t>
      </w:r>
      <w:r w:rsidR="00AB70AD" w:rsidRPr="00A852A7">
        <w:rPr>
          <w:rFonts w:ascii="Arial Narrow" w:hAnsi="Arial Narrow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Pr="00D407AE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A852A7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A852A7">
        <w:rPr>
          <w:rFonts w:ascii="Arial Narrow" w:hAnsi="Arial Narrow" w:cstheme="minorHAnsi"/>
          <w:sz w:val="22"/>
          <w:szCs w:val="22"/>
        </w:rPr>
        <w:t>prehlasuje</w:t>
      </w:r>
      <w:r w:rsidR="00EC3A56" w:rsidRPr="00D407AE">
        <w:rPr>
          <w:rFonts w:ascii="Arial Narrow" w:hAnsi="Arial Narrow" w:cstheme="minorHAnsi"/>
          <w:sz w:val="22"/>
          <w:szCs w:val="22"/>
        </w:rPr>
        <w:t>, že je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D407AE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14:paraId="20053C4D" w14:textId="474A9E98" w:rsidR="00DE6345" w:rsidRPr="00D407AE" w:rsidRDefault="00DE6345" w:rsidP="003D1E89">
      <w:pPr>
        <w:pStyle w:val="Cislovanie2"/>
        <w:spacing w:after="0"/>
        <w:contextualSpacing/>
        <w:rPr>
          <w:rFonts w:ascii="Arial Narrow" w:hAnsi="Arial Narrow" w:cs="Calibr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Kupujúci prehlasuje, </w:t>
      </w:r>
      <w:r w:rsidRPr="00D407AE">
        <w:rPr>
          <w:rFonts w:ascii="Arial Narrow" w:hAnsi="Arial Narrow" w:cs="Calibri"/>
          <w:sz w:val="22"/>
          <w:szCs w:val="22"/>
        </w:rPr>
        <w:t>že predmet zmluvy bude financovaný z</w:t>
      </w:r>
      <w:r w:rsidR="00424238" w:rsidRPr="00D407AE">
        <w:rPr>
          <w:rFonts w:ascii="Arial Narrow" w:hAnsi="Arial Narrow" w:cs="Calibri"/>
          <w:sz w:val="22"/>
          <w:szCs w:val="22"/>
        </w:rPr>
        <w:t> kapitálových finančných prostriedkov MZ SR, ktoré mu boli pridelené listom č. S13127-2021-OVV-26 dňa 23.11.202</w:t>
      </w:r>
      <w:r w:rsidR="00165FAA">
        <w:rPr>
          <w:rFonts w:ascii="Arial Narrow" w:hAnsi="Arial Narrow" w:cs="Calibri"/>
          <w:sz w:val="22"/>
          <w:szCs w:val="22"/>
        </w:rPr>
        <w:t>1.</w:t>
      </w:r>
    </w:p>
    <w:p w14:paraId="03E707E1" w14:textId="77777777" w:rsidR="0051451F" w:rsidRPr="00D407AE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14:paraId="5125F52A" w14:textId="77777777" w:rsidR="0051451F" w:rsidRPr="00D407AE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D407AE">
        <w:rPr>
          <w:rFonts w:ascii="Arial Narrow" w:hAnsi="Arial Narrow" w:cstheme="minorHAnsi"/>
          <w:sz w:val="22"/>
          <w:szCs w:val="22"/>
          <w:u w:val="single"/>
        </w:rPr>
        <w:lastRenderedPageBreak/>
        <w:t>Čl</w:t>
      </w:r>
      <w:r w:rsidR="001A57C7" w:rsidRPr="00D407AE">
        <w:rPr>
          <w:rFonts w:ascii="Arial Narrow" w:hAnsi="Arial Narrow" w:cstheme="minorHAnsi"/>
          <w:sz w:val="22"/>
          <w:szCs w:val="22"/>
          <w:u w:val="single"/>
        </w:rPr>
        <w:t>.</w:t>
      </w:r>
      <w:r w:rsidRPr="00D407AE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D407AE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D407AE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D407AE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14:paraId="383B2F77" w14:textId="77777777" w:rsidR="0051451F" w:rsidRPr="00D407AE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D407AE">
        <w:rPr>
          <w:rFonts w:ascii="Arial Narrow" w:hAnsi="Arial Narrow" w:cstheme="minorHAnsi"/>
          <w:sz w:val="22"/>
          <w:szCs w:val="22"/>
        </w:rPr>
        <w:t>ať</w:t>
      </w:r>
      <w:r w:rsidRPr="00D407AE">
        <w:rPr>
          <w:rFonts w:ascii="Arial Narrow" w:hAnsi="Arial Narrow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696E9FD5" w14:textId="3942B64F" w:rsidR="004C0AC6" w:rsidRPr="00D407AE" w:rsidRDefault="00C426B9" w:rsidP="00424238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424238" w:rsidRPr="00D407AE">
        <w:rPr>
          <w:rFonts w:ascii="Arial Narrow" w:hAnsi="Arial Narrow" w:cstheme="minorHAnsi"/>
          <w:sz w:val="22"/>
          <w:szCs w:val="22"/>
        </w:rPr>
        <w:t>je prístrojové vybavenie</w:t>
      </w:r>
      <w:r w:rsidR="00D407AE">
        <w:rPr>
          <w:rFonts w:ascii="Arial Narrow" w:hAnsi="Arial Narrow" w:cstheme="minorHAnsi"/>
          <w:sz w:val="22"/>
          <w:szCs w:val="22"/>
        </w:rPr>
        <w:t>,</w:t>
      </w:r>
      <w:r w:rsidR="00424238" w:rsidRPr="00D407A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A27B6A" w:rsidRPr="00D407AE">
        <w:rPr>
          <w:rFonts w:ascii="Arial Narrow" w:hAnsi="Arial Narrow" w:cstheme="minorHAnsi"/>
          <w:sz w:val="22"/>
          <w:szCs w:val="22"/>
        </w:rPr>
        <w:t xml:space="preserve">a to </w:t>
      </w:r>
      <w:r w:rsidR="00D407AE">
        <w:rPr>
          <w:rFonts w:ascii="Arial Narrow" w:hAnsi="Arial Narrow" w:cstheme="minorHAnsi"/>
          <w:sz w:val="22"/>
          <w:szCs w:val="22"/>
        </w:rPr>
        <w:t>–</w:t>
      </w:r>
      <w:r w:rsidR="00A27B6A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D407AE">
        <w:rPr>
          <w:rFonts w:ascii="Arial Narrow" w:hAnsi="Arial Narrow" w:cstheme="minorHAnsi"/>
          <w:b/>
          <w:sz w:val="22"/>
          <w:szCs w:val="22"/>
        </w:rPr>
        <w:t xml:space="preserve">tranzientný elastograf </w:t>
      </w:r>
      <w:r w:rsidR="00A27B6A" w:rsidRPr="00D407AE">
        <w:rPr>
          <w:rFonts w:ascii="Arial Narrow" w:hAnsi="Arial Narrow" w:cstheme="minorHAnsi"/>
          <w:sz w:val="22"/>
          <w:szCs w:val="22"/>
        </w:rPr>
        <w:t xml:space="preserve">, ktorého presná </w:t>
      </w:r>
      <w:r w:rsidR="0008584F" w:rsidRPr="00D407AE">
        <w:rPr>
          <w:rFonts w:ascii="Arial Narrow" w:hAnsi="Arial Narrow" w:cstheme="minorHAnsi"/>
          <w:sz w:val="22"/>
          <w:szCs w:val="22"/>
        </w:rPr>
        <w:t>š</w:t>
      </w:r>
      <w:r w:rsidR="001A3FED" w:rsidRPr="00D407AE">
        <w:rPr>
          <w:rFonts w:ascii="Arial Narrow" w:hAnsi="Arial Narrow" w:cstheme="minorHAnsi"/>
          <w:sz w:val="22"/>
          <w:szCs w:val="22"/>
        </w:rPr>
        <w:t>pecifikáci</w:t>
      </w:r>
      <w:r w:rsidR="0008584F" w:rsidRPr="00D407AE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D407AE">
        <w:rPr>
          <w:rFonts w:ascii="Arial Narrow" w:hAnsi="Arial Narrow" w:cstheme="minorHAnsi"/>
          <w:sz w:val="22"/>
          <w:szCs w:val="22"/>
        </w:rPr>
        <w:t xml:space="preserve"> uveden</w:t>
      </w:r>
      <w:r w:rsidR="0008584F" w:rsidRPr="00D407AE">
        <w:rPr>
          <w:rFonts w:ascii="Arial Narrow" w:hAnsi="Arial Narrow" w:cstheme="minorHAnsi"/>
          <w:sz w:val="22"/>
          <w:szCs w:val="22"/>
        </w:rPr>
        <w:t>á</w:t>
      </w:r>
      <w:r w:rsidR="001A3FED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D71EC6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DA337C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Pr="00D407AE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D407AE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D407AE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D407AE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D407AE">
        <w:rPr>
          <w:rFonts w:ascii="Arial Narrow" w:hAnsi="Arial Narrow" w:cstheme="minorHAnsi"/>
          <w:sz w:val="22"/>
          <w:szCs w:val="22"/>
        </w:rPr>
        <w:t>zmluvy</w:t>
      </w:r>
      <w:r w:rsidR="00C76DCC" w:rsidRPr="00D407AE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D407AE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D407AE">
        <w:rPr>
          <w:rFonts w:ascii="Arial Narrow" w:hAnsi="Arial Narrow" w:cstheme="minorHAnsi"/>
          <w:sz w:val="22"/>
          <w:szCs w:val="22"/>
        </w:rPr>
        <w:t>“).</w:t>
      </w:r>
      <w:r w:rsidR="004109A4"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1818B599" w14:textId="293C2FA0" w:rsidR="00424238" w:rsidRPr="00D407AE" w:rsidRDefault="00362877" w:rsidP="00424238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b/>
          <w:sz w:val="22"/>
          <w:szCs w:val="22"/>
        </w:rPr>
        <w:t>Dodanie tovaru zahŕňa</w:t>
      </w:r>
      <w:r w:rsidR="00F06712" w:rsidRPr="00D407AE">
        <w:rPr>
          <w:rFonts w:ascii="Arial Narrow" w:hAnsi="Arial Narrow" w:cstheme="minorHAnsi"/>
          <w:sz w:val="22"/>
          <w:szCs w:val="22"/>
        </w:rPr>
        <w:t xml:space="preserve">: </w:t>
      </w:r>
      <w:r w:rsidR="00424238" w:rsidRPr="00D407AE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 </w:t>
      </w:r>
      <w:bookmarkStart w:id="0" w:name="_Hlk128116060"/>
      <w:r w:rsidR="00424238" w:rsidRPr="00D407AE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dodanie do miesta plnenia, vyloženie v mieste plnenia, vybalenie a likvidácia obalov, odovzdanie písomných dokladov potrebných pre nadobudnutie vlastníckeho práva k predmetu zmluvy, poskytnutie užívateľskej dokumentácie k predmetu zmluvy,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</w:t>
      </w:r>
      <w:r w:rsidR="00EF3A5B" w:rsidRPr="00D407AE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min. </w:t>
      </w:r>
      <w:r w:rsidR="00424238" w:rsidRPr="00D407AE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24 mesiacov a vykonávanie v</w:t>
      </w:r>
      <w:r w:rsidR="00424238" w:rsidRPr="00D407AE">
        <w:rPr>
          <w:rFonts w:ascii="Arial Narrow" w:hAnsi="Arial Narrow" w:cstheme="minorHAnsi"/>
          <w:sz w:val="22"/>
          <w:szCs w:val="22"/>
        </w:rPr>
        <w:t>šetkých preventívnych prehliadok a kontrol, ktoré sú stanovené právnymi predpismi a predpísané výrobcom na ponúkané zariadenie</w:t>
      </w:r>
      <w:r w:rsidR="00424238" w:rsidRPr="00D407AE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 počas záruky.</w:t>
      </w:r>
      <w:bookmarkEnd w:id="0"/>
    </w:p>
    <w:p w14:paraId="391BA13C" w14:textId="77777777" w:rsidR="00E2472D" w:rsidRPr="00D407A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4.</w:t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="00322CA9" w:rsidRPr="00D407AE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D407AE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D407AE">
        <w:rPr>
          <w:rFonts w:ascii="Arial Narrow" w:hAnsi="Arial Narrow" w:cstheme="minorHAnsi"/>
          <w:sz w:val="22"/>
          <w:szCs w:val="22"/>
        </w:rPr>
        <w:t>.</w:t>
      </w:r>
      <w:r w:rsidR="006A4A9B"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74054174" w14:textId="77A6EC8E" w:rsidR="00B7674B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5.</w:t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="00B7674B" w:rsidRPr="00D407AE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14:paraId="59CE0B6E" w14:textId="77777777" w:rsidR="00E3100B" w:rsidRPr="00D407AE" w:rsidRDefault="00E3100B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</w:p>
    <w:p w14:paraId="08ACE3FF" w14:textId="77777777" w:rsidR="00B61230" w:rsidRPr="00D407AE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14:paraId="6BB373FE" w14:textId="77777777" w:rsidR="0051451F" w:rsidRPr="00D407A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D407AE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D407AE">
        <w:rPr>
          <w:rFonts w:ascii="Arial Narrow" w:hAnsi="Arial Narrow" w:cstheme="minorHAnsi"/>
          <w:sz w:val="22"/>
          <w:szCs w:val="22"/>
          <w:u w:val="single"/>
        </w:rPr>
        <w:t>.</w:t>
      </w:r>
      <w:r w:rsidRPr="00D407AE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D407AE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D407AE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D407AE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14:paraId="5E75C69E" w14:textId="4C5FF0F0" w:rsidR="00801614" w:rsidRPr="00D407A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 tejto zmluvy kupujúcemu do </w:t>
      </w:r>
      <w:r w:rsidR="00E64D26">
        <w:rPr>
          <w:rFonts w:ascii="Arial Narrow" w:hAnsi="Arial Narrow" w:cstheme="minorHAnsi"/>
          <w:sz w:val="22"/>
          <w:szCs w:val="22"/>
        </w:rPr>
        <w:t>9</w:t>
      </w:r>
      <w:r w:rsidR="00A27B6A" w:rsidRPr="00D407AE">
        <w:rPr>
          <w:rFonts w:ascii="Arial Narrow" w:hAnsi="Arial Narrow" w:cstheme="minorHAnsi"/>
          <w:sz w:val="22"/>
          <w:szCs w:val="22"/>
        </w:rPr>
        <w:t>0</w:t>
      </w:r>
      <w:r w:rsidR="006E7F0B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240D80" w:rsidRPr="00D407AE">
        <w:rPr>
          <w:rFonts w:ascii="Arial Narrow" w:hAnsi="Arial Narrow" w:cstheme="minorHAnsi"/>
          <w:sz w:val="22"/>
          <w:szCs w:val="22"/>
        </w:rPr>
        <w:t>(</w:t>
      </w:r>
      <w:r w:rsidR="00E64D26">
        <w:rPr>
          <w:rFonts w:ascii="Arial Narrow" w:hAnsi="Arial Narrow" w:cstheme="minorHAnsi"/>
          <w:sz w:val="22"/>
          <w:szCs w:val="22"/>
        </w:rPr>
        <w:t>deväť</w:t>
      </w:r>
      <w:r w:rsidR="00A27B6A" w:rsidRPr="00D407AE">
        <w:rPr>
          <w:rFonts w:ascii="Arial Narrow" w:hAnsi="Arial Narrow" w:cstheme="minorHAnsi"/>
          <w:sz w:val="22"/>
          <w:szCs w:val="22"/>
        </w:rPr>
        <w:t>desiat</w:t>
      </w:r>
      <w:r w:rsidR="00E2472D" w:rsidRPr="00D407AE">
        <w:rPr>
          <w:rFonts w:ascii="Arial Narrow" w:hAnsi="Arial Narrow" w:cstheme="minorHAnsi"/>
          <w:sz w:val="22"/>
          <w:szCs w:val="22"/>
        </w:rPr>
        <w:t xml:space="preserve">) kalendárnych dní </w:t>
      </w:r>
      <w:r w:rsidR="0008584F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0E4A90" w:rsidRPr="00D407AE">
        <w:rPr>
          <w:rFonts w:ascii="Arial Narrow" w:hAnsi="Arial Narrow" w:cstheme="minorHAnsi"/>
          <w:sz w:val="22"/>
          <w:szCs w:val="22"/>
        </w:rPr>
        <w:t xml:space="preserve">odo dňa </w:t>
      </w:r>
      <w:r w:rsidR="00610FA1" w:rsidRPr="00D407AE">
        <w:rPr>
          <w:rFonts w:ascii="Arial Narrow" w:hAnsi="Arial Narrow" w:cstheme="minorHAnsi"/>
          <w:sz w:val="22"/>
          <w:szCs w:val="22"/>
        </w:rPr>
        <w:t>účinnosti</w:t>
      </w:r>
      <w:r w:rsidRPr="00D407AE">
        <w:rPr>
          <w:rFonts w:ascii="Arial Narrow" w:hAnsi="Arial Narrow" w:cstheme="minorHAnsi"/>
          <w:sz w:val="22"/>
          <w:szCs w:val="22"/>
        </w:rPr>
        <w:t xml:space="preserve">  tejto zmluvy.</w:t>
      </w:r>
      <w:r w:rsidR="00310C4F" w:rsidRPr="00D407AE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D407AE">
        <w:rPr>
          <w:rFonts w:ascii="Arial Narrow" w:hAnsi="Arial Narrow" w:cstheme="minorHAnsi"/>
          <w:sz w:val="22"/>
          <w:szCs w:val="22"/>
        </w:rPr>
        <w:t>ú</w:t>
      </w:r>
      <w:r w:rsidR="00310C4F" w:rsidRPr="00D407AE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424238" w:rsidRPr="00D407AE">
        <w:rPr>
          <w:rFonts w:ascii="Arial Narrow" w:hAnsi="Arial Narrow" w:cstheme="minorHAnsi"/>
          <w:sz w:val="22"/>
          <w:szCs w:val="22"/>
        </w:rPr>
        <w:t>2 (</w:t>
      </w:r>
      <w:r w:rsidR="00AF2705" w:rsidRPr="00D407AE">
        <w:rPr>
          <w:rFonts w:ascii="Arial Narrow" w:hAnsi="Arial Narrow" w:cstheme="minorHAnsi"/>
          <w:sz w:val="22"/>
          <w:szCs w:val="22"/>
        </w:rPr>
        <w:t>dva</w:t>
      </w:r>
      <w:r w:rsidR="00424238" w:rsidRPr="00D407AE">
        <w:rPr>
          <w:rFonts w:ascii="Arial Narrow" w:hAnsi="Arial Narrow" w:cstheme="minorHAnsi"/>
          <w:sz w:val="22"/>
          <w:szCs w:val="22"/>
        </w:rPr>
        <w:t>)</w:t>
      </w:r>
      <w:r w:rsidR="00310C4F" w:rsidRPr="00D407AE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D407AE">
        <w:rPr>
          <w:rFonts w:ascii="Arial Narrow" w:hAnsi="Arial Narrow" w:cstheme="minorHAnsi"/>
          <w:sz w:val="22"/>
          <w:szCs w:val="22"/>
        </w:rPr>
        <w:t>,</w:t>
      </w:r>
      <w:r w:rsidR="00310C4F" w:rsidRPr="00D407AE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D407AE">
        <w:rPr>
          <w:rFonts w:ascii="Arial Narrow" w:hAnsi="Arial Narrow" w:cstheme="minorHAnsi"/>
          <w:sz w:val="22"/>
          <w:szCs w:val="22"/>
        </w:rPr>
        <w:t> </w:t>
      </w:r>
      <w:r w:rsidR="00310C4F" w:rsidRPr="00D407AE">
        <w:rPr>
          <w:rFonts w:ascii="Arial Narrow" w:hAnsi="Arial Narrow" w:cstheme="minorHAnsi"/>
          <w:sz w:val="22"/>
          <w:szCs w:val="22"/>
        </w:rPr>
        <w:t>to</w:t>
      </w:r>
      <w:r w:rsidR="00F450F9" w:rsidRPr="00D407AE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D407AE">
        <w:rPr>
          <w:rFonts w:ascii="Arial Narrow" w:hAnsi="Arial Narrow" w:cstheme="minorHAnsi"/>
          <w:sz w:val="22"/>
          <w:szCs w:val="22"/>
        </w:rPr>
        <w:t xml:space="preserve"> na e-mail</w:t>
      </w:r>
      <w:r w:rsidR="003A2E4F" w:rsidRPr="00D407AE">
        <w:rPr>
          <w:rFonts w:ascii="Arial Narrow" w:hAnsi="Arial Narrow" w:cstheme="minorHAnsi"/>
          <w:sz w:val="22"/>
          <w:szCs w:val="22"/>
        </w:rPr>
        <w:t>ovú</w:t>
      </w:r>
      <w:r w:rsidR="004909CE" w:rsidRPr="00D407AE">
        <w:rPr>
          <w:rFonts w:ascii="Arial Narrow" w:hAnsi="Arial Narrow" w:cstheme="minorHAnsi"/>
          <w:sz w:val="22"/>
          <w:szCs w:val="22"/>
        </w:rPr>
        <w:t xml:space="preserve"> adresu : </w:t>
      </w:r>
      <w:r w:rsidR="00E2472D" w:rsidRPr="00D407AE">
        <w:rPr>
          <w:rFonts w:ascii="Arial Narrow" w:hAnsi="Arial Narrow" w:cstheme="minorHAnsi"/>
          <w:sz w:val="22"/>
          <w:szCs w:val="22"/>
        </w:rPr>
        <w:t>ozt</w:t>
      </w:r>
      <w:r w:rsidR="00EA1CD7" w:rsidRPr="00D407AE">
        <w:rPr>
          <w:rFonts w:ascii="Arial Narrow" w:hAnsi="Arial Narrow" w:cstheme="minorHAnsi"/>
          <w:sz w:val="22"/>
          <w:szCs w:val="22"/>
        </w:rPr>
        <w:t xml:space="preserve">@unlp.sk a telefonicky na tel. č. +421 </w:t>
      </w:r>
      <w:r w:rsidR="009837FD" w:rsidRPr="00D407AE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55 </w:t>
      </w:r>
      <w:r w:rsidR="00EA1CD7" w:rsidRPr="00D407AE">
        <w:rPr>
          <w:rFonts w:ascii="Arial Narrow" w:hAnsi="Arial Narrow" w:cstheme="minorHAnsi"/>
          <w:sz w:val="22"/>
          <w:szCs w:val="22"/>
          <w:shd w:val="clear" w:color="auto" w:fill="FFFFFF"/>
        </w:rPr>
        <w:t>615 30 79.</w:t>
      </w:r>
    </w:p>
    <w:p w14:paraId="6751723D" w14:textId="78302BA1" w:rsidR="000E4A90" w:rsidRPr="00D407A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Miesto</w:t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D407AE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2A5984" w:rsidRPr="00D407AE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D407AE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D407AE">
        <w:rPr>
          <w:rFonts w:ascii="Arial Narrow" w:hAnsi="Arial Narrow" w:cstheme="minorHAnsi"/>
          <w:sz w:val="22"/>
          <w:szCs w:val="22"/>
        </w:rPr>
        <w:t xml:space="preserve">: </w:t>
      </w:r>
      <w:r w:rsidR="00424238" w:rsidRPr="00D407AE">
        <w:rPr>
          <w:rFonts w:ascii="Arial Narrow" w:hAnsi="Arial Narrow" w:cstheme="minorHAnsi"/>
          <w:b/>
          <w:sz w:val="22"/>
          <w:szCs w:val="22"/>
        </w:rPr>
        <w:t>II. Interná klinika</w:t>
      </w:r>
      <w:r w:rsidR="00240D80" w:rsidRPr="00D407A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E0551" w:rsidRPr="00D407AE">
        <w:rPr>
          <w:rFonts w:ascii="Arial Narrow" w:hAnsi="Arial Narrow" w:cstheme="minorHAnsi"/>
          <w:sz w:val="22"/>
          <w:szCs w:val="22"/>
        </w:rPr>
        <w:t xml:space="preserve">nachádzajúce sa </w:t>
      </w:r>
      <w:r w:rsidRPr="00D407AE">
        <w:rPr>
          <w:rFonts w:ascii="Arial Narrow" w:hAnsi="Arial Narrow" w:cstheme="minorHAnsi"/>
          <w:sz w:val="22"/>
          <w:szCs w:val="22"/>
        </w:rPr>
        <w:t>v</w:t>
      </w:r>
      <w:r w:rsidR="00203D7E" w:rsidRPr="00D407AE">
        <w:rPr>
          <w:rFonts w:ascii="Arial Narrow" w:hAnsi="Arial Narrow" w:cstheme="minorHAnsi"/>
          <w:sz w:val="22"/>
          <w:szCs w:val="22"/>
        </w:rPr>
        <w:t> </w:t>
      </w:r>
      <w:r w:rsidRPr="00D407AE">
        <w:rPr>
          <w:rFonts w:ascii="Arial Narrow" w:hAnsi="Arial Narrow" w:cstheme="minorHAnsi"/>
          <w:sz w:val="22"/>
          <w:szCs w:val="22"/>
        </w:rPr>
        <w:t>areáli</w:t>
      </w:r>
      <w:r w:rsidR="00EA1CD7" w:rsidRPr="00D407AE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D407AE">
        <w:rPr>
          <w:rFonts w:ascii="Arial Narrow" w:hAnsi="Arial Narrow" w:cstheme="minorHAnsi"/>
          <w:sz w:val="22"/>
          <w:szCs w:val="22"/>
        </w:rPr>
        <w:t xml:space="preserve">ísk 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203D7E" w:rsidRPr="00D407AE">
        <w:rPr>
          <w:rFonts w:ascii="Arial Narrow" w:hAnsi="Arial Narrow" w:cstheme="minorHAnsi"/>
          <w:sz w:val="22"/>
          <w:szCs w:val="22"/>
        </w:rPr>
        <w:t xml:space="preserve">kupujúceho na </w:t>
      </w:r>
      <w:r w:rsidR="00424238" w:rsidRPr="00D407AE">
        <w:rPr>
          <w:rFonts w:ascii="Arial Narrow" w:hAnsi="Arial Narrow" w:cstheme="minorHAnsi"/>
          <w:sz w:val="22"/>
          <w:szCs w:val="22"/>
        </w:rPr>
        <w:t>Tr. SNP 1, 040 11  Košice.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3A987C01" w14:textId="295AE997" w:rsidR="00F23943" w:rsidRPr="00D407A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7D728D" w:rsidRPr="00D407AE">
        <w:rPr>
          <w:rFonts w:ascii="Arial Narrow" w:hAnsi="Arial Narrow" w:cstheme="minorHAnsi"/>
          <w:sz w:val="22"/>
          <w:szCs w:val="22"/>
        </w:rPr>
        <w:t xml:space="preserve"> nerepasovaný</w:t>
      </w:r>
      <w:r w:rsidR="00424238" w:rsidRPr="00D407AE">
        <w:rPr>
          <w:rFonts w:ascii="Arial Narrow" w:hAnsi="Arial Narrow" w:cstheme="minorHAnsi"/>
          <w:sz w:val="22"/>
          <w:szCs w:val="22"/>
        </w:rPr>
        <w:t>,</w:t>
      </w:r>
      <w:r w:rsidR="007D728D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424238" w:rsidRPr="00D407AE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v bezchybnom stave, ktorý zodpovedá všetkým platným právnym predpisom na území Slovenskej republiky resp. Európskej únie,</w:t>
      </w:r>
      <w:r w:rsidRPr="00D407AE">
        <w:rPr>
          <w:rFonts w:ascii="Arial Narrow" w:hAnsi="Arial Narrow" w:cstheme="minorHAnsi"/>
          <w:sz w:val="22"/>
          <w:szCs w:val="22"/>
        </w:rPr>
        <w:t xml:space="preserve"> v originálnom balení a</w:t>
      </w:r>
      <w:r w:rsidR="006E7F0B" w:rsidRPr="00D407AE">
        <w:rPr>
          <w:rFonts w:ascii="Arial Narrow" w:hAnsi="Arial Narrow" w:cstheme="minorHAnsi"/>
          <w:sz w:val="22"/>
          <w:szCs w:val="22"/>
        </w:rPr>
        <w:t> </w:t>
      </w:r>
      <w:r w:rsidRPr="00D407AE">
        <w:rPr>
          <w:rFonts w:ascii="Arial Narrow" w:hAnsi="Arial Narrow" w:cstheme="minorHAnsi"/>
          <w:sz w:val="22"/>
          <w:szCs w:val="22"/>
        </w:rPr>
        <w:t>kompletný</w:t>
      </w:r>
      <w:r w:rsidR="006E7F0B" w:rsidRPr="00D407AE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D407AE">
        <w:rPr>
          <w:rFonts w:ascii="Arial Narrow" w:hAnsi="Arial Narrow" w:cstheme="minorHAnsi"/>
          <w:sz w:val="22"/>
          <w:szCs w:val="22"/>
        </w:rPr>
        <w:t xml:space="preserve"> (nie po častiach).</w:t>
      </w:r>
    </w:p>
    <w:p w14:paraId="06DA1725" w14:textId="77777777" w:rsidR="000029AD" w:rsidRPr="00D407AE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4</w:t>
      </w:r>
      <w:r w:rsidR="00F450F9" w:rsidRPr="00D407AE">
        <w:rPr>
          <w:rFonts w:ascii="Arial Narrow" w:hAnsi="Arial Narrow" w:cstheme="minorHAnsi"/>
          <w:sz w:val="22"/>
          <w:szCs w:val="22"/>
        </w:rPr>
        <w:t>.</w:t>
      </w:r>
      <w:r w:rsidR="00F450F9" w:rsidRPr="00D407AE">
        <w:rPr>
          <w:rFonts w:ascii="Arial Narrow" w:hAnsi="Arial Narrow" w:cstheme="minorHAnsi"/>
          <w:sz w:val="22"/>
          <w:szCs w:val="22"/>
        </w:rPr>
        <w:tab/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D407AE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407AE">
        <w:rPr>
          <w:rFonts w:ascii="Arial Narrow" w:hAnsi="Arial Narrow" w:cstheme="minorHAnsi"/>
          <w:sz w:val="22"/>
          <w:szCs w:val="22"/>
        </w:rPr>
        <w:t>do miesta doda</w:t>
      </w:r>
      <w:r w:rsidR="00AA66B0" w:rsidRPr="00D407AE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D407AE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D407AE">
        <w:rPr>
          <w:rFonts w:ascii="Arial Narrow" w:hAnsi="Arial Narrow" w:cstheme="minorHAnsi"/>
          <w:sz w:val="22"/>
          <w:szCs w:val="22"/>
        </w:rPr>
        <w:t>/dodacieho listu</w:t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D407AE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D407AE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D407AE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D407AE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D407AE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D407AE">
        <w:rPr>
          <w:rFonts w:ascii="Arial Narrow" w:hAnsi="Arial Narrow" w:cstheme="minorHAnsi"/>
          <w:b/>
          <w:sz w:val="22"/>
          <w:szCs w:val="22"/>
          <w:u w:val="single"/>
        </w:rPr>
        <w:t xml:space="preserve">/dodacom liste </w:t>
      </w:r>
      <w:r w:rsidR="009F5D15" w:rsidRPr="00D407A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D407AE">
        <w:rPr>
          <w:rFonts w:ascii="Arial Narrow" w:hAnsi="Arial Narrow" w:cstheme="minorHAnsi"/>
          <w:sz w:val="22"/>
          <w:szCs w:val="22"/>
        </w:rPr>
        <w:t>sa</w:t>
      </w:r>
      <w:r w:rsidR="009F5D15" w:rsidRPr="00D407A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D407AE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D407AE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D407AE">
        <w:rPr>
          <w:rFonts w:ascii="Arial Narrow" w:hAnsi="Arial Narrow" w:cstheme="minorHAnsi"/>
          <w:sz w:val="22"/>
          <w:szCs w:val="22"/>
        </w:rPr>
        <w:t> </w:t>
      </w:r>
      <w:r w:rsidR="008216C9" w:rsidRPr="00D407AE">
        <w:rPr>
          <w:rFonts w:ascii="Arial Narrow" w:hAnsi="Arial Narrow" w:cstheme="minorHAnsi"/>
          <w:sz w:val="22"/>
          <w:szCs w:val="22"/>
        </w:rPr>
        <w:t>kompletnosť</w:t>
      </w:r>
      <w:r w:rsidR="006D2254" w:rsidRPr="00D407AE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D407AE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D407AE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D407AE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D407AE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D407AE">
        <w:rPr>
          <w:rFonts w:ascii="Arial Narrow" w:hAnsi="Arial Narrow" w:cstheme="minorHAnsi"/>
          <w:sz w:val="22"/>
          <w:szCs w:val="22"/>
        </w:rPr>
        <w:t xml:space="preserve"> vád  tovaru pri jeho prevzatí </w:t>
      </w:r>
      <w:r w:rsidR="000029AD" w:rsidRPr="00D407AE">
        <w:rPr>
          <w:rFonts w:ascii="Arial Narrow" w:hAnsi="Arial Narrow" w:cstheme="minorHAnsi"/>
          <w:sz w:val="22"/>
          <w:szCs w:val="22"/>
        </w:rPr>
        <w:t>je kupu</w:t>
      </w:r>
      <w:r w:rsidR="00AA66B0" w:rsidRPr="00D407AE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D407AE">
        <w:rPr>
          <w:rFonts w:ascii="Arial Narrow" w:hAnsi="Arial Narrow" w:cstheme="minorHAnsi"/>
          <w:sz w:val="22"/>
          <w:szCs w:val="22"/>
        </w:rPr>
        <w:t>.</w:t>
      </w:r>
    </w:p>
    <w:p w14:paraId="77B6A5AE" w14:textId="069884AD" w:rsidR="00922DA8" w:rsidRPr="00D407AE" w:rsidRDefault="00861BFD" w:rsidP="00922DA8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5</w:t>
      </w:r>
      <w:r w:rsidR="00997B66" w:rsidRPr="00D407AE">
        <w:rPr>
          <w:rFonts w:ascii="Arial Narrow" w:hAnsi="Arial Narrow" w:cstheme="minorHAnsi"/>
          <w:sz w:val="22"/>
          <w:szCs w:val="22"/>
        </w:rPr>
        <w:t>.</w:t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="006D2254" w:rsidRPr="00D407AE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D407AE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D407AE">
        <w:rPr>
          <w:rFonts w:ascii="Arial Narrow" w:hAnsi="Arial Narrow" w:cstheme="minorHAnsi"/>
          <w:sz w:val="22"/>
          <w:szCs w:val="22"/>
        </w:rPr>
        <w:t>P</w:t>
      </w:r>
      <w:r w:rsidR="00462677" w:rsidRPr="00D407AE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D407AE">
        <w:rPr>
          <w:rFonts w:ascii="Arial Narrow" w:hAnsi="Arial Narrow" w:cstheme="minorHAnsi"/>
          <w:sz w:val="22"/>
          <w:szCs w:val="22"/>
        </w:rPr>
        <w:t>/dodacieho listu</w:t>
      </w:r>
      <w:r w:rsidR="00462677" w:rsidRPr="00D407AE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D407AE">
        <w:rPr>
          <w:rFonts w:ascii="Arial Narrow" w:hAnsi="Arial Narrow" w:cstheme="minorHAnsi"/>
          <w:sz w:val="22"/>
          <w:szCs w:val="22"/>
        </w:rPr>
        <w:t xml:space="preserve"> je</w:t>
      </w:r>
      <w:r w:rsidR="00F06712" w:rsidRPr="00D407AE">
        <w:rPr>
          <w:rFonts w:ascii="Arial Narrow" w:hAnsi="Arial Narrow" w:cstheme="minorHAnsi"/>
          <w:sz w:val="22"/>
          <w:szCs w:val="22"/>
        </w:rPr>
        <w:t xml:space="preserve">: </w:t>
      </w:r>
      <w:r w:rsidR="00922DA8" w:rsidRPr="00D407AE">
        <w:rPr>
          <w:rFonts w:ascii="Arial Narrow" w:hAnsi="Arial Narrow" w:cstheme="minorHAnsi"/>
          <w:sz w:val="22"/>
          <w:szCs w:val="22"/>
        </w:rPr>
        <w:t xml:space="preserve">určený zamestnanec Oddelenia zdravotníckej techniky, e-mail adresa: </w:t>
      </w:r>
      <w:hyperlink r:id="rId8" w:history="1">
        <w:r w:rsidR="00922DA8" w:rsidRPr="00D407AE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22DA8" w:rsidRPr="00D407AE">
        <w:rPr>
          <w:rFonts w:ascii="Arial Narrow" w:hAnsi="Arial Narrow" w:cstheme="minorHAnsi"/>
          <w:sz w:val="22"/>
          <w:szCs w:val="22"/>
        </w:rPr>
        <w:t>,  tel. č. + 421 55 615 3079.</w:t>
      </w:r>
    </w:p>
    <w:p w14:paraId="34FEE9BD" w14:textId="77777777" w:rsidR="00ED7973" w:rsidRPr="00D407AE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6.</w:t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="00462677" w:rsidRPr="00D407AE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D407AE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mohli zistiť</w:t>
      </w:r>
      <w:r w:rsidR="007B4B4B" w:rsidRPr="00D407AE">
        <w:rPr>
          <w:rFonts w:ascii="Arial Narrow" w:hAnsi="Arial Narrow" w:cstheme="minorHAnsi"/>
          <w:sz w:val="22"/>
          <w:szCs w:val="22"/>
        </w:rPr>
        <w:t>.</w:t>
      </w:r>
      <w:r w:rsidR="001812A2"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3259D64C" w14:textId="77777777" w:rsidR="008216C9" w:rsidRPr="00D407AE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7.</w:t>
      </w:r>
      <w:r w:rsidRPr="00D407AE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D407AE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D407AE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D407AE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D407AE">
        <w:rPr>
          <w:rFonts w:ascii="Arial Narrow" w:hAnsi="Arial Narrow" w:cstheme="minorHAnsi"/>
          <w:sz w:val="22"/>
          <w:szCs w:val="22"/>
        </w:rPr>
        <w:t>funkčné</w:t>
      </w:r>
      <w:r w:rsidR="0084580B" w:rsidRPr="00D407AE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D407AE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D407AE">
        <w:rPr>
          <w:rFonts w:ascii="Arial Narrow" w:hAnsi="Arial Narrow" w:cstheme="minorHAnsi"/>
          <w:sz w:val="22"/>
          <w:szCs w:val="22"/>
        </w:rPr>
        <w:t>1</w:t>
      </w:r>
      <w:r w:rsidR="00A26DAE" w:rsidRPr="00D407AE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D407AE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D407AE">
        <w:rPr>
          <w:rFonts w:ascii="Arial Narrow" w:hAnsi="Arial Narrow" w:cstheme="minorHAnsi"/>
          <w:sz w:val="22"/>
          <w:szCs w:val="22"/>
        </w:rPr>
        <w:t>pecifikáci</w:t>
      </w:r>
      <w:r w:rsidR="002808E5" w:rsidRPr="00D407AE">
        <w:rPr>
          <w:rFonts w:ascii="Arial Narrow" w:hAnsi="Arial Narrow" w:cstheme="minorHAnsi"/>
          <w:sz w:val="22"/>
          <w:szCs w:val="22"/>
        </w:rPr>
        <w:t>ou</w:t>
      </w:r>
      <w:r w:rsidR="00A26DAE" w:rsidRPr="00D407AE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D407AE">
        <w:rPr>
          <w:rFonts w:ascii="Arial Narrow" w:hAnsi="Arial Narrow" w:cstheme="minorHAnsi"/>
          <w:sz w:val="22"/>
          <w:szCs w:val="22"/>
        </w:rPr>
        <w:t>1</w:t>
      </w:r>
      <w:r w:rsidR="00A26DAE" w:rsidRPr="00D407AE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D407AE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D407AE">
        <w:rPr>
          <w:rFonts w:ascii="Arial Narrow" w:hAnsi="Arial Narrow" w:cstheme="minorHAnsi"/>
          <w:sz w:val="22"/>
          <w:szCs w:val="22"/>
        </w:rPr>
        <w:t>zhodná s</w:t>
      </w:r>
      <w:r w:rsidR="00577059" w:rsidRPr="00D407AE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D407AE">
        <w:rPr>
          <w:rFonts w:ascii="Arial Narrow" w:hAnsi="Arial Narrow" w:cstheme="minorHAnsi"/>
          <w:sz w:val="22"/>
          <w:szCs w:val="22"/>
        </w:rPr>
        <w:t>uveden</w:t>
      </w:r>
      <w:r w:rsidR="00577059" w:rsidRPr="00D407AE">
        <w:rPr>
          <w:rFonts w:ascii="Arial Narrow" w:hAnsi="Arial Narrow" w:cstheme="minorHAnsi"/>
          <w:sz w:val="22"/>
          <w:szCs w:val="22"/>
        </w:rPr>
        <w:t>ou</w:t>
      </w:r>
      <w:r w:rsidR="0084580B" w:rsidRPr="00D407AE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D407AE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D407AE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D407AE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D407AE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D407AE">
        <w:rPr>
          <w:rFonts w:ascii="Arial Narrow" w:hAnsi="Arial Narrow" w:cstheme="minorHAnsi"/>
          <w:sz w:val="22"/>
          <w:szCs w:val="22"/>
        </w:rPr>
        <w:t>.</w:t>
      </w:r>
    </w:p>
    <w:p w14:paraId="3B7EE4E5" w14:textId="74DB34F1" w:rsidR="00203D7E" w:rsidRPr="00D407AE" w:rsidRDefault="4B9202EF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8.</w:t>
      </w:r>
      <w:r w:rsidR="00D407AE">
        <w:rPr>
          <w:rFonts w:ascii="Arial Narrow" w:hAnsi="Arial Narrow" w:cstheme="minorHAnsi"/>
          <w:sz w:val="22"/>
          <w:szCs w:val="22"/>
        </w:rPr>
        <w:tab/>
      </w:r>
      <w:r w:rsidR="008216C9" w:rsidRPr="00D407AE">
        <w:rPr>
          <w:rFonts w:ascii="Arial Narrow" w:hAnsi="Arial Narrow" w:cstheme="minorHAnsi"/>
          <w:sz w:val="22"/>
          <w:szCs w:val="22"/>
        </w:rPr>
        <w:t>O</w:t>
      </w:r>
      <w:r w:rsidR="00422BD4" w:rsidRPr="00D407AE">
        <w:rPr>
          <w:rFonts w:ascii="Arial Narrow" w:hAnsi="Arial Narrow" w:cstheme="minorHAnsi"/>
          <w:sz w:val="22"/>
          <w:szCs w:val="22"/>
        </w:rPr>
        <w:t> </w:t>
      </w:r>
      <w:r w:rsidR="0073399C" w:rsidRPr="00D407AE">
        <w:rPr>
          <w:rFonts w:ascii="Arial Narrow" w:hAnsi="Arial Narrow" w:cstheme="minorHAnsi"/>
          <w:sz w:val="22"/>
          <w:szCs w:val="22"/>
        </w:rPr>
        <w:t>inštalácií</w:t>
      </w:r>
      <w:r w:rsidR="00422BD4" w:rsidRPr="00D407AE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D407AE">
        <w:rPr>
          <w:rFonts w:ascii="Arial Narrow" w:hAnsi="Arial Narrow" w:cstheme="minorHAnsi"/>
          <w:sz w:val="22"/>
          <w:szCs w:val="22"/>
        </w:rPr>
        <w:t xml:space="preserve"> a </w:t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D407AE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 do prevádzky v mieste </w:t>
      </w:r>
      <w:r w:rsidR="0073399C" w:rsidRPr="00D407AE">
        <w:rPr>
          <w:rFonts w:ascii="Arial Narrow" w:hAnsi="Arial Narrow" w:cstheme="minorHAnsi"/>
          <w:sz w:val="22"/>
          <w:szCs w:val="22"/>
        </w:rPr>
        <w:t>dodania</w:t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D407AE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D407AE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D407AE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D407AE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D407AE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D407AE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D407AE">
        <w:rPr>
          <w:rFonts w:ascii="Arial Narrow" w:hAnsi="Arial Narrow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D407AE">
        <w:rPr>
          <w:rFonts w:ascii="Arial Narrow" w:hAnsi="Arial Narrow" w:cstheme="minorHAnsi"/>
          <w:sz w:val="22"/>
          <w:szCs w:val="22"/>
        </w:rPr>
        <w:t xml:space="preserve"> jeho </w:t>
      </w:r>
      <w:r w:rsidR="00422BD4" w:rsidRPr="00D407AE">
        <w:rPr>
          <w:rFonts w:ascii="Arial Narrow" w:hAnsi="Arial Narrow" w:cstheme="minorHAnsi"/>
          <w:sz w:val="22"/>
          <w:szCs w:val="22"/>
        </w:rPr>
        <w:t>dodaní a </w:t>
      </w:r>
      <w:r w:rsidR="00997B66" w:rsidRPr="00D407AE">
        <w:rPr>
          <w:rFonts w:ascii="Arial Narrow" w:hAnsi="Arial Narrow" w:cstheme="minorHAnsi"/>
          <w:sz w:val="22"/>
          <w:szCs w:val="22"/>
        </w:rPr>
        <w:t>I</w:t>
      </w:r>
      <w:r w:rsidR="00422BD4" w:rsidRPr="00D407AE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D407AE">
        <w:rPr>
          <w:rFonts w:ascii="Arial Narrow" w:hAnsi="Arial Narrow" w:cstheme="minorHAnsi"/>
          <w:sz w:val="22"/>
          <w:szCs w:val="22"/>
        </w:rPr>
        <w:t xml:space="preserve">  </w:t>
      </w:r>
    </w:p>
    <w:p w14:paraId="0E200361" w14:textId="77777777" w:rsidR="009F5D15" w:rsidRPr="00D407A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9</w:t>
      </w:r>
      <w:r w:rsidR="009331FC" w:rsidRPr="00D407AE">
        <w:rPr>
          <w:rFonts w:ascii="Arial Narrow" w:hAnsi="Arial Narrow" w:cstheme="minorHAnsi"/>
          <w:sz w:val="22"/>
          <w:szCs w:val="22"/>
        </w:rPr>
        <w:t>.</w:t>
      </w:r>
      <w:r w:rsidR="4FBF657A" w:rsidRPr="00D407AE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D407AE">
        <w:rPr>
          <w:rFonts w:ascii="Arial Narrow" w:hAnsi="Arial Narrow" w:cstheme="minorHAnsi"/>
          <w:sz w:val="22"/>
          <w:szCs w:val="22"/>
        </w:rPr>
        <w:tab/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D407AE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D407AE">
        <w:rPr>
          <w:rFonts w:ascii="Arial Narrow" w:hAnsi="Arial Narrow" w:cstheme="minorHAnsi"/>
          <w:sz w:val="22"/>
          <w:szCs w:val="22"/>
        </w:rPr>
        <w:t> </w:t>
      </w:r>
      <w:r w:rsidR="00A51172" w:rsidRPr="00D407AE">
        <w:rPr>
          <w:rFonts w:ascii="Arial Narrow" w:hAnsi="Arial Narrow" w:cstheme="minorHAnsi"/>
          <w:sz w:val="22"/>
          <w:szCs w:val="22"/>
        </w:rPr>
        <w:t>o</w:t>
      </w:r>
      <w:r w:rsidR="008216C9" w:rsidRPr="00D407AE">
        <w:rPr>
          <w:rFonts w:ascii="Arial Narrow" w:hAnsi="Arial Narrow" w:cstheme="minorHAnsi"/>
          <w:sz w:val="22"/>
          <w:szCs w:val="22"/>
        </w:rPr>
        <w:t>bsluh</w:t>
      </w:r>
      <w:r w:rsidR="00D758AB" w:rsidRPr="00D407AE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D407AE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D407AE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D407AE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A51172" w:rsidRPr="00D407AE">
        <w:rPr>
          <w:rFonts w:ascii="Arial Narrow" w:hAnsi="Arial Narrow" w:cstheme="minorHAnsi"/>
          <w:sz w:val="22"/>
          <w:szCs w:val="22"/>
        </w:rPr>
        <w:t xml:space="preserve">do prevádzky v mieste dodania. O zaškolení spíšu </w:t>
      </w:r>
      <w:r w:rsidR="00D758AB" w:rsidRPr="00D407AE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D407AE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D407AE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D407AE">
        <w:rPr>
          <w:rFonts w:ascii="Arial Narrow" w:hAnsi="Arial Narrow" w:cstheme="minorHAnsi"/>
          <w:sz w:val="22"/>
          <w:szCs w:val="22"/>
        </w:rPr>
        <w:t>, s uveden</w:t>
      </w:r>
      <w:r w:rsidR="00D758AB" w:rsidRPr="00D407AE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D407AE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D407AE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D407AE">
        <w:rPr>
          <w:rFonts w:ascii="Arial Narrow" w:hAnsi="Arial Narrow" w:cstheme="minorHAnsi"/>
          <w:sz w:val="22"/>
          <w:szCs w:val="22"/>
        </w:rPr>
        <w:t>podpisom na protokole o zaškolení .</w:t>
      </w:r>
      <w:r w:rsidR="4DC16210"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7D2E6013" w14:textId="77777777" w:rsidR="00861BFD" w:rsidRPr="00D407AE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10</w:t>
      </w:r>
      <w:r w:rsidR="00577059" w:rsidRPr="00D407AE">
        <w:rPr>
          <w:rFonts w:ascii="Arial Narrow" w:hAnsi="Arial Narrow" w:cstheme="minorHAnsi"/>
          <w:sz w:val="22"/>
          <w:szCs w:val="22"/>
        </w:rPr>
        <w:t>.</w:t>
      </w:r>
      <w:r w:rsidR="00577059" w:rsidRPr="00D407AE">
        <w:rPr>
          <w:rFonts w:ascii="Arial Narrow" w:hAnsi="Arial Narrow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D407AE">
        <w:rPr>
          <w:rFonts w:ascii="Arial Narrow" w:hAnsi="Arial Narrow" w:cstheme="minorHAnsi"/>
          <w:sz w:val="22"/>
          <w:szCs w:val="22"/>
        </w:rPr>
        <w:t>7 (sedem)</w:t>
      </w:r>
      <w:r w:rsidR="00577059" w:rsidRPr="00D407AE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D407AE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D407AE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D407AE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D407AE">
        <w:rPr>
          <w:rFonts w:ascii="Arial Narrow" w:hAnsi="Arial Narrow" w:cstheme="minorHAnsi"/>
          <w:sz w:val="22"/>
          <w:szCs w:val="22"/>
        </w:rPr>
        <w:t xml:space="preserve"> Predávajúci  je povinný dodať a nainštalovať tovar na </w:t>
      </w:r>
      <w:r w:rsidR="00577059" w:rsidRPr="00D407AE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D407AE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7728AFCF" w14:textId="77777777" w:rsidR="00577059" w:rsidRPr="00D407A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11.</w:t>
      </w:r>
      <w:r w:rsidR="000E4A90" w:rsidRPr="00D407AE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D407AE">
        <w:rPr>
          <w:rFonts w:ascii="Arial Narrow" w:hAnsi="Arial Narrow" w:cstheme="minorHAnsi"/>
          <w:sz w:val="22"/>
          <w:szCs w:val="22"/>
        </w:rPr>
        <w:t>r</w:t>
      </w:r>
      <w:r w:rsidRPr="00D407AE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D407AE">
        <w:rPr>
          <w:rFonts w:ascii="Arial Narrow" w:hAnsi="Arial Narrow" w:cstheme="minorHAnsi"/>
          <w:sz w:val="22"/>
          <w:szCs w:val="22"/>
        </w:rPr>
        <w:t> </w:t>
      </w:r>
      <w:r w:rsidRPr="00D407AE">
        <w:rPr>
          <w:rFonts w:ascii="Arial Narrow" w:hAnsi="Arial Narrow" w:cstheme="minorHAnsi"/>
          <w:sz w:val="22"/>
          <w:szCs w:val="22"/>
        </w:rPr>
        <w:t>tovaru</w:t>
      </w:r>
      <w:r w:rsidR="000E4A90" w:rsidRPr="00D407AE">
        <w:rPr>
          <w:rFonts w:ascii="Arial Narrow" w:hAnsi="Arial Narrow" w:cstheme="minorHAnsi"/>
          <w:sz w:val="22"/>
          <w:szCs w:val="22"/>
        </w:rPr>
        <w:t>.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6EEDA297" w14:textId="4CC2122E" w:rsidR="004909CE" w:rsidRPr="00D407AE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D407AE">
        <w:rPr>
          <w:rFonts w:ascii="Arial Narrow" w:hAnsi="Arial Narrow" w:cstheme="minorHAnsi"/>
          <w:sz w:val="22"/>
          <w:szCs w:val="22"/>
        </w:rPr>
        <w:t>2</w:t>
      </w:r>
      <w:r w:rsidRPr="00D407AE">
        <w:rPr>
          <w:rFonts w:ascii="Arial Narrow" w:hAnsi="Arial Narrow" w:cstheme="minorHAnsi"/>
          <w:sz w:val="22"/>
          <w:szCs w:val="22"/>
        </w:rPr>
        <w:t xml:space="preserve">. </w:t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="004909CE" w:rsidRPr="00D407AE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D407AE">
        <w:rPr>
          <w:rFonts w:ascii="Arial Narrow" w:hAnsi="Arial Narrow" w:cstheme="minorHAnsi"/>
          <w:sz w:val="22"/>
          <w:szCs w:val="22"/>
        </w:rPr>
        <w:t>predávajúcim sa</w:t>
      </w:r>
      <w:r w:rsidR="00D407AE">
        <w:rPr>
          <w:rFonts w:ascii="Arial Narrow" w:hAnsi="Arial Narrow" w:cstheme="minorHAnsi"/>
          <w:sz w:val="22"/>
          <w:szCs w:val="22"/>
        </w:rPr>
        <w:t xml:space="preserve"> </w:t>
      </w:r>
      <w:r w:rsidR="004909CE" w:rsidRPr="00D407AE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D407AE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D407AE">
        <w:rPr>
          <w:rFonts w:ascii="Arial Narrow" w:hAnsi="Arial Narrow" w:cstheme="minorHAnsi"/>
          <w:sz w:val="22"/>
          <w:szCs w:val="22"/>
        </w:rPr>
        <w:tab/>
      </w:r>
      <w:r w:rsidR="00ED18BF" w:rsidRPr="00D407AE">
        <w:rPr>
          <w:rFonts w:ascii="Arial Narrow" w:hAnsi="Arial Narrow" w:cstheme="minorHAnsi"/>
          <w:sz w:val="22"/>
          <w:szCs w:val="22"/>
        </w:rPr>
        <w:t>zmluvou</w:t>
      </w:r>
      <w:r w:rsidR="00A847C2" w:rsidRPr="00D407AE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D407AE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D407AE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D407AE">
        <w:rPr>
          <w:rFonts w:ascii="Arial Narrow" w:hAnsi="Arial Narrow" w:cstheme="minorHAnsi"/>
          <w:sz w:val="22"/>
          <w:szCs w:val="22"/>
        </w:rPr>
        <w:t> príloh</w:t>
      </w:r>
      <w:r w:rsidR="002061E5" w:rsidRPr="00D407AE">
        <w:rPr>
          <w:rFonts w:ascii="Arial Narrow" w:hAnsi="Arial Narrow" w:cstheme="minorHAnsi"/>
          <w:sz w:val="22"/>
          <w:szCs w:val="22"/>
        </w:rPr>
        <w:t>y</w:t>
      </w:r>
      <w:r w:rsidR="00ED18BF" w:rsidRPr="00D407AE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D407AE">
        <w:rPr>
          <w:rFonts w:ascii="Arial Narrow" w:hAnsi="Arial Narrow" w:cstheme="minorHAnsi"/>
          <w:sz w:val="22"/>
          <w:szCs w:val="22"/>
        </w:rPr>
        <w:t>. tejto zmluvy</w:t>
      </w:r>
      <w:r w:rsidR="00ED18BF" w:rsidRPr="00D407AE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D407AE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A847C2" w:rsidRPr="00D407AE">
        <w:rPr>
          <w:rFonts w:ascii="Arial Narrow" w:hAnsi="Arial Narrow" w:cstheme="minorHAnsi"/>
          <w:sz w:val="22"/>
          <w:szCs w:val="22"/>
        </w:rPr>
        <w:tab/>
      </w:r>
      <w:r w:rsidR="002061E5" w:rsidRPr="00D407AE">
        <w:rPr>
          <w:rFonts w:ascii="Arial Narrow" w:hAnsi="Arial Narrow" w:cstheme="minorHAnsi"/>
          <w:sz w:val="22"/>
          <w:szCs w:val="22"/>
        </w:rPr>
        <w:t>podpísanie</w:t>
      </w:r>
      <w:r w:rsidR="00A847C2" w:rsidRPr="00D407AE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D407AE">
        <w:rPr>
          <w:rFonts w:ascii="Arial Narrow" w:hAnsi="Arial Narrow" w:cstheme="minorHAnsi"/>
          <w:sz w:val="22"/>
          <w:szCs w:val="22"/>
        </w:rPr>
        <w:t>/dodacieho listu</w:t>
      </w:r>
      <w:r w:rsidR="00A847C2" w:rsidRPr="00D407AE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14:paraId="2D836794" w14:textId="2689BD5B" w:rsidR="00922DA8" w:rsidRPr="00D407AE" w:rsidRDefault="00203D7E" w:rsidP="00D407AE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13. </w:t>
      </w:r>
      <w:r w:rsidRPr="00D407AE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D407AE">
        <w:rPr>
          <w:rFonts w:ascii="Arial Narrow" w:hAnsi="Arial Narrow" w:cstheme="minorHAnsi"/>
          <w:sz w:val="22"/>
          <w:szCs w:val="22"/>
        </w:rPr>
        <w:t>tak</w:t>
      </w:r>
      <w:r w:rsidRPr="00D407AE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D407AE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D407AE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D407AE">
        <w:rPr>
          <w:rFonts w:ascii="Arial Narrow" w:hAnsi="Arial Narrow" w:cstheme="minorHAnsi"/>
          <w:sz w:val="22"/>
          <w:szCs w:val="22"/>
        </w:rPr>
        <w:t>3 (tr</w:t>
      </w:r>
      <w:r w:rsidR="00424238" w:rsidRPr="00D407AE">
        <w:rPr>
          <w:rFonts w:ascii="Arial Narrow" w:hAnsi="Arial Narrow" w:cstheme="minorHAnsi"/>
          <w:sz w:val="22"/>
          <w:szCs w:val="22"/>
        </w:rPr>
        <w:t>och</w:t>
      </w:r>
      <w:r w:rsidR="00D53EBD" w:rsidRPr="00D407AE">
        <w:rPr>
          <w:rFonts w:ascii="Arial Narrow" w:hAnsi="Arial Narrow" w:cstheme="minorHAnsi"/>
          <w:sz w:val="22"/>
          <w:szCs w:val="22"/>
        </w:rPr>
        <w:t xml:space="preserve">) </w:t>
      </w:r>
      <w:r w:rsidR="00B203E6" w:rsidRPr="00D407AE">
        <w:rPr>
          <w:rFonts w:ascii="Arial Narrow" w:hAnsi="Arial Narrow" w:cstheme="minorHAnsi"/>
          <w:sz w:val="22"/>
          <w:szCs w:val="22"/>
        </w:rPr>
        <w:t xml:space="preserve"> kalendárnych dní odo dňa účinnosti tejto zmluvy predložiť kupujúcemu </w:t>
      </w:r>
      <w:r w:rsidR="00922DA8" w:rsidRPr="00D407AE">
        <w:rPr>
          <w:rFonts w:ascii="Arial Narrow" w:hAnsi="Arial Narrow" w:cstheme="minorHAnsi"/>
          <w:sz w:val="22"/>
          <w:szCs w:val="22"/>
        </w:rPr>
        <w:t xml:space="preserve"> technickú špecifikáciu tovaru a písomnú špecifikáciu ním požadovanej technickej pripravenosti miesta dodania, </w:t>
      </w:r>
      <w:r w:rsidR="00A763AE">
        <w:rPr>
          <w:rFonts w:ascii="Arial Narrow" w:hAnsi="Arial Narrow" w:cstheme="minorHAnsi"/>
          <w:sz w:val="22"/>
          <w:szCs w:val="22"/>
        </w:rPr>
        <w:t xml:space="preserve">       </w:t>
      </w:r>
      <w:r w:rsidR="00922DA8" w:rsidRPr="00D407AE">
        <w:rPr>
          <w:rFonts w:ascii="Arial Narrow" w:hAnsi="Arial Narrow" w:cstheme="minorHAnsi"/>
          <w:sz w:val="22"/>
          <w:szCs w:val="22"/>
          <w:u w:val="single"/>
        </w:rPr>
        <w:t>ak je potrebné pre riadne dodanie a inštaláciu tovaru pripraviť miesto dodania.</w:t>
      </w:r>
      <w:r w:rsidR="00922DA8" w:rsidRPr="00D407AE">
        <w:rPr>
          <w:rFonts w:ascii="Arial Narrow" w:hAnsi="Arial Narrow" w:cstheme="minorHAnsi"/>
          <w:sz w:val="22"/>
          <w:szCs w:val="22"/>
        </w:rPr>
        <w:t xml:space="preserve"> V prípade realizácie technickej pripravenosti podľa požiadavky predávajúceho, je predávajúci povinný v Inštalačnom protokole písomne potvrdiť, že technická pripravenosť miesta inštalácie zodpovedá jeho požiadavkám a je vhodná pre inštaláciu tovaru. </w:t>
      </w:r>
    </w:p>
    <w:p w14:paraId="252961D3" w14:textId="4C404660" w:rsidR="00B7674B" w:rsidRPr="00D407AE" w:rsidRDefault="00B7674B" w:rsidP="00D407AE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14. </w:t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Pr="00D407AE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14:paraId="3F9A92F3" w14:textId="58D8BEA5" w:rsidR="00DE6764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14:paraId="0E169DC1" w14:textId="77777777" w:rsidR="00D407AE" w:rsidRPr="00D407AE" w:rsidRDefault="00D407AE" w:rsidP="00D407AE"/>
    <w:p w14:paraId="28045011" w14:textId="77777777" w:rsidR="0051451F" w:rsidRPr="00D407AE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14:paraId="48806335" w14:textId="77777777" w:rsidR="00295B0A" w:rsidRPr="00D407AE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D407AE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D407AE">
        <w:rPr>
          <w:rFonts w:ascii="Arial Narrow" w:hAnsi="Arial Narrow" w:cstheme="minorHAnsi"/>
          <w:sz w:val="22"/>
          <w:szCs w:val="22"/>
        </w:rPr>
        <w:t>účinnosti</w:t>
      </w:r>
      <w:r w:rsidR="00914E78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D407AE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D407AE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D407AE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D407AE">
        <w:rPr>
          <w:rFonts w:ascii="Arial Narrow" w:hAnsi="Arial Narrow" w:cstheme="minorHAnsi"/>
          <w:sz w:val="22"/>
          <w:szCs w:val="22"/>
        </w:rPr>
        <w:t xml:space="preserve"> okrem ustanovení</w:t>
      </w:r>
      <w:r w:rsidR="002061E5" w:rsidRPr="00D407AE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D407AE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D407AE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D407AE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006AC997" w14:textId="77777777" w:rsidR="00801614" w:rsidRPr="00D407AE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D407AE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D407AE">
        <w:rPr>
          <w:rFonts w:ascii="Arial Narrow" w:hAnsi="Arial Narrow" w:cstheme="minorHAnsi"/>
          <w:sz w:val="22"/>
          <w:szCs w:val="22"/>
        </w:rPr>
        <w:t>i</w:t>
      </w:r>
      <w:r w:rsidR="000E4A90" w:rsidRPr="00D407AE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14:paraId="1BC45776" w14:textId="77777777" w:rsidR="00411A21" w:rsidRPr="00D407AE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D407AE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D407AE">
        <w:rPr>
          <w:rFonts w:ascii="Arial Narrow" w:hAnsi="Arial Narrow" w:cstheme="minorHAnsi"/>
          <w:sz w:val="22"/>
          <w:szCs w:val="22"/>
        </w:rPr>
        <w:t>je možné</w:t>
      </w:r>
      <w:r w:rsidR="00D03C45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D407AE">
        <w:rPr>
          <w:rFonts w:ascii="Arial Narrow" w:hAnsi="Arial Narrow" w:cstheme="minorHAnsi"/>
          <w:sz w:val="22"/>
          <w:szCs w:val="22"/>
        </w:rPr>
        <w:t>ukončiť:</w:t>
      </w:r>
    </w:p>
    <w:p w14:paraId="565C06C9" w14:textId="77777777" w:rsidR="00411A21" w:rsidRPr="00D407AE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D407AE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D407AE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D407AE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D407AE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D407AE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D407AE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D407AE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D407AE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D407AE" w:rsidRDefault="47633983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411A21" w:rsidRPr="00D407AE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D407AE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="00411A21" w:rsidRPr="00D407AE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D407AE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="00411A21" w:rsidRPr="00D407AE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D407AE">
        <w:rPr>
          <w:rFonts w:ascii="Arial Narrow" w:hAnsi="Arial Narrow" w:cstheme="minorHAnsi"/>
          <w:sz w:val="22"/>
          <w:szCs w:val="22"/>
          <w:lang w:val="sk-SK"/>
        </w:rPr>
        <w:t>í</w:t>
      </w:r>
      <w:r w:rsidR="00411A21" w:rsidRPr="00D407AE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D407AE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="00411A21" w:rsidRPr="00D407AE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D407AE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="00411A21" w:rsidRPr="00D407AE">
        <w:rPr>
          <w:rFonts w:ascii="Arial Narrow" w:hAnsi="Arial Narrow" w:cstheme="minorHAnsi"/>
          <w:sz w:val="22"/>
          <w:szCs w:val="22"/>
          <w:lang w:val="sk-SK"/>
        </w:rPr>
        <w:t xml:space="preserve"> sídla druhej zmluvnej </w:t>
      </w:r>
      <w:r w:rsidR="002F232A" w:rsidRPr="00D407AE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D407AE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D407AE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D407AE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 </w:t>
      </w:r>
      <w:r w:rsidR="00874BD4" w:rsidRPr="00D407AE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14:paraId="01A56E38" w14:textId="77777777" w:rsidR="002F232A" w:rsidRPr="00D407AE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D407AE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D407AE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D407AE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D407AE">
        <w:rPr>
          <w:rFonts w:ascii="Arial Narrow" w:hAnsi="Arial Narrow" w:cstheme="minorHAnsi"/>
          <w:sz w:val="22"/>
          <w:szCs w:val="22"/>
          <w:lang w:val="sk-SK"/>
        </w:rPr>
        <w:t>,</w:t>
      </w:r>
    </w:p>
    <w:p w14:paraId="428208B9" w14:textId="77777777" w:rsidR="002F232A" w:rsidRPr="00D407AE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D407AE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D407AE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D407AE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D407AE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D407AE">
        <w:rPr>
          <w:rFonts w:ascii="Arial Narrow" w:hAnsi="Arial Narrow" w:cstheme="minorHAnsi"/>
          <w:sz w:val="22"/>
          <w:szCs w:val="22"/>
          <w:lang w:val="sk-SK"/>
        </w:rPr>
        <w:t>u</w:t>
      </w:r>
      <w:r w:rsidRPr="00D407AE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D407AE">
        <w:rPr>
          <w:rFonts w:ascii="Arial Narrow" w:hAnsi="Arial Narrow" w:cstheme="minorHAnsi"/>
          <w:sz w:val="22"/>
          <w:szCs w:val="22"/>
          <w:lang w:val="sk-SK"/>
        </w:rPr>
        <w:t xml:space="preserve">po predložení  </w:t>
      </w:r>
      <w:r w:rsidRPr="00D407AE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D407AE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D407AE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D407AE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D407AE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D407AE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14:paraId="11958BC2" w14:textId="77777777" w:rsidR="00E35DFA" w:rsidRPr="00D407AE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D407AE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D407AE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D407AE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D407AE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D407AE">
        <w:rPr>
          <w:rFonts w:ascii="Arial Narrow" w:hAnsi="Arial Narrow" w:cstheme="minorHAnsi"/>
          <w:sz w:val="22"/>
          <w:szCs w:val="22"/>
          <w:lang w:val="sk-SK"/>
        </w:rPr>
        <w:t xml:space="preserve"> podľa </w:t>
      </w:r>
      <w:r w:rsidR="008E076E" w:rsidRPr="00D407AE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D407AE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D407AE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D407AE">
        <w:rPr>
          <w:rFonts w:ascii="Arial Narrow" w:hAnsi="Arial Narrow" w:cstheme="minorHAnsi"/>
          <w:sz w:val="22"/>
          <w:szCs w:val="22"/>
          <w:lang w:val="sk-SK"/>
        </w:rPr>
        <w:tab/>
      </w:r>
    </w:p>
    <w:p w14:paraId="311F5BA8" w14:textId="77777777" w:rsidR="00B7674B" w:rsidRPr="00D407AE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D407AE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14:paraId="1B0C0F21" w14:textId="0379AE6C" w:rsidR="003D1E89" w:rsidRPr="00D407AE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="Calibri"/>
          <w:sz w:val="22"/>
          <w:szCs w:val="22"/>
          <w:lang w:val="sk-SK"/>
        </w:rPr>
      </w:pPr>
    </w:p>
    <w:p w14:paraId="661721CD" w14:textId="77777777" w:rsidR="009610F1" w:rsidRPr="00D407AE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14:paraId="2078AEB5" w14:textId="77777777" w:rsidR="0051451F" w:rsidRPr="00D407A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D407AE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D407AE">
        <w:rPr>
          <w:rFonts w:ascii="Arial Narrow" w:hAnsi="Arial Narrow" w:cstheme="minorHAnsi"/>
          <w:sz w:val="22"/>
          <w:szCs w:val="22"/>
        </w:rPr>
        <w:t> </w:t>
      </w:r>
      <w:r w:rsidRPr="00D407AE">
        <w:rPr>
          <w:rFonts w:ascii="Arial Narrow" w:hAnsi="Arial Narrow" w:cstheme="minorHAnsi"/>
          <w:sz w:val="22"/>
          <w:szCs w:val="22"/>
        </w:rPr>
        <w:t>cenách</w:t>
      </w:r>
      <w:r w:rsidR="001E6E36" w:rsidRPr="00D407AE">
        <w:rPr>
          <w:rFonts w:ascii="Arial Narrow" w:hAnsi="Arial Narrow" w:cstheme="minorHAnsi"/>
          <w:sz w:val="22"/>
          <w:szCs w:val="22"/>
        </w:rPr>
        <w:t>,</w:t>
      </w:r>
      <w:r w:rsidRPr="00D407AE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D407AE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D407AE">
        <w:rPr>
          <w:rFonts w:ascii="Arial Narrow" w:hAnsi="Arial Narrow" w:cstheme="minorHAnsi"/>
          <w:sz w:val="22"/>
          <w:szCs w:val="22"/>
        </w:rPr>
        <w:t xml:space="preserve"> ,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D407AE">
        <w:rPr>
          <w:rFonts w:ascii="Arial Narrow" w:hAnsi="Arial Narrow" w:cstheme="minorHAnsi"/>
          <w:sz w:val="22"/>
          <w:szCs w:val="22"/>
        </w:rPr>
        <w:t>takto :</w:t>
      </w:r>
    </w:p>
    <w:p w14:paraId="503A72E0" w14:textId="77777777" w:rsidR="0064752D" w:rsidRPr="00D407AE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14:paraId="6D55CD1F" w14:textId="77777777" w:rsidR="00E54CE5" w:rsidRPr="00D407AE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bCs/>
          <w:sz w:val="22"/>
          <w:szCs w:val="22"/>
        </w:rPr>
        <w:tab/>
      </w:r>
      <w:r w:rsidR="00E54CE5" w:rsidRPr="00D407AE">
        <w:rPr>
          <w:rFonts w:ascii="Arial Narrow" w:hAnsi="Arial Narrow" w:cstheme="minorHAnsi"/>
          <w:sz w:val="22"/>
          <w:szCs w:val="22"/>
        </w:rPr>
        <w:t xml:space="preserve">Kúpna cena za dodaný tovar podľa tejto zmluvy  je </w:t>
      </w:r>
      <w:r w:rsidR="006E7F0B" w:rsidRPr="00D407AE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D407AE">
        <w:rPr>
          <w:rFonts w:ascii="Arial Narrow" w:hAnsi="Arial Narrow" w:cstheme="minorHAnsi"/>
          <w:sz w:val="22"/>
          <w:szCs w:val="22"/>
        </w:rPr>
        <w:t xml:space="preserve"> €  bez DPH, slovom: </w:t>
      </w:r>
      <w:r w:rsidR="006E7F0B" w:rsidRPr="00D407AE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7F1049" w:rsidRPr="00D407AE">
        <w:rPr>
          <w:rFonts w:ascii="Arial Narrow" w:hAnsi="Arial Narrow" w:cstheme="minorHAnsi"/>
          <w:sz w:val="22"/>
          <w:szCs w:val="22"/>
        </w:rPr>
        <w:t>euro</w:t>
      </w:r>
      <w:r w:rsidR="006E7F0B" w:rsidRPr="00D407AE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D407AE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D407AE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D407AE">
        <w:rPr>
          <w:rFonts w:ascii="Arial Narrow" w:hAnsi="Arial Narrow" w:cstheme="minorHAnsi"/>
          <w:sz w:val="22"/>
          <w:szCs w:val="22"/>
        </w:rPr>
        <w:t>20</w:t>
      </w:r>
      <w:r w:rsidR="00D4415F" w:rsidRPr="00D407AE">
        <w:rPr>
          <w:rFonts w:ascii="Arial Narrow" w:hAnsi="Arial Narrow" w:cstheme="minorHAnsi"/>
          <w:sz w:val="22"/>
          <w:szCs w:val="22"/>
        </w:rPr>
        <w:t xml:space="preserve"> % vo </w:t>
      </w:r>
      <w:r w:rsidRPr="00D407AE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D407AE">
        <w:rPr>
          <w:rFonts w:ascii="Arial Narrow" w:hAnsi="Arial Narrow" w:cstheme="minorHAnsi"/>
          <w:sz w:val="22"/>
          <w:szCs w:val="22"/>
        </w:rPr>
        <w:t>.....................</w:t>
      </w:r>
      <w:r w:rsidRPr="00D407AE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D407AE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D407AE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D407AE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D407AE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D407AE">
        <w:rPr>
          <w:rFonts w:ascii="Arial Narrow" w:hAnsi="Arial Narrow" w:cstheme="minorHAnsi"/>
          <w:sz w:val="22"/>
          <w:szCs w:val="22"/>
        </w:rPr>
        <w:t xml:space="preserve"> centov.</w:t>
      </w:r>
    </w:p>
    <w:p w14:paraId="2DF6E404" w14:textId="77777777" w:rsidR="00E54CE5" w:rsidRPr="00D407AE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b/>
          <w:sz w:val="22"/>
          <w:szCs w:val="22"/>
        </w:rPr>
        <w:t>Celková kúpna cena za dodaný tovar podľa tejto zmluvy  je</w:t>
      </w:r>
      <w:r w:rsidR="007F1049" w:rsidRPr="00D407A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D407AE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D407AE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D407AE">
        <w:rPr>
          <w:rFonts w:ascii="Arial Narrow" w:hAnsi="Arial Narrow" w:cstheme="minorHAnsi"/>
          <w:b/>
          <w:sz w:val="22"/>
          <w:szCs w:val="22"/>
        </w:rPr>
        <w:t>€  s DPH,</w:t>
      </w:r>
      <w:r w:rsidRPr="00D407AE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D407AE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D407AE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D407AE">
        <w:rPr>
          <w:rFonts w:ascii="Arial Narrow" w:hAnsi="Arial Narrow" w:cstheme="minorHAnsi"/>
          <w:sz w:val="22"/>
          <w:szCs w:val="22"/>
        </w:rPr>
        <w:t>euro</w:t>
      </w:r>
      <w:r w:rsidR="00987626" w:rsidRPr="00D407AE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D407AE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D407AE">
        <w:rPr>
          <w:rFonts w:ascii="Arial Narrow" w:hAnsi="Arial Narrow" w:cstheme="minorHAnsi"/>
          <w:sz w:val="22"/>
          <w:szCs w:val="22"/>
        </w:rPr>
        <w:t xml:space="preserve"> centov.</w:t>
      </w:r>
    </w:p>
    <w:p w14:paraId="73964784" w14:textId="77777777" w:rsidR="00643C33" w:rsidRPr="00D407AE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="Arial"/>
          <w:sz w:val="22"/>
          <w:szCs w:val="22"/>
        </w:rPr>
      </w:pPr>
      <w:r w:rsidRPr="00D407AE">
        <w:rPr>
          <w:rFonts w:ascii="Arial Narrow" w:hAnsi="Arial Narrow" w:cs="Arial"/>
          <w:sz w:val="22"/>
          <w:szCs w:val="22"/>
        </w:rPr>
        <w:tab/>
      </w:r>
      <w:r w:rsidR="006314A5" w:rsidRPr="00D407AE">
        <w:rPr>
          <w:rFonts w:ascii="Arial Narrow" w:hAnsi="Arial Narrow" w:cs="Arial"/>
          <w:sz w:val="22"/>
          <w:szCs w:val="22"/>
        </w:rPr>
        <w:t>K</w:t>
      </w:r>
      <w:r w:rsidR="00922DA8" w:rsidRPr="00D407AE">
        <w:rPr>
          <w:rFonts w:ascii="Arial Narrow" w:hAnsi="Arial Narrow" w:cs="Arial"/>
          <w:sz w:val="22"/>
          <w:szCs w:val="22"/>
        </w:rPr>
        <w:t xml:space="preserve">alkulácia ceny (cena  </w:t>
      </w:r>
      <w:r w:rsidRPr="00D407AE">
        <w:rPr>
          <w:rFonts w:ascii="Arial Narrow" w:hAnsi="Arial Narrow" w:cs="Arial"/>
          <w:sz w:val="22"/>
          <w:szCs w:val="22"/>
        </w:rPr>
        <w:t>jednotlivých položiek</w:t>
      </w:r>
      <w:r w:rsidR="00922DA8" w:rsidRPr="00D407AE">
        <w:rPr>
          <w:rFonts w:ascii="Arial Narrow" w:hAnsi="Arial Narrow" w:cs="Arial"/>
          <w:sz w:val="22"/>
          <w:szCs w:val="22"/>
        </w:rPr>
        <w:t>)</w:t>
      </w:r>
      <w:r w:rsidRPr="00D407AE">
        <w:rPr>
          <w:rFonts w:ascii="Arial Narrow" w:hAnsi="Arial Narrow" w:cs="Arial"/>
          <w:sz w:val="22"/>
          <w:szCs w:val="22"/>
        </w:rPr>
        <w:t xml:space="preserve"> dodaného tovaru, vrátane príslušenstva k tovaru je uvedená </w:t>
      </w:r>
      <w:r w:rsidRPr="00D407AE">
        <w:rPr>
          <w:rFonts w:ascii="Arial Narrow" w:hAnsi="Arial Narrow" w:cs="Arial"/>
          <w:sz w:val="22"/>
          <w:szCs w:val="22"/>
          <w:u w:val="single"/>
        </w:rPr>
        <w:t>v </w:t>
      </w:r>
      <w:r w:rsidRPr="00D407AE">
        <w:rPr>
          <w:rFonts w:ascii="Arial Narrow" w:hAnsi="Arial Narrow" w:cs="Arial"/>
          <w:b/>
          <w:bCs/>
          <w:sz w:val="22"/>
          <w:szCs w:val="22"/>
          <w:u w:val="single"/>
        </w:rPr>
        <w:t>prílohe č. 2</w:t>
      </w:r>
      <w:r w:rsidRPr="00D407AE">
        <w:rPr>
          <w:rFonts w:ascii="Arial Narrow" w:hAnsi="Arial Narrow" w:cs="Arial"/>
          <w:sz w:val="22"/>
          <w:szCs w:val="22"/>
        </w:rPr>
        <w:t xml:space="preserve"> tejto zmluvy.</w:t>
      </w:r>
    </w:p>
    <w:p w14:paraId="67427987" w14:textId="77777777" w:rsidR="009F7667" w:rsidRPr="00D407AE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D407AE">
        <w:rPr>
          <w:rFonts w:ascii="Arial Narrow" w:hAnsi="Arial Narrow" w:cstheme="minorHAnsi"/>
          <w:sz w:val="22"/>
          <w:szCs w:val="22"/>
        </w:rPr>
        <w:t>c</w:t>
      </w:r>
      <w:r w:rsidR="0064752D" w:rsidRPr="00D407AE">
        <w:rPr>
          <w:rFonts w:ascii="Arial Narrow" w:hAnsi="Arial Narrow" w:cstheme="minorHAnsi"/>
          <w:sz w:val="22"/>
          <w:szCs w:val="22"/>
        </w:rPr>
        <w:t>en</w:t>
      </w:r>
      <w:r w:rsidR="001D4D76" w:rsidRPr="00D407AE">
        <w:rPr>
          <w:rFonts w:ascii="Arial Narrow" w:hAnsi="Arial Narrow" w:cstheme="minorHAnsi"/>
          <w:sz w:val="22"/>
          <w:szCs w:val="22"/>
        </w:rPr>
        <w:t>ou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 za nový, </w:t>
      </w:r>
      <w:r w:rsidR="006314A5" w:rsidRPr="00D407AE">
        <w:rPr>
          <w:rFonts w:ascii="Arial Narrow" w:hAnsi="Arial Narrow" w:cstheme="minorHAnsi"/>
          <w:sz w:val="22"/>
          <w:szCs w:val="22"/>
        </w:rPr>
        <w:t xml:space="preserve">nepoužívaný, nerepasovaný, </w:t>
      </w:r>
      <w:r w:rsidR="00EF194C" w:rsidRPr="00D407AE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D407AE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D407AE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D407AE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D407AE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D407AE">
        <w:rPr>
          <w:rFonts w:ascii="Arial Narrow" w:hAnsi="Arial Narrow" w:cstheme="minorHAnsi"/>
          <w:sz w:val="22"/>
          <w:szCs w:val="22"/>
        </w:rPr>
        <w:t>cene</w:t>
      </w:r>
      <w:r w:rsidR="001D4D76" w:rsidRPr="00D407AE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D407AE">
        <w:rPr>
          <w:rFonts w:ascii="Arial Narrow" w:hAnsi="Arial Narrow" w:cstheme="minorHAnsi"/>
          <w:sz w:val="22"/>
          <w:szCs w:val="22"/>
        </w:rPr>
        <w:t>1</w:t>
      </w:r>
      <w:r w:rsidR="001D4D76" w:rsidRPr="00D407AE">
        <w:rPr>
          <w:rFonts w:ascii="Arial Narrow" w:hAnsi="Arial Narrow" w:cstheme="minorHAnsi"/>
          <w:sz w:val="22"/>
          <w:szCs w:val="22"/>
        </w:rPr>
        <w:t xml:space="preserve">. tohto článku 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D407AE">
        <w:rPr>
          <w:rFonts w:ascii="Arial Narrow" w:hAnsi="Arial Narrow" w:cstheme="minorHAnsi"/>
          <w:sz w:val="22"/>
          <w:szCs w:val="22"/>
        </w:rPr>
        <w:t>je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D407AE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D407AE">
        <w:rPr>
          <w:rFonts w:ascii="Arial Narrow" w:hAnsi="Arial Narrow" w:cstheme="minorHAnsi"/>
          <w:sz w:val="22"/>
          <w:szCs w:val="22"/>
        </w:rPr>
        <w:t>cena tovaru,</w:t>
      </w:r>
      <w:r w:rsidR="00FA388C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D407AE">
        <w:rPr>
          <w:rFonts w:ascii="Arial Narrow" w:hAnsi="Arial Narrow" w:cstheme="minorHAnsi"/>
          <w:sz w:val="22"/>
          <w:szCs w:val="22"/>
        </w:rPr>
        <w:t xml:space="preserve">náklady na  </w:t>
      </w:r>
      <w:r w:rsidR="0064752D" w:rsidRPr="00D407AE">
        <w:rPr>
          <w:rFonts w:ascii="Arial Narrow" w:hAnsi="Arial Narrow" w:cstheme="minorHAnsi"/>
          <w:sz w:val="22"/>
          <w:szCs w:val="22"/>
        </w:rPr>
        <w:t>inštaláci</w:t>
      </w:r>
      <w:r w:rsidR="001D4D76" w:rsidRPr="00D407AE">
        <w:rPr>
          <w:rFonts w:ascii="Arial Narrow" w:hAnsi="Arial Narrow" w:cstheme="minorHAnsi"/>
          <w:sz w:val="22"/>
          <w:szCs w:val="22"/>
        </w:rPr>
        <w:t>u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D407AE">
        <w:rPr>
          <w:rFonts w:ascii="Arial Narrow" w:hAnsi="Arial Narrow" w:cstheme="minorHAnsi"/>
          <w:sz w:val="22"/>
          <w:szCs w:val="22"/>
        </w:rPr>
        <w:t>e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D407AE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D407AE">
        <w:rPr>
          <w:rFonts w:ascii="Arial Narrow" w:hAnsi="Arial Narrow" w:cstheme="minorHAnsi"/>
          <w:sz w:val="22"/>
          <w:szCs w:val="22"/>
        </w:rPr>
        <w:t xml:space="preserve"> a údržbe </w:t>
      </w:r>
      <w:r w:rsidR="001D4D76" w:rsidRPr="00D407AE">
        <w:rPr>
          <w:rFonts w:ascii="Arial Narrow" w:hAnsi="Arial Narrow" w:cstheme="minorHAnsi"/>
          <w:sz w:val="22"/>
          <w:szCs w:val="22"/>
        </w:rPr>
        <w:t>tovaru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D407AE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D407AE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D407AE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D407AE">
        <w:rPr>
          <w:rFonts w:ascii="Arial Narrow" w:hAnsi="Arial Narrow" w:cstheme="minorHAnsi"/>
          <w:sz w:val="22"/>
          <w:szCs w:val="22"/>
        </w:rPr>
        <w:t> </w:t>
      </w:r>
      <w:r w:rsidR="0064752D" w:rsidRPr="00D407AE">
        <w:rPr>
          <w:rFonts w:ascii="Arial Narrow" w:hAnsi="Arial Narrow" w:cstheme="minorHAnsi"/>
          <w:sz w:val="22"/>
          <w:szCs w:val="22"/>
        </w:rPr>
        <w:t>údržba</w:t>
      </w:r>
      <w:r w:rsidR="00D920DD" w:rsidRPr="00D407AE">
        <w:rPr>
          <w:rFonts w:ascii="Arial Narrow" w:hAnsi="Arial Narrow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 počas</w:t>
      </w:r>
      <w:r w:rsidR="00D920DD" w:rsidRPr="00D407AE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D407AE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D407AE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14:paraId="7C3D2381" w14:textId="77777777" w:rsidR="006704BD" w:rsidRPr="00D407AE" w:rsidRDefault="006704BD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lastRenderedPageBreak/>
        <w:t xml:space="preserve">Právo na zaplatenie </w:t>
      </w:r>
      <w:r w:rsidR="00D920DD" w:rsidRPr="00D407AE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D407AE">
        <w:rPr>
          <w:rFonts w:ascii="Arial Narrow" w:hAnsi="Arial Narrow" w:cstheme="minorHAnsi"/>
          <w:sz w:val="22"/>
          <w:szCs w:val="22"/>
        </w:rPr>
        <w:t xml:space="preserve">kúpnej </w:t>
      </w:r>
      <w:r w:rsidRPr="00D407AE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D407AE">
        <w:rPr>
          <w:rFonts w:ascii="Arial Narrow" w:hAnsi="Arial Narrow" w:cstheme="minorHAnsi"/>
          <w:sz w:val="22"/>
          <w:szCs w:val="22"/>
        </w:rPr>
        <w:t>ov</w:t>
      </w:r>
      <w:r w:rsidR="00152026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Pr="00D407AE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D407AE">
        <w:rPr>
          <w:rFonts w:ascii="Arial Narrow" w:hAnsi="Arial Narrow" w:cstheme="minorHAnsi"/>
          <w:sz w:val="22"/>
          <w:szCs w:val="22"/>
        </w:rPr>
        <w:t>uvedeným v</w:t>
      </w:r>
      <w:r w:rsidR="00D920DD" w:rsidRPr="00D407AE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D407AE">
        <w:rPr>
          <w:rFonts w:ascii="Arial Narrow" w:hAnsi="Arial Narrow" w:cstheme="minorHAnsi"/>
          <w:sz w:val="22"/>
          <w:szCs w:val="22"/>
        </w:rPr>
        <w:t>tejto zmluvy.</w:t>
      </w:r>
    </w:p>
    <w:p w14:paraId="5088088B" w14:textId="77777777" w:rsidR="00034E31" w:rsidRPr="00D407AE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D407AE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D407AE">
        <w:rPr>
          <w:rFonts w:ascii="Arial Narrow" w:hAnsi="Arial Narrow" w:cstheme="minorHAnsi"/>
          <w:sz w:val="22"/>
          <w:szCs w:val="22"/>
        </w:rPr>
        <w:t>2</w:t>
      </w:r>
      <w:r w:rsidR="000F2E3D" w:rsidRPr="00D407AE">
        <w:rPr>
          <w:rFonts w:ascii="Arial Narrow" w:hAnsi="Arial Narrow" w:cstheme="minorHAnsi"/>
          <w:sz w:val="22"/>
          <w:szCs w:val="22"/>
        </w:rPr>
        <w:t>.tejto zmluvy</w:t>
      </w:r>
      <w:r w:rsidR="00C058E1" w:rsidRPr="00D407AE">
        <w:rPr>
          <w:rFonts w:ascii="Arial Narrow" w:hAnsi="Arial Narrow" w:cstheme="minorHAnsi"/>
          <w:sz w:val="22"/>
          <w:szCs w:val="22"/>
        </w:rPr>
        <w:t>.</w:t>
      </w:r>
      <w:r w:rsidR="00B7674B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D407AE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D407AE">
        <w:rPr>
          <w:rFonts w:ascii="Arial Narrow" w:hAnsi="Arial Narrow" w:cstheme="minorHAnsi"/>
          <w:sz w:val="22"/>
          <w:szCs w:val="22"/>
        </w:rPr>
        <w:t>60</w:t>
      </w:r>
      <w:r w:rsidR="000F59F2" w:rsidRPr="00D407AE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D407AE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D407AE">
        <w:rPr>
          <w:rFonts w:ascii="Arial Narrow" w:hAnsi="Arial Narrow" w:cstheme="minorHAnsi"/>
          <w:sz w:val="22"/>
          <w:szCs w:val="22"/>
        </w:rPr>
        <w:t>o</w:t>
      </w:r>
      <w:r w:rsidR="00C058E1" w:rsidRPr="00D407AE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14:paraId="0DBC9FEE" w14:textId="0082D191" w:rsidR="000F2E3D" w:rsidRPr="00D407AE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5.</w:t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="00601720" w:rsidRPr="00D407AE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D407AE">
        <w:rPr>
          <w:rFonts w:ascii="Arial Narrow" w:hAnsi="Arial Narrow" w:cstheme="minorHAnsi"/>
          <w:sz w:val="22"/>
          <w:szCs w:val="22"/>
        </w:rPr>
        <w:t xml:space="preserve"> do 15 dní od dňa</w:t>
      </w:r>
      <w:r w:rsidR="003D1B39" w:rsidRPr="00D407AE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D407AE">
        <w:rPr>
          <w:rFonts w:ascii="Arial Narrow" w:hAnsi="Arial Narrow" w:cstheme="minorHAnsi"/>
          <w:sz w:val="22"/>
          <w:szCs w:val="22"/>
        </w:rPr>
        <w:t xml:space="preserve">dodania tovaru  podľa  </w:t>
      </w:r>
      <w:r w:rsidR="00E76BC4" w:rsidRPr="00D407AE">
        <w:rPr>
          <w:rFonts w:ascii="Arial Narrow" w:hAnsi="Arial Narrow" w:cstheme="minorHAnsi"/>
          <w:sz w:val="22"/>
          <w:szCs w:val="22"/>
        </w:rPr>
        <w:t xml:space="preserve"> čl. IV. bod 12. tejto zmluvy</w:t>
      </w:r>
      <w:r w:rsidR="001C1FC0" w:rsidRPr="00D407AE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D407AE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D407AE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D407AE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D407AE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D407AE">
        <w:rPr>
          <w:rFonts w:ascii="Arial Narrow" w:hAnsi="Arial Narrow" w:cstheme="minorHAnsi"/>
          <w:sz w:val="22"/>
          <w:szCs w:val="22"/>
        </w:rPr>
        <w:t>mesiaci</w:t>
      </w:r>
      <w:r w:rsidR="00D407AE">
        <w:rPr>
          <w:rFonts w:ascii="Arial Narrow" w:hAnsi="Arial Narrow" w:cstheme="minorHAnsi"/>
          <w:sz w:val="22"/>
          <w:szCs w:val="22"/>
        </w:rPr>
        <w:t>,</w:t>
      </w:r>
      <w:r w:rsidR="00EC3A56" w:rsidRPr="00D407AE">
        <w:rPr>
          <w:rFonts w:ascii="Arial Narrow" w:hAnsi="Arial Narrow" w:cstheme="minorHAnsi"/>
          <w:sz w:val="22"/>
          <w:szCs w:val="22"/>
        </w:rPr>
        <w:t xml:space="preserve"> v ktorom bol tovar dodaný</w:t>
      </w:r>
      <w:r w:rsidR="001C1FC0" w:rsidRPr="00D407AE">
        <w:rPr>
          <w:rFonts w:ascii="Arial Narrow" w:hAnsi="Arial Narrow" w:cstheme="minorHAnsi"/>
          <w:sz w:val="22"/>
          <w:szCs w:val="22"/>
        </w:rPr>
        <w:t>.</w:t>
      </w:r>
      <w:r w:rsidR="000F2E3D" w:rsidRPr="00D407AE">
        <w:rPr>
          <w:rFonts w:ascii="Arial Narrow" w:hAnsi="Arial Narrow" w:cstheme="minorHAnsi"/>
          <w:sz w:val="22"/>
          <w:szCs w:val="22"/>
        </w:rPr>
        <w:t xml:space="preserve"> Faktúra musí obsahovať náležitosti podľa platných právnych predpisov </w:t>
      </w:r>
      <w:r w:rsidR="00EC3A56" w:rsidRPr="00D407AE">
        <w:rPr>
          <w:rFonts w:ascii="Arial Narrow" w:hAnsi="Arial Narrow" w:cstheme="minorHAnsi"/>
          <w:sz w:val="22"/>
          <w:szCs w:val="22"/>
        </w:rPr>
        <w:t xml:space="preserve">SR </w:t>
      </w:r>
      <w:r w:rsidR="000F2E3D" w:rsidRPr="00D407AE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D407AE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D407AE">
        <w:rPr>
          <w:rFonts w:ascii="Arial Narrow" w:hAnsi="Arial Narrow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D407AE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6.</w:t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="00601720" w:rsidRPr="00D407AE">
        <w:rPr>
          <w:rFonts w:ascii="Arial Narrow" w:hAnsi="Arial Narrow" w:cstheme="minorHAnsi"/>
          <w:sz w:val="22"/>
          <w:szCs w:val="22"/>
        </w:rPr>
        <w:t xml:space="preserve">Vlastnícke právo k tovaru  nadobudne kupujúci až úplným zaplatením </w:t>
      </w:r>
      <w:r w:rsidR="00E76BC4" w:rsidRPr="00D407AE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D407AE">
        <w:rPr>
          <w:rFonts w:ascii="Arial Narrow" w:hAnsi="Arial Narrow" w:cstheme="minorHAnsi"/>
          <w:sz w:val="22"/>
          <w:szCs w:val="22"/>
        </w:rPr>
        <w:t xml:space="preserve"> kúpnej ceny podľa  tohto článku. </w:t>
      </w:r>
    </w:p>
    <w:p w14:paraId="55430667" w14:textId="509960F0" w:rsidR="00601720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Z</w:t>
      </w:r>
      <w:r w:rsidR="00601720" w:rsidRPr="00D407AE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D407AE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D407AE">
        <w:rPr>
          <w:rFonts w:ascii="Arial Narrow" w:hAnsi="Arial Narrow" w:cstheme="minorHAnsi"/>
          <w:sz w:val="22"/>
          <w:szCs w:val="22"/>
        </w:rPr>
        <w:t xml:space="preserve">kúpnej ceny  sa považuje deň </w:t>
      </w:r>
      <w:r w:rsidR="00E76BC4" w:rsidRPr="00D407AE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D407AE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D407AE">
        <w:rPr>
          <w:rFonts w:ascii="Arial Narrow" w:hAnsi="Arial Narrow" w:cstheme="minorHAnsi"/>
          <w:sz w:val="22"/>
          <w:szCs w:val="22"/>
        </w:rPr>
        <w:t>na účet predávajúceho.</w:t>
      </w:r>
    </w:p>
    <w:p w14:paraId="2728B932" w14:textId="77777777" w:rsidR="00E3100B" w:rsidRPr="00D407AE" w:rsidRDefault="00E3100B" w:rsidP="00E3100B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</w:p>
    <w:p w14:paraId="0759753D" w14:textId="77777777" w:rsidR="00DE6764" w:rsidRPr="00D407AE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14:paraId="0DF35425" w14:textId="77777777" w:rsidR="0051451F" w:rsidRPr="00D407A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D407AE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D407AE">
        <w:rPr>
          <w:rFonts w:ascii="Arial Narrow" w:hAnsi="Arial Narrow" w:cstheme="minorHAnsi"/>
          <w:sz w:val="22"/>
          <w:szCs w:val="22"/>
          <w:u w:val="single"/>
        </w:rPr>
        <w:t>.</w:t>
      </w:r>
      <w:r w:rsidRPr="00D407AE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D407AE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D407AE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D407AE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14:paraId="4AEFBEA5" w14:textId="77777777" w:rsidR="00AD2F89" w:rsidRPr="00D407AE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D407AE">
        <w:rPr>
          <w:rFonts w:ascii="Arial Narrow" w:hAnsi="Arial Narrow" w:cstheme="minorHAnsi"/>
          <w:sz w:val="22"/>
          <w:szCs w:val="22"/>
        </w:rPr>
        <w:t>tovaru</w:t>
      </w:r>
      <w:r w:rsidRPr="00D407AE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D407AE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D407AE">
        <w:rPr>
          <w:rFonts w:ascii="Arial Narrow" w:hAnsi="Arial Narrow" w:cstheme="minorHAnsi"/>
          <w:sz w:val="22"/>
          <w:szCs w:val="22"/>
        </w:rPr>
        <w:t xml:space="preserve">stanovená na </w:t>
      </w:r>
      <w:r w:rsidR="006314A5" w:rsidRPr="00D407AE">
        <w:rPr>
          <w:rFonts w:ascii="Arial Narrow" w:hAnsi="Arial Narrow" w:cstheme="minorHAnsi"/>
          <w:sz w:val="22"/>
          <w:szCs w:val="22"/>
        </w:rPr>
        <w:t xml:space="preserve">najmenej </w:t>
      </w:r>
      <w:r w:rsidR="0008584F" w:rsidRPr="00D407AE">
        <w:rPr>
          <w:rFonts w:ascii="Arial Narrow" w:hAnsi="Arial Narrow" w:cstheme="minorHAnsi"/>
          <w:sz w:val="22"/>
          <w:szCs w:val="22"/>
        </w:rPr>
        <w:t>24</w:t>
      </w:r>
      <w:r w:rsidRPr="00D407AE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D407AE">
        <w:rPr>
          <w:rFonts w:ascii="Arial Narrow" w:hAnsi="Arial Narrow" w:cstheme="minorHAnsi"/>
          <w:sz w:val="22"/>
          <w:szCs w:val="22"/>
        </w:rPr>
        <w:t xml:space="preserve">záručná </w:t>
      </w:r>
      <w:r w:rsidRPr="00D407AE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D407AE">
        <w:rPr>
          <w:rFonts w:ascii="Arial Narrow" w:hAnsi="Arial Narrow" w:cstheme="minorHAnsi"/>
          <w:sz w:val="22"/>
          <w:szCs w:val="22"/>
        </w:rPr>
        <w:t>začína plynúť</w:t>
      </w:r>
      <w:r w:rsidRPr="00D407AE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D407AE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14:paraId="6A71AA6A" w14:textId="77777777" w:rsidR="00DB4970" w:rsidRPr="00D407AE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407AE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D407AE">
        <w:rPr>
          <w:rFonts w:ascii="Arial Narrow" w:hAnsi="Arial Narrow" w:cstheme="minorHAnsi"/>
          <w:sz w:val="22"/>
          <w:szCs w:val="22"/>
        </w:rPr>
        <w:t xml:space="preserve"> je </w:t>
      </w:r>
      <w:r w:rsidRPr="00D407AE">
        <w:rPr>
          <w:rFonts w:ascii="Arial Narrow" w:hAnsi="Arial Narrow" w:cstheme="minorHAnsi"/>
          <w:sz w:val="22"/>
          <w:szCs w:val="22"/>
        </w:rPr>
        <w:t xml:space="preserve"> predávajúci </w:t>
      </w:r>
      <w:r w:rsidR="0016375D" w:rsidRPr="00D407AE">
        <w:rPr>
          <w:rFonts w:ascii="Arial Narrow" w:hAnsi="Arial Narrow" w:cstheme="minorHAnsi"/>
          <w:sz w:val="22"/>
          <w:szCs w:val="22"/>
        </w:rPr>
        <w:t xml:space="preserve">povinný </w:t>
      </w:r>
    </w:p>
    <w:p w14:paraId="25A3829F" w14:textId="7679D735" w:rsidR="00DB4970" w:rsidRPr="00D407AE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D407AE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D407AE">
        <w:rPr>
          <w:rFonts w:ascii="Arial Narrow" w:hAnsi="Arial Narrow" w:cstheme="minorHAnsi"/>
          <w:sz w:val="22"/>
          <w:szCs w:val="22"/>
        </w:rPr>
        <w:t>ť</w:t>
      </w:r>
      <w:r w:rsidR="00CE33E0" w:rsidRPr="00D407AE">
        <w:rPr>
          <w:rFonts w:ascii="Arial Narrow" w:hAnsi="Arial Narrow" w:cstheme="minorHAnsi"/>
          <w:sz w:val="22"/>
          <w:szCs w:val="22"/>
        </w:rPr>
        <w:t xml:space="preserve"> všetky vady dodaného tovaru</w:t>
      </w:r>
      <w:r w:rsidR="00AE73DF" w:rsidRPr="00D407AE">
        <w:rPr>
          <w:rFonts w:ascii="Arial Narrow" w:hAnsi="Arial Narrow" w:cstheme="minorHAnsi"/>
          <w:sz w:val="22"/>
          <w:szCs w:val="22"/>
        </w:rPr>
        <w:t xml:space="preserve">, t. j. uviesť tovar do stavu plnej </w:t>
      </w:r>
      <w:r w:rsidR="00D407AE">
        <w:rPr>
          <w:rFonts w:ascii="Arial Narrow" w:hAnsi="Arial Narrow" w:cstheme="minorHAnsi"/>
          <w:sz w:val="22"/>
          <w:szCs w:val="22"/>
        </w:rPr>
        <w:t xml:space="preserve">prevádzky </w:t>
      </w:r>
      <w:r w:rsidR="00AE73DF" w:rsidRPr="00D407AE">
        <w:rPr>
          <w:rFonts w:ascii="Arial Narrow" w:hAnsi="Arial Narrow" w:cstheme="minorHAnsi"/>
          <w:sz w:val="22"/>
          <w:szCs w:val="22"/>
        </w:rPr>
        <w:t>vzhľadom k jeho technickým parametrom,</w:t>
      </w:r>
    </w:p>
    <w:p w14:paraId="0CD6C6A3" w14:textId="77777777" w:rsidR="00905147" w:rsidRPr="00D407AE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D407AE">
        <w:rPr>
          <w:rFonts w:ascii="Arial Narrow" w:hAnsi="Arial Narrow" w:cstheme="minorHAnsi"/>
          <w:sz w:val="22"/>
          <w:szCs w:val="22"/>
        </w:rPr>
        <w:t>vykon</w:t>
      </w:r>
      <w:r w:rsidR="0016375D" w:rsidRPr="00D407AE">
        <w:rPr>
          <w:rFonts w:ascii="Arial Narrow" w:hAnsi="Arial Narrow" w:cstheme="minorHAnsi"/>
          <w:sz w:val="22"/>
          <w:szCs w:val="22"/>
        </w:rPr>
        <w:t>ať</w:t>
      </w:r>
      <w:r w:rsidR="00695845" w:rsidRPr="00D407AE">
        <w:rPr>
          <w:rFonts w:ascii="Arial Narrow" w:hAnsi="Arial Narrow" w:cstheme="minorHAnsi"/>
          <w:sz w:val="22"/>
          <w:szCs w:val="22"/>
        </w:rPr>
        <w:t xml:space="preserve"> bezplatne</w:t>
      </w:r>
      <w:r w:rsidRPr="00D407AE">
        <w:rPr>
          <w:rFonts w:ascii="Arial Narrow" w:hAnsi="Arial Narrow" w:cstheme="minorHAnsi"/>
          <w:sz w:val="22"/>
          <w:szCs w:val="22"/>
        </w:rPr>
        <w:t xml:space="preserve">  </w:t>
      </w:r>
      <w:r w:rsidR="00905147" w:rsidRPr="00D407AE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D407AE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905147" w:rsidRPr="00D407AE">
        <w:rPr>
          <w:rFonts w:ascii="Arial Narrow" w:hAnsi="Arial Narrow" w:cstheme="minorHAnsi"/>
          <w:sz w:val="22"/>
          <w:szCs w:val="22"/>
        </w:rPr>
        <w:t>.</w:t>
      </w:r>
    </w:p>
    <w:p w14:paraId="268F0986" w14:textId="61DBACE7" w:rsidR="00CE33E0" w:rsidRPr="00D407AE" w:rsidRDefault="006D7258" w:rsidP="00D407AE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D407AE">
        <w:rPr>
          <w:rFonts w:ascii="Arial Narrow" w:hAnsi="Arial Narrow" w:cstheme="minorHAnsi"/>
          <w:sz w:val="22"/>
          <w:szCs w:val="22"/>
        </w:rPr>
        <w:t>vykon</w:t>
      </w:r>
      <w:r w:rsidR="00FD4D48" w:rsidRPr="00D407AE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D407AE">
        <w:rPr>
          <w:rFonts w:ascii="Arial Narrow" w:hAnsi="Arial Narrow" w:cstheme="minorHAnsi"/>
          <w:sz w:val="22"/>
          <w:szCs w:val="22"/>
        </w:rPr>
        <w:t>n</w:t>
      </w:r>
      <w:r w:rsidR="00FD4D48" w:rsidRPr="00D407AE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D407AE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D407AE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D407AE">
        <w:rPr>
          <w:rFonts w:ascii="Arial Narrow" w:hAnsi="Arial Narrow" w:cstheme="minorHAnsi"/>
          <w:sz w:val="22"/>
          <w:szCs w:val="22"/>
        </w:rPr>
        <w:t>be</w:t>
      </w:r>
      <w:r w:rsidR="00FD4D48" w:rsidRPr="00D407AE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D407AE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D407AE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D407AE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14:paraId="586D16E5" w14:textId="3B421513" w:rsidR="0016375D" w:rsidRPr="00D407AE" w:rsidRDefault="0016375D" w:rsidP="00AE73DF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c/ zabezpečovať  bezplatnú údržbu tovaru</w:t>
      </w:r>
      <w:r w:rsidR="001C1FC0" w:rsidRPr="00D407AE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AE73DF" w:rsidRPr="00D407AE">
        <w:rPr>
          <w:rFonts w:ascii="Arial Narrow" w:hAnsi="Arial Narrow" w:cstheme="minorHAnsi"/>
          <w:sz w:val="22"/>
          <w:szCs w:val="22"/>
        </w:rPr>
        <w:t xml:space="preserve"> vrátane demontáže, odvozu a likvidácie použitého spotrebného materiálu, náplní a náhradných dielov,</w:t>
      </w:r>
    </w:p>
    <w:p w14:paraId="2901BEF2" w14:textId="2B953E24" w:rsidR="00AE73DF" w:rsidRPr="00D407AE" w:rsidRDefault="00AE73DF" w:rsidP="00AE73DF">
      <w:pPr>
        <w:ind w:left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d/ pravidelných technických kontrol a prehliadok vo výrobcom predpísanom rozsahu a intervale podľa servisného manuálu, min. však jedenkrát ročne, pričom poslednú takúto kontrolu je predávajúci povinný vykonať mesiac pred uplynutím záručnej doby a bezplatne odstrániť všetky zistené vady a nedostatky s výnimkou vád uvedených v bode 3. tohto článku zmluvy,</w:t>
      </w:r>
    </w:p>
    <w:p w14:paraId="6C143863" w14:textId="4DF31816" w:rsidR="00326AD6" w:rsidRPr="00D407AE" w:rsidRDefault="00AE73DF" w:rsidP="00D407AE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e</w:t>
      </w:r>
      <w:r w:rsidR="00326AD6" w:rsidRPr="00D407AE">
        <w:rPr>
          <w:rFonts w:ascii="Arial Narrow" w:hAnsi="Arial Narrow" w:cstheme="minorHAnsi"/>
          <w:sz w:val="22"/>
          <w:szCs w:val="22"/>
        </w:rPr>
        <w:t xml:space="preserve">/ vykonať validáciu a kalibráciu tovaru s periodicitou podľa odporúčaní výrobcu tovaru, </w:t>
      </w:r>
      <w:r w:rsidR="00326AD6" w:rsidRPr="00D407AE">
        <w:rPr>
          <w:rFonts w:ascii="Arial Narrow" w:hAnsi="Arial Narrow" w:cstheme="minorHAnsi"/>
          <w:sz w:val="22"/>
          <w:szCs w:val="22"/>
        </w:rPr>
        <w:tab/>
        <w:t>najmenej však 1-krát ročne, ak validáciu a kalibráciu tovar vyžaduje</w:t>
      </w:r>
      <w:r w:rsidRPr="00D407AE">
        <w:rPr>
          <w:rFonts w:ascii="Arial Narrow" w:hAnsi="Arial Narrow" w:cstheme="minorHAnsi"/>
          <w:sz w:val="22"/>
          <w:szCs w:val="22"/>
        </w:rPr>
        <w:t>,</w:t>
      </w:r>
    </w:p>
    <w:p w14:paraId="78CACE1F" w14:textId="052B0863" w:rsidR="00AE73DF" w:rsidRPr="00D407AE" w:rsidRDefault="00AE73DF" w:rsidP="00AE73DF">
      <w:pPr>
        <w:pStyle w:val="Odsekzoznamu"/>
        <w:ind w:left="709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f/</w:t>
      </w:r>
      <w:r w:rsidR="00912E31" w:rsidRPr="00D407AE">
        <w:rPr>
          <w:rFonts w:ascii="Arial Narrow" w:hAnsi="Arial Narrow" w:cstheme="minorHAnsi"/>
          <w:sz w:val="22"/>
          <w:szCs w:val="22"/>
        </w:rPr>
        <w:t>poskytovať</w:t>
      </w:r>
      <w:r w:rsidRPr="00D407AE">
        <w:rPr>
          <w:rFonts w:ascii="Arial Narrow" w:hAnsi="Arial Narrow" w:cstheme="minorHAnsi"/>
          <w:sz w:val="22"/>
          <w:szCs w:val="22"/>
        </w:rPr>
        <w:t xml:space="preserve"> technick</w:t>
      </w:r>
      <w:r w:rsidR="00912E31" w:rsidRPr="00D407AE">
        <w:rPr>
          <w:rFonts w:ascii="Arial Narrow" w:hAnsi="Arial Narrow" w:cstheme="minorHAnsi"/>
          <w:sz w:val="22"/>
          <w:szCs w:val="22"/>
        </w:rPr>
        <w:t xml:space="preserve">ú </w:t>
      </w:r>
      <w:r w:rsidRPr="00D407AE">
        <w:rPr>
          <w:rFonts w:ascii="Arial Narrow" w:hAnsi="Arial Narrow" w:cstheme="minorHAnsi"/>
          <w:sz w:val="22"/>
          <w:szCs w:val="22"/>
        </w:rPr>
        <w:t>telefonick</w:t>
      </w:r>
      <w:r w:rsidR="00912E31" w:rsidRPr="00D407AE">
        <w:rPr>
          <w:rFonts w:ascii="Arial Narrow" w:hAnsi="Arial Narrow" w:cstheme="minorHAnsi"/>
          <w:sz w:val="22"/>
          <w:szCs w:val="22"/>
        </w:rPr>
        <w:t>ú</w:t>
      </w:r>
      <w:r w:rsidRPr="00D407AE">
        <w:rPr>
          <w:rFonts w:ascii="Arial Narrow" w:hAnsi="Arial Narrow" w:cstheme="minorHAnsi"/>
          <w:sz w:val="22"/>
          <w:szCs w:val="22"/>
        </w:rPr>
        <w:t xml:space="preserve"> podpor</w:t>
      </w:r>
      <w:r w:rsidR="00912E31" w:rsidRPr="00D407AE">
        <w:rPr>
          <w:rFonts w:ascii="Arial Narrow" w:hAnsi="Arial Narrow" w:cstheme="minorHAnsi"/>
          <w:sz w:val="22"/>
          <w:szCs w:val="22"/>
        </w:rPr>
        <w:t>u</w:t>
      </w:r>
      <w:r w:rsidRPr="00D407AE">
        <w:rPr>
          <w:rFonts w:ascii="Arial Narrow" w:hAnsi="Arial Narrow" w:cstheme="minorHAnsi"/>
          <w:sz w:val="22"/>
          <w:szCs w:val="22"/>
        </w:rPr>
        <w:t xml:space="preserve"> v pracovných dňoch a zároveň poradenstvo pri prevádzkovaní </w:t>
      </w:r>
      <w:r w:rsidR="00D407AE">
        <w:rPr>
          <w:rFonts w:ascii="Arial Narrow" w:hAnsi="Arial Narrow" w:cstheme="minorHAnsi"/>
          <w:sz w:val="22"/>
          <w:szCs w:val="22"/>
        </w:rPr>
        <w:t>tovaru</w:t>
      </w:r>
      <w:r w:rsidRPr="00D407AE">
        <w:rPr>
          <w:rFonts w:ascii="Arial Narrow" w:hAnsi="Arial Narrow" w:cstheme="minorHAnsi"/>
          <w:sz w:val="22"/>
          <w:szCs w:val="22"/>
        </w:rPr>
        <w:t xml:space="preserve"> prostredníctvom klientskeho pracoviska predávajúceho v čase min. od 7:00 do 18:00 hod. počas pracovných dní, pričom predávajúci musí garantovať funkčnosť a prevádzku tohto klientskeho pracoviska.</w:t>
      </w:r>
    </w:p>
    <w:p w14:paraId="5EC42F11" w14:textId="5EED6454" w:rsidR="00CE33E0" w:rsidRPr="00D407AE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407AE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D407AE">
        <w:rPr>
          <w:rFonts w:ascii="Arial Narrow" w:hAnsi="Arial Narrow" w:cstheme="minorHAnsi"/>
          <w:sz w:val="22"/>
          <w:szCs w:val="22"/>
        </w:rPr>
        <w:t xml:space="preserve">, že v </w:t>
      </w:r>
      <w:r w:rsidRPr="00D407AE">
        <w:rPr>
          <w:rFonts w:ascii="Arial Narrow" w:hAnsi="Arial Narrow" w:cstheme="minorHAnsi"/>
          <w:sz w:val="22"/>
          <w:szCs w:val="22"/>
        </w:rPr>
        <w:t xml:space="preserve"> prípad</w:t>
      </w:r>
      <w:r w:rsidR="00AD2F89" w:rsidRPr="00D407AE">
        <w:rPr>
          <w:rFonts w:ascii="Arial Narrow" w:hAnsi="Arial Narrow" w:cstheme="minorHAnsi"/>
          <w:sz w:val="22"/>
          <w:szCs w:val="22"/>
        </w:rPr>
        <w:t>e</w:t>
      </w:r>
      <w:r w:rsidRPr="00D407AE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D407AE">
        <w:rPr>
          <w:rFonts w:ascii="Arial Narrow" w:hAnsi="Arial Narrow" w:cstheme="minorHAnsi"/>
          <w:sz w:val="22"/>
          <w:szCs w:val="22"/>
        </w:rPr>
        <w:t>tovaru</w:t>
      </w:r>
      <w:r w:rsidRPr="00D407AE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D407AE">
        <w:rPr>
          <w:rFonts w:ascii="Arial Narrow" w:hAnsi="Arial Narrow" w:cstheme="minorHAnsi"/>
          <w:sz w:val="22"/>
          <w:szCs w:val="22"/>
        </w:rPr>
        <w:t xml:space="preserve"> tovaru, </w:t>
      </w:r>
      <w:r w:rsidRPr="00D407AE">
        <w:rPr>
          <w:rFonts w:ascii="Arial Narrow" w:hAnsi="Arial Narrow" w:cstheme="minorHAnsi"/>
          <w:sz w:val="22"/>
          <w:szCs w:val="22"/>
        </w:rPr>
        <w:t xml:space="preserve"> vrátane</w:t>
      </w:r>
      <w:r w:rsidR="00356AE8" w:rsidRPr="00D407AE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D407AE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D407AE">
        <w:rPr>
          <w:rFonts w:ascii="Arial Narrow" w:hAnsi="Arial Narrow" w:cstheme="minorHAnsi"/>
          <w:sz w:val="22"/>
          <w:szCs w:val="22"/>
        </w:rPr>
        <w:t>tovaru</w:t>
      </w:r>
      <w:r w:rsidRPr="00D407AE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D407AE">
        <w:rPr>
          <w:rFonts w:ascii="Arial Narrow" w:hAnsi="Arial Narrow" w:cstheme="minorHAnsi"/>
          <w:sz w:val="22"/>
          <w:szCs w:val="22"/>
        </w:rPr>
        <w:t>tovaru</w:t>
      </w:r>
      <w:r w:rsidRPr="00D407AE">
        <w:rPr>
          <w:rFonts w:ascii="Arial Narrow" w:hAnsi="Arial Narrow" w:cstheme="minorHAnsi"/>
          <w:sz w:val="22"/>
          <w:szCs w:val="22"/>
        </w:rPr>
        <w:t xml:space="preserve">,  poradenskej starostlivosti o inštalovaný </w:t>
      </w:r>
      <w:r w:rsidR="00AD2F89" w:rsidRPr="00D407AE">
        <w:rPr>
          <w:rFonts w:ascii="Arial Narrow" w:hAnsi="Arial Narrow" w:cstheme="minorHAnsi"/>
          <w:sz w:val="22"/>
          <w:szCs w:val="22"/>
        </w:rPr>
        <w:t>tovar</w:t>
      </w:r>
      <w:r w:rsidRPr="00D407AE">
        <w:rPr>
          <w:rFonts w:ascii="Arial Narrow" w:hAnsi="Arial Narrow" w:cstheme="minorHAnsi"/>
          <w:sz w:val="22"/>
          <w:szCs w:val="22"/>
        </w:rPr>
        <w:t>, dodávky funkčného príslušenstva</w:t>
      </w:r>
      <w:r w:rsidR="00AD2F89" w:rsidRPr="00D407AE">
        <w:rPr>
          <w:rFonts w:ascii="Arial Narrow" w:hAnsi="Arial Narrow" w:cstheme="minorHAnsi"/>
          <w:sz w:val="22"/>
          <w:szCs w:val="22"/>
        </w:rPr>
        <w:t xml:space="preserve"> k tovaru</w:t>
      </w:r>
      <w:r w:rsidRPr="00D407AE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14:paraId="03DC9ADD" w14:textId="412DBFDD" w:rsidR="00912E31" w:rsidRPr="00D407AE" w:rsidRDefault="00912E31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407AE">
        <w:rPr>
          <w:rFonts w:ascii="Arial Narrow" w:hAnsi="Arial Narrow" w:cstheme="minorHAnsi"/>
          <w:sz w:val="22"/>
          <w:szCs w:val="22"/>
        </w:rPr>
        <w:t>Záruka na tovar podľa tohto článku  platí za predpokladu, že kupujúci tovar používa a obsluhuje s príslušnou starostlivosťou podľa inštrukcií  obsiahnutých v príslušnej  dokumentácii k tovaru</w:t>
      </w:r>
    </w:p>
    <w:p w14:paraId="079A07DD" w14:textId="04AF444D" w:rsidR="00912E31" w:rsidRPr="00D407AE" w:rsidRDefault="00912E31" w:rsidP="00912E31">
      <w:pPr>
        <w:pStyle w:val="Odsekzoznamu"/>
        <w:numPr>
          <w:ilvl w:val="0"/>
          <w:numId w:val="12"/>
        </w:numPr>
        <w:spacing w:after="120"/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Počas záručnej doby je servisný technik predávajúceho povinný nastúpiť na odstránenie vady v mieste inštalácie </w:t>
      </w:r>
      <w:r w:rsidR="00D407AE">
        <w:rPr>
          <w:rFonts w:ascii="Arial Narrow" w:hAnsi="Arial Narrow" w:cstheme="minorHAnsi"/>
          <w:sz w:val="22"/>
          <w:szCs w:val="22"/>
        </w:rPr>
        <w:t>tovaru</w:t>
      </w:r>
      <w:r w:rsidRPr="00D407AE">
        <w:rPr>
          <w:rFonts w:ascii="Arial Narrow" w:hAnsi="Arial Narrow" w:cstheme="minorHAnsi"/>
          <w:sz w:val="22"/>
          <w:szCs w:val="22"/>
        </w:rPr>
        <w:t xml:space="preserve"> do dvadsiatich štyroch (24) hodín od nahlásenia vady na zariadení, v pracovný deň medzi 7:00 a 16:00</w:t>
      </w:r>
      <w:r w:rsidR="00D407AE">
        <w:rPr>
          <w:rFonts w:ascii="Arial Narrow" w:hAnsi="Arial Narrow" w:cstheme="minorHAnsi"/>
          <w:sz w:val="22"/>
          <w:szCs w:val="22"/>
        </w:rPr>
        <w:t xml:space="preserve"> hod.</w:t>
      </w:r>
      <w:r w:rsidRPr="00D407AE">
        <w:rPr>
          <w:rFonts w:ascii="Arial Narrow" w:hAnsi="Arial Narrow" w:cstheme="minorHAnsi"/>
          <w:sz w:val="22"/>
          <w:szCs w:val="22"/>
        </w:rPr>
        <w:t xml:space="preserve">, resp. do 12:00 hod. nasledujúceho pracovného dňa, pokiaľ vada bola nahlásená po 16:00 hod. pracovného dňa alebo počas mimopracovného dňa.  </w:t>
      </w:r>
    </w:p>
    <w:p w14:paraId="3B2C5891" w14:textId="77777777" w:rsidR="00912E31" w:rsidRPr="00D407AE" w:rsidRDefault="00912E31" w:rsidP="00912E31">
      <w:pPr>
        <w:pStyle w:val="Odsekzoznamu"/>
        <w:numPr>
          <w:ilvl w:val="0"/>
          <w:numId w:val="12"/>
        </w:numPr>
        <w:spacing w:before="120" w:after="120"/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Predávajúci je povinný počas záručnej doby odstrániť vady v nasledujúcich lehotách od nástupu na opravu:</w:t>
      </w:r>
    </w:p>
    <w:p w14:paraId="2F4E7DC1" w14:textId="77777777" w:rsidR="00912E31" w:rsidRPr="00D407AE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13B2F19" w14:textId="77777777" w:rsidR="00912E31" w:rsidRPr="00D407AE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068AD80F" w14:textId="77777777" w:rsidR="00912E31" w:rsidRPr="00D407AE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78F623C" w14:textId="77777777" w:rsidR="00912E31" w:rsidRPr="00D407AE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2B866C5" w14:textId="77777777" w:rsidR="00912E31" w:rsidRPr="00D407AE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274B7EA4" w14:textId="77777777" w:rsidR="00912E31" w:rsidRPr="00D407AE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64622C9" w14:textId="77777777" w:rsidR="00912E31" w:rsidRPr="00D407AE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BB13E41" w14:textId="77777777" w:rsidR="00912E31" w:rsidRPr="00D407AE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9AE1728" w14:textId="77777777" w:rsidR="00912E31" w:rsidRPr="00D407AE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26BB47AD" w14:textId="77777777" w:rsidR="00912E31" w:rsidRPr="00D407AE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9B99248" w14:textId="77777777" w:rsidR="00912E31" w:rsidRPr="00D407AE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5F2DDD93" w14:textId="77777777" w:rsidR="00912E31" w:rsidRPr="00D407AE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5355156" w14:textId="4AC84E2D" w:rsidR="00F504CB" w:rsidRPr="00D407AE" w:rsidRDefault="00D407AE" w:rsidP="00F504CB">
      <w:pPr>
        <w:spacing w:before="120"/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a) </w:t>
      </w:r>
      <w:r w:rsidR="00912E31" w:rsidRPr="00D407AE">
        <w:rPr>
          <w:rFonts w:ascii="Arial Narrow" w:hAnsi="Arial Narrow" w:cstheme="minorHAnsi"/>
          <w:sz w:val="22"/>
          <w:szCs w:val="22"/>
        </w:rPr>
        <w:t>oprava vady, pri ktorej nie je potrebná dodávka náhradného dielu do štyridsiatich ôsmich (48) hodín,</w:t>
      </w:r>
    </w:p>
    <w:p w14:paraId="1F16D567" w14:textId="40D1D2D5" w:rsidR="00912E31" w:rsidRPr="00D407AE" w:rsidRDefault="00D407AE" w:rsidP="00A763AE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b) </w:t>
      </w:r>
      <w:r w:rsidR="00912E31" w:rsidRPr="00D407AE">
        <w:rPr>
          <w:rFonts w:ascii="Arial Narrow" w:hAnsi="Arial Narrow" w:cstheme="minorHAnsi"/>
          <w:sz w:val="22"/>
          <w:szCs w:val="22"/>
        </w:rPr>
        <w:t xml:space="preserve">oprava vady s dodávkou náhradného dielu do </w:t>
      </w:r>
      <w:r w:rsidR="00E64D26">
        <w:rPr>
          <w:rFonts w:ascii="Arial Narrow" w:hAnsi="Arial Narrow" w:cstheme="minorHAnsi"/>
          <w:sz w:val="22"/>
          <w:szCs w:val="22"/>
        </w:rPr>
        <w:t>sedemdesiatich dvoch</w:t>
      </w:r>
      <w:r w:rsidR="00912E31" w:rsidRPr="00D407AE">
        <w:rPr>
          <w:rFonts w:ascii="Arial Narrow" w:hAnsi="Arial Narrow" w:cstheme="minorHAnsi"/>
          <w:sz w:val="22"/>
          <w:szCs w:val="22"/>
        </w:rPr>
        <w:t xml:space="preserve"> (</w:t>
      </w:r>
      <w:r w:rsidR="00E64D26">
        <w:rPr>
          <w:rFonts w:ascii="Arial Narrow" w:hAnsi="Arial Narrow" w:cstheme="minorHAnsi"/>
          <w:sz w:val="22"/>
          <w:szCs w:val="22"/>
        </w:rPr>
        <w:t>72</w:t>
      </w:r>
      <w:r w:rsidR="00912E31" w:rsidRPr="00D407AE">
        <w:rPr>
          <w:rFonts w:ascii="Arial Narrow" w:hAnsi="Arial Narrow" w:cstheme="minorHAnsi"/>
          <w:sz w:val="22"/>
          <w:szCs w:val="22"/>
        </w:rPr>
        <w:t>) hodín.</w:t>
      </w:r>
    </w:p>
    <w:p w14:paraId="1CEB3D43" w14:textId="210B2E8C" w:rsidR="00912E31" w:rsidRPr="00D407AE" w:rsidRDefault="00F504CB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V prípade, ak odstránenie vady nevyžaduje príchod servisného technika predávajúceho do miesta inštalácie </w:t>
      </w:r>
      <w:r w:rsidR="00D407AE">
        <w:rPr>
          <w:rFonts w:ascii="Arial Narrow" w:hAnsi="Arial Narrow" w:cstheme="minorHAnsi"/>
          <w:sz w:val="22"/>
          <w:szCs w:val="22"/>
        </w:rPr>
        <w:t>tovaru</w:t>
      </w:r>
      <w:r w:rsidRPr="00D407AE">
        <w:rPr>
          <w:rFonts w:ascii="Arial Narrow" w:hAnsi="Arial Narrow" w:cstheme="minorHAnsi"/>
          <w:sz w:val="22"/>
          <w:szCs w:val="22"/>
        </w:rPr>
        <w:t xml:space="preserve">, je predávajúci oprávnený zabezpečiť odstránenie vady / poruchy pomocou vzdialeného prístupu. Predávajúci je oprávnený začať odstraňovať vadu formou vzdialeného prístupu v lehote najneskôr do dvanástich (12) hodín od nahlásenia v pracovný deň medzi 7:00 a 16:00 hod., resp. do 12:00 </w:t>
      </w:r>
      <w:r w:rsidRPr="00D407AE">
        <w:rPr>
          <w:rFonts w:ascii="Arial Narrow" w:hAnsi="Arial Narrow" w:cstheme="minorHAnsi"/>
          <w:sz w:val="22"/>
          <w:szCs w:val="22"/>
        </w:rPr>
        <w:lastRenderedPageBreak/>
        <w:t xml:space="preserve">hod. nasledujúceho pracovného dňa, pokiaľ vada bola nahlásená po 16:00 hod. pracovného dňa alebo počas </w:t>
      </w:r>
      <w:r w:rsidR="00D407AE">
        <w:rPr>
          <w:rFonts w:ascii="Arial Narrow" w:hAnsi="Arial Narrow" w:cstheme="minorHAnsi"/>
          <w:sz w:val="22"/>
          <w:szCs w:val="22"/>
        </w:rPr>
        <w:t xml:space="preserve">mimopracovného </w:t>
      </w:r>
      <w:r w:rsidRPr="00D407AE">
        <w:rPr>
          <w:rFonts w:ascii="Arial Narrow" w:hAnsi="Arial Narrow" w:cstheme="minorHAnsi"/>
          <w:sz w:val="22"/>
          <w:szCs w:val="22"/>
        </w:rPr>
        <w:t>dň</w:t>
      </w:r>
      <w:r w:rsidR="00D407AE">
        <w:rPr>
          <w:rFonts w:ascii="Arial Narrow" w:hAnsi="Arial Narrow" w:cstheme="minorHAnsi"/>
          <w:sz w:val="22"/>
          <w:szCs w:val="22"/>
        </w:rPr>
        <w:t>a</w:t>
      </w:r>
      <w:r w:rsidRPr="00D407AE">
        <w:rPr>
          <w:rFonts w:ascii="Arial Narrow" w:hAnsi="Arial Narrow" w:cstheme="minorHAnsi"/>
          <w:sz w:val="22"/>
          <w:szCs w:val="22"/>
        </w:rPr>
        <w:t>.</w:t>
      </w:r>
    </w:p>
    <w:p w14:paraId="08576233" w14:textId="6EE7CC3C" w:rsidR="00295B0A" w:rsidRPr="00D407AE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D407AE">
        <w:rPr>
          <w:rFonts w:ascii="Arial Narrow" w:hAnsi="Arial Narrow" w:cstheme="minorHAnsi"/>
          <w:sz w:val="22"/>
          <w:szCs w:val="22"/>
        </w:rPr>
        <w:t>zamestnancami</w:t>
      </w:r>
      <w:r w:rsidRPr="00D407AE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</w:t>
      </w:r>
      <w:r w:rsidR="00D0213E">
        <w:rPr>
          <w:rFonts w:ascii="Arial Narrow" w:hAnsi="Arial Narrow" w:cstheme="minorHAnsi"/>
          <w:sz w:val="22"/>
          <w:szCs w:val="22"/>
        </w:rPr>
        <w:t>tovar</w:t>
      </w:r>
      <w:r w:rsidRPr="00D407AE">
        <w:rPr>
          <w:rFonts w:ascii="Arial Narrow" w:hAnsi="Arial Narrow" w:cstheme="minorHAnsi"/>
          <w:sz w:val="22"/>
          <w:szCs w:val="22"/>
        </w:rPr>
        <w:t xml:space="preserve"> nemohol byť v záručnej dobe </w:t>
      </w:r>
      <w:r w:rsidR="00FD4D48" w:rsidRPr="00D407AE">
        <w:rPr>
          <w:rFonts w:ascii="Arial Narrow" w:hAnsi="Arial Narrow" w:cstheme="minorHAnsi"/>
          <w:sz w:val="22"/>
          <w:szCs w:val="22"/>
        </w:rPr>
        <w:t xml:space="preserve">plne používaný z dôvodu </w:t>
      </w:r>
      <w:r w:rsidRPr="00D407AE">
        <w:rPr>
          <w:rFonts w:ascii="Arial Narrow" w:hAnsi="Arial Narrow" w:cstheme="minorHAnsi"/>
          <w:sz w:val="22"/>
          <w:szCs w:val="22"/>
        </w:rPr>
        <w:t>vady</w:t>
      </w:r>
      <w:r w:rsidR="00FD4D48" w:rsidRPr="00D407AE">
        <w:rPr>
          <w:rFonts w:ascii="Arial Narrow" w:hAnsi="Arial Narrow" w:cstheme="minorHAnsi"/>
          <w:sz w:val="22"/>
          <w:szCs w:val="22"/>
        </w:rPr>
        <w:t>.</w:t>
      </w:r>
    </w:p>
    <w:p w14:paraId="1B5EE6C4" w14:textId="63486BF1" w:rsidR="006314A5" w:rsidRPr="00D407AE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407AE">
        <w:rPr>
          <w:rFonts w:ascii="Arial Narrow" w:hAnsi="Arial Narrow" w:cstheme="minorHAnsi"/>
          <w:sz w:val="22"/>
          <w:szCs w:val="22"/>
        </w:rPr>
        <w:t>Kupujúci sa zaväzuje</w:t>
      </w:r>
      <w:r w:rsidR="00CB2E11" w:rsidRPr="00D407AE">
        <w:rPr>
          <w:rFonts w:ascii="Arial Narrow" w:hAnsi="Arial Narrow" w:cstheme="minorHAnsi"/>
          <w:sz w:val="22"/>
          <w:szCs w:val="22"/>
        </w:rPr>
        <w:t>,</w:t>
      </w:r>
      <w:r w:rsidRPr="00D407AE">
        <w:rPr>
          <w:rFonts w:ascii="Arial Narrow" w:hAnsi="Arial Narrow" w:cstheme="minorHAnsi"/>
          <w:sz w:val="22"/>
          <w:szCs w:val="22"/>
        </w:rPr>
        <w:t xml:space="preserve"> že  vady </w:t>
      </w:r>
      <w:r w:rsidR="0082046F" w:rsidRPr="00D407AE">
        <w:rPr>
          <w:rFonts w:ascii="Arial Narrow" w:hAnsi="Arial Narrow" w:cstheme="minorHAnsi"/>
          <w:sz w:val="22"/>
          <w:szCs w:val="22"/>
        </w:rPr>
        <w:t>tovaru</w:t>
      </w:r>
      <w:r w:rsidRPr="00D407AE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D407AE">
        <w:rPr>
          <w:rFonts w:ascii="Arial Narrow" w:hAnsi="Arial Narrow" w:cstheme="minorHAnsi"/>
          <w:sz w:val="22"/>
          <w:szCs w:val="22"/>
        </w:rPr>
        <w:t>ich</w:t>
      </w:r>
      <w:r w:rsidRPr="00D407AE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D407AE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D407AE">
        <w:rPr>
          <w:rFonts w:ascii="Arial Narrow" w:hAnsi="Arial Narrow" w:cstheme="minorHAnsi"/>
          <w:sz w:val="22"/>
          <w:szCs w:val="22"/>
        </w:rPr>
        <w:t>tovaru</w:t>
      </w:r>
      <w:r w:rsidR="004006AE" w:rsidRPr="00D407AE">
        <w:rPr>
          <w:rFonts w:ascii="Arial Narrow" w:hAnsi="Arial Narrow" w:cstheme="minorHAnsi"/>
          <w:sz w:val="22"/>
          <w:szCs w:val="22"/>
        </w:rPr>
        <w:t xml:space="preserve"> za kupujúceho oznámi predávajúcemu oprávnená  osoba kupujúceho</w:t>
      </w:r>
      <w:r w:rsidR="00D53EBD" w:rsidRPr="00D407AE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D407AE">
        <w:rPr>
          <w:rFonts w:ascii="Arial Narrow" w:hAnsi="Arial Narrow" w:cstheme="minorHAnsi"/>
          <w:sz w:val="22"/>
          <w:szCs w:val="22"/>
        </w:rPr>
        <w:t>O</w:t>
      </w:r>
      <w:r w:rsidRPr="00D407AE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D407AE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D407AE">
        <w:rPr>
          <w:rFonts w:ascii="Arial Narrow" w:hAnsi="Arial Narrow" w:cstheme="minorHAnsi"/>
          <w:sz w:val="22"/>
          <w:szCs w:val="22"/>
        </w:rPr>
        <w:t xml:space="preserve"> kupujúceho</w:t>
      </w:r>
      <w:r w:rsidR="0082046F" w:rsidRPr="00D407AE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D407AE">
        <w:rPr>
          <w:rFonts w:ascii="Arial Narrow" w:hAnsi="Arial Narrow" w:cstheme="minorHAnsi"/>
          <w:sz w:val="22"/>
          <w:szCs w:val="22"/>
        </w:rPr>
        <w:t xml:space="preserve"> počas záručnej doby </w:t>
      </w:r>
      <w:r w:rsidR="0082046F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D407AE">
        <w:rPr>
          <w:rFonts w:ascii="Arial Narrow" w:hAnsi="Arial Narrow" w:cstheme="minorHAnsi"/>
          <w:sz w:val="22"/>
          <w:szCs w:val="22"/>
        </w:rPr>
        <w:t>je</w:t>
      </w:r>
      <w:r w:rsidR="006314A5" w:rsidRPr="00D407AE">
        <w:rPr>
          <w:rFonts w:ascii="Arial Narrow" w:hAnsi="Arial Narrow" w:cstheme="minorHAnsi"/>
          <w:sz w:val="22"/>
          <w:szCs w:val="22"/>
        </w:rPr>
        <w:t xml:space="preserve">  určený zamestnanec  Oddelenia zdravotníckej techniky, e-mail adresa: ozt.servis@unlp.sk, tel. č. +421 55 615 31 95.</w:t>
      </w:r>
    </w:p>
    <w:p w14:paraId="6288410F" w14:textId="5B395316" w:rsidR="0008584F" w:rsidRPr="00D407AE" w:rsidRDefault="00FD5967" w:rsidP="00CA58D9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D407AE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D407AE">
        <w:rPr>
          <w:rFonts w:ascii="Arial Narrow" w:hAnsi="Arial Narrow" w:cstheme="minorHAnsi"/>
          <w:sz w:val="22"/>
          <w:szCs w:val="22"/>
        </w:rPr>
        <w:t>.</w:t>
      </w:r>
    </w:p>
    <w:p w14:paraId="2034BF35" w14:textId="37147CC0" w:rsidR="003251B8" w:rsidRDefault="003251B8" w:rsidP="00E3100B">
      <w:pPr>
        <w:pStyle w:val="Odsekzoznamu"/>
        <w:numPr>
          <w:ilvl w:val="0"/>
          <w:numId w:val="12"/>
        </w:numPr>
        <w:ind w:left="709" w:hanging="709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D0213E">
        <w:rPr>
          <w:rFonts w:ascii="Arial Narrow" w:hAnsi="Arial Narrow" w:cstheme="minorHAnsi"/>
          <w:sz w:val="22"/>
          <w:szCs w:val="22"/>
        </w:rPr>
        <w:t xml:space="preserve">Predávajúci je povinný zabezpečovať </w:t>
      </w:r>
      <w:r w:rsidR="00AF2705" w:rsidRPr="00D0213E">
        <w:rPr>
          <w:rFonts w:ascii="Arial Narrow" w:hAnsi="Arial Narrow" w:cstheme="minorHAnsi"/>
          <w:sz w:val="22"/>
          <w:szCs w:val="22"/>
        </w:rPr>
        <w:t xml:space="preserve">autorizovaný záručný servis  t.j. </w:t>
      </w:r>
      <w:r w:rsidRPr="00D0213E">
        <w:rPr>
          <w:rFonts w:ascii="Arial Narrow" w:hAnsi="Arial Narrow" w:cstheme="minorHAnsi"/>
          <w:sz w:val="22"/>
          <w:szCs w:val="22"/>
        </w:rPr>
        <w:t xml:space="preserve"> opravy a servis tovaru len odborne kvalifikovanými osobami.</w:t>
      </w:r>
    </w:p>
    <w:p w14:paraId="5957091D" w14:textId="77777777" w:rsidR="00E3100B" w:rsidRPr="006E55A1" w:rsidRDefault="00E3100B" w:rsidP="00E3100B">
      <w:pPr>
        <w:pStyle w:val="Odsekzoznamu"/>
        <w:numPr>
          <w:ilvl w:val="0"/>
          <w:numId w:val="12"/>
        </w:numPr>
        <w:tabs>
          <w:tab w:val="clear" w:pos="108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9758305"/>
      <w:r w:rsidRPr="000C31F0">
        <w:rPr>
          <w:rFonts w:ascii="Arial Narrow" w:hAnsi="Arial Narrow" w:cstheme="minorHAnsi"/>
          <w:sz w:val="22"/>
          <w:szCs w:val="22"/>
        </w:rPr>
        <w:t>Predávajúci garantuje dodanie všetkých náhradných dielov na ním dodaný tovar po dobu min. 10 (desiatich) rokov odo dňa inštalácie tovaru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05944B" w14:textId="77777777" w:rsidR="00E3100B" w:rsidRPr="003942EA" w:rsidRDefault="00E3100B" w:rsidP="00E3100B">
      <w:pPr>
        <w:pStyle w:val="Odsekzoznamu"/>
        <w:ind w:left="1080"/>
        <w:jc w:val="both"/>
        <w:rPr>
          <w:rFonts w:ascii="Arial Narrow" w:hAnsi="Arial Narrow" w:cstheme="minorHAnsi"/>
          <w:sz w:val="22"/>
          <w:szCs w:val="22"/>
        </w:rPr>
      </w:pPr>
    </w:p>
    <w:p w14:paraId="2298172B" w14:textId="77777777" w:rsidR="00695845" w:rsidRPr="00D407AE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14:paraId="3FBD87F7" w14:textId="77777777" w:rsidR="0051451F" w:rsidRPr="00D407A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41ACD9E8" w:rsidR="001A52AB" w:rsidRPr="00D407AE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V</w:t>
      </w:r>
      <w:r w:rsidR="00A928DE" w:rsidRPr="00D407AE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D407AE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D407AE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D407AE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D407AE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2C3338" w:rsidRPr="00D407AE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A928DE" w:rsidRPr="00D407AE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D407AE">
        <w:rPr>
          <w:rFonts w:ascii="Arial Narrow" w:hAnsi="Arial Narrow" w:cstheme="minorHAnsi"/>
          <w:sz w:val="22"/>
          <w:szCs w:val="22"/>
        </w:rPr>
        <w:t>zo strany predávajúceho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FF6B4B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Pr="00D407AE">
        <w:rPr>
          <w:rFonts w:ascii="Arial Narrow" w:hAnsi="Arial Narrow" w:cstheme="minorHAnsi"/>
          <w:sz w:val="22"/>
          <w:szCs w:val="22"/>
        </w:rPr>
        <w:t xml:space="preserve">je kupujúci oprávnený </w:t>
      </w:r>
      <w:r w:rsidR="00B829A5" w:rsidRPr="00D407AE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D407AE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D407AE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D407AE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D407AE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D407AE">
        <w:rPr>
          <w:rFonts w:ascii="Arial Narrow" w:hAnsi="Arial Narrow" w:cstheme="minorHAnsi"/>
          <w:sz w:val="22"/>
          <w:szCs w:val="22"/>
        </w:rPr>
        <w:t xml:space="preserve">vo výške </w:t>
      </w:r>
      <w:r w:rsidR="00054398">
        <w:rPr>
          <w:rFonts w:ascii="Arial Narrow" w:hAnsi="Arial Narrow" w:cstheme="minorHAnsi"/>
          <w:sz w:val="22"/>
          <w:szCs w:val="22"/>
        </w:rPr>
        <w:t>2</w:t>
      </w:r>
      <w:r w:rsidR="00E27613" w:rsidRPr="00D407AE">
        <w:rPr>
          <w:rFonts w:ascii="Arial Narrow" w:hAnsi="Arial Narrow" w:cstheme="minorHAnsi"/>
          <w:sz w:val="22"/>
          <w:szCs w:val="22"/>
        </w:rPr>
        <w:t xml:space="preserve"> %</w:t>
      </w:r>
      <w:r w:rsidR="00D45CE2" w:rsidRPr="00D407AE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D407AE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D407AE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D407AE">
        <w:rPr>
          <w:rFonts w:ascii="Arial Narrow" w:hAnsi="Arial Narrow" w:cstheme="minorHAnsi"/>
          <w:sz w:val="22"/>
          <w:szCs w:val="22"/>
        </w:rPr>
        <w:t>30</w:t>
      </w:r>
      <w:r w:rsidR="00DF1217" w:rsidRPr="00D407AE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D407AE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V</w:t>
      </w:r>
      <w:r w:rsidR="00FB453A" w:rsidRPr="00D407AE">
        <w:rPr>
          <w:rFonts w:ascii="Arial Narrow" w:hAnsi="Arial Narrow" w:cstheme="minorHAnsi"/>
          <w:sz w:val="22"/>
          <w:szCs w:val="22"/>
        </w:rPr>
        <w:t> </w:t>
      </w:r>
      <w:r w:rsidR="00951D8E" w:rsidRPr="00D407AE">
        <w:rPr>
          <w:rFonts w:ascii="Arial Narrow" w:hAnsi="Arial Narrow" w:cstheme="minorHAnsi"/>
          <w:sz w:val="22"/>
          <w:szCs w:val="22"/>
        </w:rPr>
        <w:t>prípade</w:t>
      </w:r>
      <w:r w:rsidR="00FB453A" w:rsidRPr="00D407AE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D407AE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D407AE">
        <w:rPr>
          <w:rFonts w:ascii="Arial Narrow" w:hAnsi="Arial Narrow" w:cstheme="minorHAnsi"/>
          <w:sz w:val="22"/>
          <w:szCs w:val="22"/>
        </w:rPr>
        <w:t xml:space="preserve"> t.j. </w:t>
      </w:r>
      <w:r w:rsidR="00951D8E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FB453A" w:rsidRPr="00D407AE">
        <w:rPr>
          <w:rFonts w:ascii="Arial Narrow" w:hAnsi="Arial Narrow" w:cstheme="minorHAnsi"/>
          <w:sz w:val="22"/>
          <w:szCs w:val="22"/>
        </w:rPr>
        <w:t xml:space="preserve">neuhradenie faktúry v lehote splatnosti </w:t>
      </w:r>
      <w:r w:rsidRPr="00D407AE">
        <w:rPr>
          <w:rFonts w:ascii="Arial Narrow" w:hAnsi="Arial Narrow" w:cstheme="minorHAnsi"/>
          <w:sz w:val="22"/>
          <w:szCs w:val="22"/>
        </w:rPr>
        <w:t xml:space="preserve"> je predávajúci oprávnený </w:t>
      </w:r>
      <w:r w:rsidR="002F317B" w:rsidRPr="00D407AE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D407AE">
        <w:rPr>
          <w:rFonts w:ascii="Arial Narrow" w:hAnsi="Arial Narrow" w:cstheme="minorHAnsi"/>
          <w:sz w:val="22"/>
          <w:szCs w:val="22"/>
        </w:rPr>
        <w:t xml:space="preserve"> zaplat</w:t>
      </w:r>
      <w:r w:rsidR="002F317B" w:rsidRPr="00D407AE">
        <w:rPr>
          <w:rFonts w:ascii="Arial Narrow" w:hAnsi="Arial Narrow" w:cstheme="minorHAnsi"/>
          <w:sz w:val="22"/>
          <w:szCs w:val="22"/>
        </w:rPr>
        <w:t>enie</w:t>
      </w:r>
      <w:r w:rsidR="00B829A5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D407AE">
        <w:rPr>
          <w:rFonts w:ascii="Arial Narrow" w:hAnsi="Arial Narrow" w:cstheme="minorHAnsi"/>
          <w:sz w:val="22"/>
          <w:szCs w:val="22"/>
        </w:rPr>
        <w:t>úrok</w:t>
      </w:r>
      <w:r w:rsidR="002F317B" w:rsidRPr="00D407AE">
        <w:rPr>
          <w:rFonts w:ascii="Arial Narrow" w:hAnsi="Arial Narrow" w:cstheme="minorHAnsi"/>
          <w:sz w:val="22"/>
          <w:szCs w:val="22"/>
        </w:rPr>
        <w:t>u</w:t>
      </w:r>
      <w:r w:rsidR="00EA0F14" w:rsidRPr="00D407AE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D407AE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D407AE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D407AE">
        <w:rPr>
          <w:rFonts w:ascii="Arial Narrow" w:hAnsi="Arial Narrow" w:cstheme="minorHAnsi"/>
          <w:sz w:val="22"/>
          <w:szCs w:val="22"/>
        </w:rPr>
        <w:t>.</w:t>
      </w:r>
      <w:r w:rsidR="00EA0F14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D407AE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D407AE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D407AE">
        <w:rPr>
          <w:rFonts w:ascii="Arial Narrow" w:hAnsi="Arial Narrow" w:cstheme="minorHAnsi"/>
          <w:sz w:val="22"/>
          <w:szCs w:val="22"/>
        </w:rPr>
        <w:t>do</w:t>
      </w:r>
      <w:r w:rsidR="00222E8E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D407AE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D407AE">
        <w:rPr>
          <w:rFonts w:ascii="Arial Narrow" w:hAnsi="Arial Narrow" w:cstheme="minorHAnsi"/>
          <w:sz w:val="22"/>
          <w:szCs w:val="22"/>
        </w:rPr>
        <w:t xml:space="preserve"> kalendárnych</w:t>
      </w:r>
      <w:r w:rsidR="00EA0F14" w:rsidRPr="00D407AE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D407AE">
        <w:rPr>
          <w:rFonts w:ascii="Arial Narrow" w:hAnsi="Arial Narrow" w:cstheme="minorHAnsi"/>
          <w:sz w:val="22"/>
          <w:szCs w:val="22"/>
        </w:rPr>
        <w:t>o dňa</w:t>
      </w:r>
      <w:r w:rsidR="00EA0F14" w:rsidRPr="00D407AE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D407AE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D407AE">
        <w:rPr>
          <w:rFonts w:ascii="Arial Narrow" w:hAnsi="Arial Narrow" w:cstheme="minorHAnsi"/>
          <w:sz w:val="22"/>
          <w:szCs w:val="22"/>
        </w:rPr>
        <w:t>kupujúcemu</w:t>
      </w:r>
      <w:r w:rsidR="00DF1217" w:rsidRPr="00D407AE">
        <w:rPr>
          <w:rFonts w:ascii="Arial Narrow" w:hAnsi="Arial Narrow" w:cstheme="minorHAnsi"/>
          <w:sz w:val="22"/>
          <w:szCs w:val="22"/>
        </w:rPr>
        <w:t>.</w:t>
      </w:r>
    </w:p>
    <w:p w14:paraId="3BDC2961" w14:textId="69ED8717" w:rsidR="00FB453A" w:rsidRPr="00D407AE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D407AE">
        <w:rPr>
          <w:rFonts w:ascii="Arial Narrow" w:hAnsi="Arial Narrow" w:cstheme="minorHAnsi"/>
          <w:sz w:val="22"/>
          <w:szCs w:val="22"/>
          <w:u w:val="single"/>
        </w:rPr>
        <w:t>v čl. VII.  tejto zmluvy</w:t>
      </w:r>
      <w:r w:rsidRPr="00D407AE">
        <w:rPr>
          <w:rFonts w:ascii="Arial Narrow" w:hAnsi="Arial Narrow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054398">
        <w:rPr>
          <w:rFonts w:ascii="Arial Narrow" w:hAnsi="Arial Narrow" w:cstheme="minorHAnsi"/>
          <w:sz w:val="22"/>
          <w:szCs w:val="22"/>
        </w:rPr>
        <w:t>300,00</w:t>
      </w:r>
      <w:r w:rsidR="004E3815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Pr="00D407AE">
        <w:rPr>
          <w:rFonts w:ascii="Arial Narrow" w:hAnsi="Arial Narrow" w:cstheme="minorHAnsi"/>
          <w:sz w:val="22"/>
          <w:szCs w:val="22"/>
        </w:rPr>
        <w:t xml:space="preserve">€ , slovom : </w:t>
      </w:r>
      <w:r w:rsidR="00054398">
        <w:rPr>
          <w:rFonts w:ascii="Arial Narrow" w:hAnsi="Arial Narrow" w:cstheme="minorHAnsi"/>
          <w:sz w:val="22"/>
          <w:szCs w:val="22"/>
        </w:rPr>
        <w:t>tristo</w:t>
      </w:r>
      <w:r w:rsidR="004E3815" w:rsidRPr="00D407AE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D407AE">
        <w:rPr>
          <w:rFonts w:ascii="Arial Narrow" w:hAnsi="Arial Narrow"/>
          <w:sz w:val="22"/>
          <w:szCs w:val="22"/>
        </w:rPr>
        <w:t xml:space="preserve"> za každý jednotlivý prípad porušenia zmluvných povinností.</w:t>
      </w:r>
      <w:r w:rsidR="003D2AA0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Pr="00D407AE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1D325B8C" w:rsidR="00295B0A" w:rsidRPr="00D407AE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D407AE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D407AE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D407AE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D407AE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D407AE">
        <w:rPr>
          <w:rFonts w:ascii="Arial Narrow" w:hAnsi="Arial Narrow"/>
          <w:sz w:val="22"/>
          <w:szCs w:val="22"/>
        </w:rPr>
        <w:t xml:space="preserve">vo výške </w:t>
      </w:r>
      <w:r w:rsidR="00054398">
        <w:rPr>
          <w:rFonts w:ascii="Arial Narrow" w:hAnsi="Arial Narrow"/>
          <w:sz w:val="22"/>
          <w:szCs w:val="22"/>
        </w:rPr>
        <w:t>10</w:t>
      </w:r>
      <w:r w:rsidR="00B7674B" w:rsidRPr="00D407AE">
        <w:rPr>
          <w:rFonts w:ascii="Arial Narrow" w:hAnsi="Arial Narrow"/>
          <w:sz w:val="22"/>
          <w:szCs w:val="22"/>
        </w:rPr>
        <w:t xml:space="preserve"> % z  kúpnej ceny bez DPH , ktorá  ako pohľadávka bola  predmetom postúpenia alebo iného právneho úkonu, ktorým došlo k zmene v osobe veriteľa.</w:t>
      </w:r>
      <w:r w:rsidR="00D45CE2" w:rsidRPr="00D407AE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3D41CF24" w:rsidR="00FB453A" w:rsidRPr="00D407AE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D407AE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D407AE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Pr="00D407AE">
        <w:rPr>
          <w:rFonts w:ascii="Arial Narrow" w:hAnsi="Arial Narrow"/>
          <w:sz w:val="22"/>
          <w:szCs w:val="22"/>
        </w:rPr>
        <w:t xml:space="preserve">vo výške </w:t>
      </w:r>
      <w:r w:rsidR="00054398">
        <w:rPr>
          <w:rFonts w:ascii="Arial Narrow" w:hAnsi="Arial Narrow"/>
          <w:sz w:val="22"/>
          <w:szCs w:val="22"/>
        </w:rPr>
        <w:t>300,00</w:t>
      </w:r>
      <w:r w:rsidRPr="00D407AE">
        <w:rPr>
          <w:rFonts w:ascii="Arial Narrow" w:hAnsi="Arial Narrow"/>
          <w:sz w:val="22"/>
          <w:szCs w:val="22"/>
        </w:rPr>
        <w:t xml:space="preserve"> €, slovom : </w:t>
      </w:r>
      <w:r w:rsidR="00054398">
        <w:rPr>
          <w:rFonts w:ascii="Arial Narrow" w:hAnsi="Arial Narrow"/>
          <w:sz w:val="22"/>
          <w:szCs w:val="22"/>
        </w:rPr>
        <w:t>tristo</w:t>
      </w:r>
      <w:r w:rsidR="004E3815" w:rsidRPr="00D407AE">
        <w:rPr>
          <w:rFonts w:ascii="Arial Narrow" w:hAnsi="Arial Narrow"/>
          <w:sz w:val="22"/>
          <w:szCs w:val="22"/>
        </w:rPr>
        <w:t xml:space="preserve"> euro,</w:t>
      </w:r>
      <w:r w:rsidR="003D2AA0" w:rsidRPr="00D407AE">
        <w:rPr>
          <w:rFonts w:ascii="Arial Narrow" w:hAnsi="Arial Narrow"/>
          <w:sz w:val="22"/>
          <w:szCs w:val="22"/>
        </w:rPr>
        <w:t xml:space="preserve"> za každý jednotlivý prípad porušenia zmluvných povinností.</w:t>
      </w:r>
      <w:r w:rsidRPr="00D407AE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D407AE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14:paraId="65F15361" w14:textId="77777777" w:rsidR="00372DA8" w:rsidRPr="00D407AE" w:rsidRDefault="00372DA8" w:rsidP="00372DA8">
      <w:pPr>
        <w:pStyle w:val="StylNadpis2Podtren"/>
        <w:spacing w:before="0" w:after="0"/>
        <w:jc w:val="left"/>
        <w:rPr>
          <w:rFonts w:ascii="Arial Narrow" w:hAnsi="Arial Narrow"/>
          <w:sz w:val="22"/>
          <w:szCs w:val="22"/>
          <w:lang w:val="sk-SK"/>
        </w:rPr>
      </w:pPr>
    </w:p>
    <w:p w14:paraId="7618ACEA" w14:textId="77777777" w:rsidR="0051451F" w:rsidRPr="00D407AE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14:paraId="2BAE96CD" w14:textId="77777777" w:rsidR="0051451F" w:rsidRPr="00D407A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D407AE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0CA41C27" w14:textId="77777777" w:rsidR="00140F21" w:rsidRPr="00D407AE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Pr="00D407AE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D407AE">
        <w:rPr>
          <w:rFonts w:ascii="Arial Narrow" w:hAnsi="Arial Narrow" w:cstheme="minorHAnsi"/>
          <w:sz w:val="22"/>
          <w:szCs w:val="22"/>
        </w:rPr>
        <w:t>predávajúcemu</w:t>
      </w:r>
      <w:r w:rsidR="00B22E7A" w:rsidRPr="00D407AE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D407AE">
        <w:rPr>
          <w:rFonts w:ascii="Arial Narrow" w:hAnsi="Arial Narrow" w:cstheme="minorHAnsi"/>
          <w:sz w:val="22"/>
          <w:szCs w:val="22"/>
        </w:rPr>
        <w:t>predávajúci</w:t>
      </w:r>
      <w:r w:rsidR="00B22E7A" w:rsidRPr="00D407AE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D407AE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D407AE">
        <w:rPr>
          <w:rFonts w:ascii="Arial Narrow" w:hAnsi="Arial Narrow" w:cstheme="minorHAnsi"/>
          <w:sz w:val="22"/>
          <w:szCs w:val="22"/>
        </w:rPr>
        <w:t>orgán</w:t>
      </w:r>
      <w:r w:rsidR="005D69D9" w:rsidRPr="00D407AE">
        <w:rPr>
          <w:rFonts w:ascii="Arial Narrow" w:hAnsi="Arial Narrow" w:cstheme="minorHAnsi"/>
          <w:sz w:val="22"/>
          <w:szCs w:val="22"/>
        </w:rPr>
        <w:t>.</w:t>
      </w:r>
      <w:r w:rsidR="00AE0D1C" w:rsidRPr="00D407AE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D407AE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D407AE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D407AE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D407AE">
        <w:rPr>
          <w:rFonts w:ascii="Arial Narrow" w:hAnsi="Arial Narrow" w:cstheme="minorHAnsi"/>
          <w:sz w:val="22"/>
          <w:szCs w:val="22"/>
        </w:rPr>
        <w:t>b</w:t>
      </w:r>
      <w:r w:rsidR="003E206C" w:rsidRPr="00D407AE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D407AE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D407AE">
        <w:rPr>
          <w:rFonts w:ascii="Arial Narrow" w:hAnsi="Arial Narrow" w:cstheme="minorHAnsi"/>
          <w:sz w:val="22"/>
          <w:szCs w:val="22"/>
        </w:rPr>
        <w:t>.</w:t>
      </w:r>
    </w:p>
    <w:p w14:paraId="0ED8B181" w14:textId="77777777" w:rsidR="003E206C" w:rsidRPr="00D407AE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</w:t>
      </w:r>
      <w:r w:rsidRPr="00D407AE">
        <w:rPr>
          <w:rFonts w:ascii="Arial Narrow" w:hAnsi="Arial Narrow" w:cstheme="minorHAnsi"/>
          <w:sz w:val="22"/>
          <w:szCs w:val="22"/>
        </w:rPr>
        <w:lastRenderedPageBreak/>
        <w:t xml:space="preserve">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D407AE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D407AE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D407AE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4. </w:t>
      </w:r>
      <w:r w:rsidRPr="00D407AE">
        <w:rPr>
          <w:rFonts w:ascii="Arial Narrow" w:hAnsi="Arial Narrow" w:cstheme="minorHAnsi"/>
          <w:sz w:val="22"/>
          <w:szCs w:val="22"/>
        </w:rPr>
        <w:tab/>
      </w:r>
      <w:r w:rsidR="00B535B1" w:rsidRPr="00D407AE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D407AE">
        <w:rPr>
          <w:rFonts w:ascii="Arial Narrow" w:hAnsi="Arial Narrow" w:cstheme="minorHAnsi"/>
          <w:sz w:val="22"/>
          <w:szCs w:val="22"/>
        </w:rPr>
        <w:t>sa zaväzuj</w:t>
      </w:r>
      <w:r w:rsidR="00B535B1" w:rsidRPr="00D407AE">
        <w:rPr>
          <w:rFonts w:ascii="Arial Narrow" w:hAnsi="Arial Narrow" w:cstheme="minorHAnsi"/>
          <w:sz w:val="22"/>
          <w:szCs w:val="22"/>
        </w:rPr>
        <w:t>e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, že </w:t>
      </w:r>
    </w:p>
    <w:p w14:paraId="681EA363" w14:textId="77777777" w:rsidR="00AD6F6E" w:rsidRPr="00D407AE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a</w:t>
      </w:r>
      <w:r w:rsidR="001214C6" w:rsidRPr="00D407AE">
        <w:rPr>
          <w:rFonts w:ascii="Arial Narrow" w:hAnsi="Arial Narrow" w:cstheme="minorHAnsi"/>
          <w:sz w:val="22"/>
          <w:szCs w:val="22"/>
        </w:rPr>
        <w:t>/</w:t>
      </w:r>
      <w:r w:rsidR="001214C6" w:rsidRPr="00D407AE">
        <w:rPr>
          <w:rFonts w:ascii="Arial Narrow" w:hAnsi="Arial Narrow" w:cstheme="minorHAnsi"/>
          <w:sz w:val="22"/>
          <w:szCs w:val="22"/>
        </w:rPr>
        <w:tab/>
      </w:r>
      <w:r w:rsidR="00AD6F6E" w:rsidRPr="00D407AE">
        <w:rPr>
          <w:rFonts w:ascii="Arial Narrow" w:hAnsi="Arial Narrow" w:cstheme="minorHAnsi"/>
          <w:sz w:val="22"/>
          <w:szCs w:val="22"/>
        </w:rPr>
        <w:t>nevyužij</w:t>
      </w:r>
      <w:r w:rsidR="00B535B1" w:rsidRPr="00D407AE">
        <w:rPr>
          <w:rFonts w:ascii="Arial Narrow" w:hAnsi="Arial Narrow" w:cstheme="minorHAnsi"/>
          <w:sz w:val="22"/>
          <w:szCs w:val="22"/>
        </w:rPr>
        <w:t>e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D407AE">
        <w:rPr>
          <w:rFonts w:ascii="Arial Narrow" w:hAnsi="Arial Narrow" w:cstheme="minorHAnsi"/>
          <w:sz w:val="22"/>
          <w:szCs w:val="22"/>
        </w:rPr>
        <w:t>í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D407AE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D407AE">
        <w:rPr>
          <w:rFonts w:ascii="Arial Narrow" w:hAnsi="Arial Narrow" w:cstheme="minorHAnsi"/>
          <w:sz w:val="22"/>
          <w:szCs w:val="22"/>
        </w:rPr>
        <w:t>o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D407AE">
        <w:rPr>
          <w:rFonts w:ascii="Arial Narrow" w:hAnsi="Arial Narrow" w:cstheme="minorHAnsi"/>
          <w:sz w:val="22"/>
          <w:szCs w:val="22"/>
        </w:rPr>
        <w:t>osôb</w:t>
      </w:r>
      <w:r w:rsidR="00AD6F6E" w:rsidRPr="00D407AE">
        <w:rPr>
          <w:rFonts w:ascii="Arial Narrow" w:hAnsi="Arial Narrow" w:cstheme="minorHAnsi"/>
          <w:sz w:val="22"/>
          <w:szCs w:val="22"/>
        </w:rPr>
        <w:t>, počas trvania</w:t>
      </w:r>
      <w:r w:rsidR="00AB3C3C" w:rsidRPr="00D407AE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D407AE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D407AE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14:paraId="7A6F0931" w14:textId="77777777" w:rsidR="002C5751" w:rsidRPr="00D407AE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b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D407AE">
        <w:rPr>
          <w:rFonts w:ascii="Arial Narrow" w:hAnsi="Arial Narrow" w:cstheme="minorHAnsi"/>
          <w:sz w:val="22"/>
          <w:szCs w:val="22"/>
        </w:rPr>
        <w:tab/>
      </w:r>
      <w:r w:rsidR="00AD6F6E" w:rsidRPr="00D407AE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D407AE">
        <w:rPr>
          <w:rFonts w:ascii="Arial Narrow" w:hAnsi="Arial Narrow" w:cstheme="minorHAnsi"/>
          <w:sz w:val="22"/>
          <w:szCs w:val="22"/>
        </w:rPr>
        <w:t>é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D407AE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D407AE">
        <w:rPr>
          <w:rFonts w:ascii="Arial Narrow" w:hAnsi="Arial Narrow" w:cstheme="minorHAnsi"/>
          <w:sz w:val="22"/>
          <w:szCs w:val="22"/>
        </w:rPr>
        <w:t>ovať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Pr="00D407AE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c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D407AE">
        <w:rPr>
          <w:rFonts w:ascii="Arial Narrow" w:hAnsi="Arial Narrow" w:cstheme="minorHAnsi"/>
          <w:sz w:val="22"/>
          <w:szCs w:val="22"/>
        </w:rPr>
        <w:tab/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D407AE">
        <w:rPr>
          <w:rFonts w:ascii="Arial Narrow" w:hAnsi="Arial Narrow" w:cstheme="minorHAnsi"/>
          <w:sz w:val="22"/>
          <w:szCs w:val="22"/>
        </w:rPr>
        <w:t>kupujúcim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D407AE">
        <w:rPr>
          <w:rFonts w:ascii="Arial Narrow" w:hAnsi="Arial Narrow" w:cstheme="minorHAnsi"/>
          <w:sz w:val="22"/>
          <w:szCs w:val="22"/>
        </w:rPr>
        <w:t>e</w:t>
      </w:r>
      <w:r w:rsidR="00AD6F6E" w:rsidRPr="00D407AE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D407AE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D407AE">
        <w:rPr>
          <w:rFonts w:ascii="Arial Narrow" w:hAnsi="Arial Narrow" w:cstheme="minorHAnsi"/>
          <w:sz w:val="22"/>
          <w:szCs w:val="22"/>
        </w:rPr>
        <w:t xml:space="preserve"> tejto Zmluvy,</w:t>
      </w:r>
    </w:p>
    <w:p w14:paraId="493FB681" w14:textId="77777777" w:rsidR="00F458FB" w:rsidRPr="00D407AE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d/</w:t>
      </w:r>
      <w:r w:rsidRPr="00D407AE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D407AE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5</w:t>
      </w:r>
      <w:r w:rsidR="00BA6A2E" w:rsidRPr="00D407AE">
        <w:rPr>
          <w:rFonts w:ascii="Arial Narrow" w:hAnsi="Arial Narrow" w:cstheme="minorHAnsi"/>
          <w:sz w:val="22"/>
          <w:szCs w:val="22"/>
        </w:rPr>
        <w:t>.</w:t>
      </w:r>
      <w:r w:rsidR="00BA6A2E" w:rsidRPr="00D407AE">
        <w:rPr>
          <w:rFonts w:ascii="Arial Narrow" w:hAnsi="Arial Narrow" w:cstheme="minorHAnsi"/>
          <w:sz w:val="22"/>
          <w:szCs w:val="22"/>
        </w:rPr>
        <w:tab/>
      </w:r>
      <w:r w:rsidR="00AE0D1C" w:rsidRPr="00D407AE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D407AE">
        <w:rPr>
          <w:rFonts w:ascii="Arial Narrow" w:hAnsi="Arial Narrow" w:cstheme="minorHAnsi"/>
          <w:sz w:val="22"/>
          <w:szCs w:val="22"/>
        </w:rPr>
        <w:t>kupujúceho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D407AE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6</w:t>
      </w:r>
      <w:r w:rsidR="00BA6A2E" w:rsidRPr="00D407AE">
        <w:rPr>
          <w:rFonts w:ascii="Arial Narrow" w:hAnsi="Arial Narrow" w:cstheme="minorHAnsi"/>
          <w:sz w:val="22"/>
          <w:szCs w:val="22"/>
        </w:rPr>
        <w:t>.</w:t>
      </w:r>
      <w:r w:rsidR="00AC50B2" w:rsidRPr="00D407AE">
        <w:rPr>
          <w:rFonts w:ascii="Arial Narrow" w:hAnsi="Arial Narrow" w:cstheme="minorHAnsi"/>
          <w:sz w:val="22"/>
          <w:szCs w:val="22"/>
        </w:rPr>
        <w:tab/>
      </w:r>
      <w:r w:rsidR="00AE0D1C" w:rsidRPr="00D407AE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D407AE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D407AE">
        <w:rPr>
          <w:rFonts w:ascii="Arial Narrow" w:hAnsi="Arial Narrow" w:cstheme="minorHAnsi"/>
          <w:sz w:val="22"/>
          <w:szCs w:val="22"/>
        </w:rPr>
        <w:t>,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D407AE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D407AE">
        <w:rPr>
          <w:rFonts w:ascii="Arial Narrow" w:hAnsi="Arial Narrow" w:cstheme="minorHAnsi"/>
          <w:sz w:val="22"/>
          <w:szCs w:val="22"/>
        </w:rPr>
        <w:t>predávajúci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D407AE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D407AE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D407AE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 je povinný poučiť o povinnosti mlčanlivosti  zamestnancov </w:t>
      </w:r>
      <w:r w:rsidR="00C7100C" w:rsidRPr="00D407AE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a všetky tretie osoby, ktoré v  mene </w:t>
      </w:r>
      <w:r w:rsidR="00C7100C" w:rsidRPr="00D407AE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 budú vykonávať </w:t>
      </w:r>
      <w:r w:rsidR="00C7100C" w:rsidRPr="00D407AE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D407AE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D407AE">
        <w:rPr>
          <w:rFonts w:ascii="Arial Narrow" w:hAnsi="Arial Narrow" w:cstheme="minorHAnsi"/>
          <w:sz w:val="22"/>
          <w:szCs w:val="22"/>
        </w:rPr>
        <w:t xml:space="preserve"> </w:t>
      </w:r>
    </w:p>
    <w:p w14:paraId="28312FFA" w14:textId="77777777" w:rsidR="007A0E66" w:rsidRPr="00D407AE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407AE">
        <w:rPr>
          <w:rFonts w:ascii="Arial Narrow" w:hAnsi="Arial Narrow" w:cstheme="minorHAnsi"/>
          <w:sz w:val="22"/>
          <w:szCs w:val="22"/>
        </w:rPr>
        <w:t>7</w:t>
      </w:r>
      <w:r w:rsidR="3044980D" w:rsidRPr="00D407AE">
        <w:rPr>
          <w:rFonts w:ascii="Arial Narrow" w:hAnsi="Arial Narrow" w:cstheme="minorHAnsi"/>
          <w:sz w:val="22"/>
          <w:szCs w:val="22"/>
        </w:rPr>
        <w:t>.</w:t>
      </w:r>
      <w:r w:rsidR="00AC50B2" w:rsidRPr="00D407AE">
        <w:rPr>
          <w:rFonts w:ascii="Arial Narrow" w:hAnsi="Arial Narrow" w:cstheme="minorHAnsi"/>
          <w:sz w:val="22"/>
          <w:szCs w:val="22"/>
        </w:rPr>
        <w:tab/>
      </w:r>
      <w:r w:rsidR="00282CEA" w:rsidRPr="00D407AE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D407AE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D407AE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D407AE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D407AE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D407AE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D407AE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D407AE" w:rsidRDefault="001F197A" w:rsidP="001F197A">
      <w:pPr>
        <w:pStyle w:val="Zkladntext21"/>
        <w:ind w:left="709" w:hanging="709"/>
        <w:rPr>
          <w:rFonts w:ascii="Arial Narrow" w:hAnsi="Arial Narrow"/>
          <w:sz w:val="22"/>
          <w:szCs w:val="22"/>
          <w:lang w:eastAsia="cs-CZ"/>
        </w:rPr>
      </w:pPr>
      <w:r w:rsidRPr="00D407AE">
        <w:rPr>
          <w:rFonts w:ascii="Arial Narrow" w:hAnsi="Arial Narrow"/>
          <w:sz w:val="22"/>
          <w:szCs w:val="22"/>
          <w:lang w:eastAsia="cs-CZ"/>
        </w:rPr>
        <w:t>8.</w:t>
      </w:r>
      <w:r w:rsidRPr="00D407AE">
        <w:rPr>
          <w:rFonts w:ascii="Arial Narrow" w:hAnsi="Arial Narrow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D407AE">
        <w:rPr>
          <w:rFonts w:ascii="Arial Narrow" w:hAnsi="Arial Narrow"/>
          <w:sz w:val="22"/>
          <w:szCs w:val="22"/>
          <w:lang w:eastAsia="cs-CZ"/>
        </w:rPr>
        <w:t>......................................</w:t>
      </w:r>
      <w:r w:rsidR="00C60CB5" w:rsidRPr="00D407AE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D407AE">
        <w:rPr>
          <w:rFonts w:ascii="Arial Narrow" w:hAnsi="Arial Narrow"/>
          <w:sz w:val="22"/>
          <w:szCs w:val="22"/>
          <w:lang w:eastAsia="cs-CZ"/>
        </w:rPr>
        <w:t xml:space="preserve"> tel. kontakt : </w:t>
      </w:r>
      <w:r w:rsidR="00D328F8" w:rsidRPr="00D407AE">
        <w:rPr>
          <w:rFonts w:ascii="Arial Narrow" w:hAnsi="Arial Narrow"/>
          <w:sz w:val="22"/>
          <w:szCs w:val="22"/>
          <w:lang w:eastAsia="cs-CZ"/>
        </w:rPr>
        <w:t>.....................................</w:t>
      </w:r>
      <w:r w:rsidRPr="00D407AE">
        <w:rPr>
          <w:rFonts w:ascii="Arial Narrow" w:hAnsi="Arial Narrow"/>
          <w:sz w:val="22"/>
          <w:szCs w:val="22"/>
          <w:lang w:eastAsia="cs-CZ"/>
        </w:rPr>
        <w:t xml:space="preserve">, e-mail adresa : </w:t>
      </w:r>
      <w:r w:rsidR="00D328F8" w:rsidRPr="00D407AE">
        <w:rPr>
          <w:rFonts w:ascii="Arial Narrow" w:hAnsi="Arial Narrow"/>
          <w:sz w:val="22"/>
          <w:szCs w:val="22"/>
          <w:lang w:eastAsia="cs-CZ"/>
        </w:rPr>
        <w:t>............................</w:t>
      </w:r>
      <w:r w:rsidR="00C60CB5" w:rsidRPr="00D407AE">
        <w:rPr>
          <w:rFonts w:ascii="Arial Narrow" w:hAnsi="Arial Narrow"/>
          <w:sz w:val="22"/>
          <w:szCs w:val="22"/>
          <w:lang w:eastAsia="cs-CZ"/>
        </w:rPr>
        <w:t>.</w:t>
      </w:r>
    </w:p>
    <w:p w14:paraId="60C3FCEA" w14:textId="77777777" w:rsidR="00326AD6" w:rsidRPr="00D407AE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/>
          <w:sz w:val="22"/>
          <w:szCs w:val="22"/>
        </w:rPr>
        <w:t>9.</w:t>
      </w:r>
      <w:r w:rsidRPr="00D407AE">
        <w:rPr>
          <w:rFonts w:ascii="Arial Narrow" w:hAnsi="Arial Narrow"/>
          <w:sz w:val="22"/>
          <w:szCs w:val="22"/>
        </w:rPr>
        <w:tab/>
        <w:t xml:space="preserve">Kontaktná osoba kupujúceho pre účely plnenia tejto zmluvy je </w:t>
      </w:r>
      <w:r w:rsidR="00326AD6" w:rsidRPr="00D407AE">
        <w:rPr>
          <w:rFonts w:ascii="Arial Narrow" w:hAnsi="Arial Narrow" w:cstheme="minorHAnsi"/>
          <w:sz w:val="22"/>
          <w:szCs w:val="22"/>
        </w:rPr>
        <w:t xml:space="preserve">určený zamestnanec Oddelenia zdravotníckej techniky, e-mail adresa: </w:t>
      </w:r>
      <w:hyperlink r:id="rId9" w:history="1">
        <w:r w:rsidR="00326AD6" w:rsidRPr="00D407AE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326AD6" w:rsidRPr="00D407AE">
        <w:rPr>
          <w:rFonts w:ascii="Arial Narrow" w:hAnsi="Arial Narrow" w:cstheme="minorHAnsi"/>
          <w:sz w:val="22"/>
          <w:szCs w:val="22"/>
        </w:rPr>
        <w:t xml:space="preserve">,  tel. č. + 421 55 615 3079. </w:t>
      </w:r>
    </w:p>
    <w:p w14:paraId="59CA8156" w14:textId="77777777" w:rsidR="0008785F" w:rsidRPr="00D407AE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407AE">
        <w:rPr>
          <w:rFonts w:ascii="Arial Narrow" w:hAnsi="Arial Narrow"/>
          <w:sz w:val="22"/>
          <w:szCs w:val="22"/>
          <w:lang w:eastAsia="cs-CZ"/>
        </w:rPr>
        <w:t>10.</w:t>
      </w:r>
      <w:r w:rsidRPr="00D407AE">
        <w:rPr>
          <w:rFonts w:ascii="Arial Narrow" w:hAnsi="Arial Narrow"/>
          <w:sz w:val="22"/>
          <w:szCs w:val="22"/>
          <w:lang w:eastAsia="cs-CZ"/>
        </w:rPr>
        <w:tab/>
        <w:t xml:space="preserve">Predávajúci berie na vedomie, že kupujúci zverejní túto zmluvu ( ako aj jej dodatky)  ako povinne zverejňovanú zmluvu v Centrálnom registri zmlúv vedenom Úradom vlády SR </w:t>
      </w:r>
      <w:r w:rsidRPr="00D407AE">
        <w:rPr>
          <w:rFonts w:ascii="Arial Narrow" w:hAnsi="Arial Narrow" w:cstheme="minorHAnsi"/>
          <w:sz w:val="22"/>
          <w:szCs w:val="22"/>
          <w:lang w:eastAsia="cs-CZ"/>
        </w:rPr>
        <w:t>v súlade so zák. č. 546/2010 Z.z.</w:t>
      </w:r>
    </w:p>
    <w:p w14:paraId="48D0B967" w14:textId="77777777" w:rsidR="00E7369F" w:rsidRPr="00D407AE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407AE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D407AE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D407AE">
        <w:rPr>
          <w:rFonts w:ascii="Arial Narrow" w:hAnsi="Arial Narrow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D407AE">
        <w:rPr>
          <w:rFonts w:ascii="Arial Narrow" w:hAnsi="Arial Narrow" w:cstheme="minorHAnsi"/>
          <w:b/>
          <w:color w:val="000000"/>
          <w:sz w:val="22"/>
          <w:szCs w:val="22"/>
        </w:rPr>
        <w:t>subdodávateľov,</w:t>
      </w:r>
      <w:r w:rsidRPr="00D407AE">
        <w:rPr>
          <w:rFonts w:ascii="Arial Narrow" w:hAnsi="Arial Narrow" w:cstheme="minorHAnsi"/>
          <w:color w:val="000000"/>
          <w:sz w:val="22"/>
          <w:szCs w:val="22"/>
        </w:rPr>
        <w:t xml:space="preserve"> pričom predávajúci:</w:t>
      </w:r>
    </w:p>
    <w:p w14:paraId="0A65733F" w14:textId="77777777" w:rsidR="00E7369F" w:rsidRPr="00D407AE" w:rsidRDefault="00E7369F" w:rsidP="00D0213E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407AE">
        <w:rPr>
          <w:rFonts w:ascii="Arial Narrow" w:hAnsi="Arial Narrow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D407AE" w:rsidRDefault="00E7369F" w:rsidP="00D0213E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407AE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D407AE" w:rsidRDefault="00E7369F" w:rsidP="00D0213E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407AE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14:paraId="1860353C" w14:textId="77777777" w:rsidR="00E7369F" w:rsidRPr="00D407AE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407AE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 písomne oznámiť kupujúcemu akúkoľvek zmenu údajov o subdodávateľovi  a to  do piatich pracovných dní odo dňa, kedy táto skutočnosť nastala;</w:t>
      </w:r>
    </w:p>
    <w:p w14:paraId="3DE70514" w14:textId="77777777" w:rsidR="00E7369F" w:rsidRPr="00D407AE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407AE">
        <w:rPr>
          <w:rFonts w:ascii="Arial Narrow" w:hAnsi="Arial Narrow" w:cstheme="minorHAnsi"/>
          <w:color w:val="000000"/>
          <w:sz w:val="22"/>
          <w:szCs w:val="22"/>
        </w:rPr>
        <w:t xml:space="preserve">e/ je povinný do piatich pracovných dní odo dňa uzatvorenia zmluvy so subdodávateľom predložiť kupujúcemu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</w:t>
      </w:r>
      <w:r w:rsidRPr="00D407AE">
        <w:rPr>
          <w:rFonts w:ascii="Arial Narrow" w:hAnsi="Arial Narrow" w:cstheme="minorHAnsi"/>
          <w:color w:val="000000"/>
          <w:sz w:val="22"/>
          <w:szCs w:val="22"/>
        </w:rPr>
        <w:lastRenderedPageBreak/>
        <w:t xml:space="preserve">a priezvisko, adresa pobytu, dátum narodenia. Zoznam subdodávateľov je uvedený </w:t>
      </w:r>
      <w:r w:rsidRPr="00D407AE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D407AE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Pr="00D407AE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407AE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 w:rsidRPr="00D407AE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D407AE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D407AE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D407AE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D407AE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D407AE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D407AE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D407AE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D407AE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D407AE">
        <w:rPr>
          <w:rFonts w:ascii="Arial Narrow" w:hAnsi="Arial Narrow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315B418C" w:rsidR="00E3128E" w:rsidRPr="00D407AE" w:rsidRDefault="00E3128E" w:rsidP="00E3128E">
      <w:pPr>
        <w:suppressAutoHyphens/>
        <w:ind w:left="720" w:hanging="720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D407AE">
        <w:rPr>
          <w:rFonts w:ascii="Arial Narrow" w:hAnsi="Arial Narrow" w:cstheme="minorHAnsi"/>
          <w:color w:val="000000" w:themeColor="text1"/>
          <w:sz w:val="22"/>
          <w:szCs w:val="22"/>
        </w:rPr>
        <w:t>1</w:t>
      </w:r>
      <w:r w:rsidR="00CA58D9" w:rsidRPr="00D407AE">
        <w:rPr>
          <w:rFonts w:ascii="Arial Narrow" w:hAnsi="Arial Narrow" w:cstheme="minorHAnsi"/>
          <w:color w:val="000000" w:themeColor="text1"/>
          <w:sz w:val="22"/>
          <w:szCs w:val="22"/>
        </w:rPr>
        <w:t>2</w:t>
      </w:r>
      <w:r w:rsidRPr="00D407AE">
        <w:rPr>
          <w:rFonts w:ascii="Arial Narrow" w:hAnsi="Arial Narrow" w:cstheme="minorHAnsi"/>
          <w:color w:val="000000" w:themeColor="text1"/>
          <w:sz w:val="22"/>
          <w:szCs w:val="22"/>
        </w:rPr>
        <w:t xml:space="preserve">. </w:t>
      </w:r>
      <w:r w:rsidRPr="00D407AE">
        <w:rPr>
          <w:rFonts w:ascii="Arial Narrow" w:hAnsi="Arial Narrow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„ZoRPVS“),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D407AE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14:paraId="10CD6D78" w14:textId="77777777" w:rsidR="002104FC" w:rsidRPr="00D407AE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14:paraId="33ED4154" w14:textId="77777777" w:rsidR="0051451F" w:rsidRPr="00D407A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D407AE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D407AE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D407AE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D407AE">
        <w:rPr>
          <w:rFonts w:ascii="Arial Narrow" w:hAnsi="Arial Narrow" w:cstheme="minorHAnsi"/>
          <w:sz w:val="22"/>
          <w:szCs w:val="22"/>
        </w:rPr>
        <w:t>343/2015</w:t>
      </w:r>
      <w:r w:rsidR="00887A7F" w:rsidRPr="00D407AE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D407AE">
        <w:rPr>
          <w:rFonts w:ascii="Arial Narrow" w:hAnsi="Arial Narrow" w:cstheme="minorHAnsi"/>
          <w:sz w:val="22"/>
          <w:szCs w:val="22"/>
        </w:rPr>
        <w:t>.</w:t>
      </w:r>
    </w:p>
    <w:p w14:paraId="240432D9" w14:textId="77777777" w:rsidR="006704BD" w:rsidRPr="00D407AE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D407AE">
        <w:rPr>
          <w:rFonts w:ascii="Arial Narrow" w:hAnsi="Arial Narrow" w:cstheme="minorHAnsi"/>
          <w:sz w:val="22"/>
          <w:szCs w:val="22"/>
        </w:rPr>
        <w:t xml:space="preserve">najmä </w:t>
      </w:r>
      <w:r w:rsidRPr="00D407AE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D407AE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D407AE">
        <w:rPr>
          <w:rFonts w:ascii="Arial Narrow" w:hAnsi="Arial Narrow" w:cstheme="minorHAnsi"/>
          <w:sz w:val="22"/>
          <w:szCs w:val="22"/>
        </w:rPr>
        <w:t>Obchodn</w:t>
      </w:r>
      <w:r w:rsidR="000E5D8C" w:rsidRPr="00D407AE">
        <w:rPr>
          <w:rFonts w:ascii="Arial Narrow" w:hAnsi="Arial Narrow" w:cstheme="minorHAnsi"/>
          <w:sz w:val="22"/>
          <w:szCs w:val="22"/>
        </w:rPr>
        <w:t>ý</w:t>
      </w:r>
      <w:r w:rsidRPr="00D407AE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D407AE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D407AE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D407AE" w:rsidRDefault="006704BD" w:rsidP="006314A5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6314A5" w:rsidRPr="00D407AE">
        <w:rPr>
          <w:rFonts w:ascii="Arial Narrow" w:hAnsi="Arial Narrow" w:cstheme="minorHAnsi"/>
          <w:sz w:val="22"/>
          <w:szCs w:val="22"/>
        </w:rPr>
        <w:t>troch</w:t>
      </w:r>
      <w:r w:rsidRPr="00D407AE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D407AE">
        <w:rPr>
          <w:rFonts w:ascii="Arial Narrow" w:hAnsi="Arial Narrow" w:cstheme="minorHAnsi"/>
          <w:sz w:val="22"/>
          <w:szCs w:val="22"/>
        </w:rPr>
        <w:t>ého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D407AE">
        <w:rPr>
          <w:rFonts w:ascii="Arial Narrow" w:hAnsi="Arial Narrow" w:cstheme="minorHAnsi"/>
          <w:sz w:val="22"/>
          <w:szCs w:val="22"/>
        </w:rPr>
        <w:t>jedno</w:t>
      </w:r>
      <w:r w:rsidR="00735EFE" w:rsidRPr="00D407AE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D407AE">
        <w:rPr>
          <w:rFonts w:ascii="Arial Narrow" w:hAnsi="Arial Narrow" w:cstheme="minorHAnsi"/>
          <w:sz w:val="22"/>
          <w:szCs w:val="22"/>
        </w:rPr>
        <w:t>e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D407AE">
        <w:rPr>
          <w:rFonts w:ascii="Arial Narrow" w:hAnsi="Arial Narrow" w:cstheme="minorHAnsi"/>
          <w:sz w:val="22"/>
          <w:szCs w:val="22"/>
        </w:rPr>
        <w:t>dostane</w:t>
      </w:r>
      <w:r w:rsidR="00751623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D407AE">
        <w:rPr>
          <w:rFonts w:ascii="Arial Narrow" w:hAnsi="Arial Narrow" w:cstheme="minorHAnsi"/>
          <w:sz w:val="22"/>
          <w:szCs w:val="22"/>
        </w:rPr>
        <w:t>predávajúci a </w:t>
      </w:r>
      <w:r w:rsidR="006314A5" w:rsidRPr="00D407AE">
        <w:rPr>
          <w:rFonts w:ascii="Arial Narrow" w:hAnsi="Arial Narrow" w:cstheme="minorHAnsi"/>
          <w:sz w:val="22"/>
          <w:szCs w:val="22"/>
        </w:rPr>
        <w:t>dve</w:t>
      </w:r>
      <w:r w:rsidR="00B73D18" w:rsidRPr="00D407AE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14:paraId="63BFAC2F" w14:textId="53D34D09" w:rsidR="00240D80" w:rsidRPr="00D407AE" w:rsidRDefault="003653C4" w:rsidP="00240D80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Neoddeliteľnou</w:t>
      </w:r>
      <w:r w:rsidR="006276E8" w:rsidRPr="00D407AE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D407AE">
        <w:rPr>
          <w:rFonts w:ascii="Arial Narrow" w:hAnsi="Arial Narrow" w:cstheme="minorHAnsi"/>
          <w:sz w:val="22"/>
          <w:szCs w:val="22"/>
        </w:rPr>
        <w:t>a</w:t>
      </w:r>
      <w:r w:rsidR="004F0C64" w:rsidRPr="00D407AE">
        <w:rPr>
          <w:rFonts w:ascii="Arial Narrow" w:hAnsi="Arial Narrow" w:cstheme="minorHAnsi"/>
          <w:sz w:val="22"/>
          <w:szCs w:val="22"/>
        </w:rPr>
        <w:t>j</w:t>
      </w:r>
      <w:r w:rsidR="004D505E" w:rsidRPr="00D407AE">
        <w:rPr>
          <w:rFonts w:ascii="Arial Narrow" w:hAnsi="Arial Narrow" w:cstheme="minorHAnsi"/>
          <w:sz w:val="22"/>
          <w:szCs w:val="22"/>
        </w:rPr>
        <w:t> Prílo</w:t>
      </w:r>
      <w:r w:rsidR="00030716" w:rsidRPr="00D407AE">
        <w:rPr>
          <w:rFonts w:ascii="Arial Narrow" w:hAnsi="Arial Narrow" w:cstheme="minorHAnsi"/>
          <w:sz w:val="22"/>
          <w:szCs w:val="22"/>
        </w:rPr>
        <w:t xml:space="preserve">ha č. 1 – </w:t>
      </w:r>
      <w:r w:rsidR="00587F97" w:rsidRPr="00D407AE">
        <w:rPr>
          <w:rFonts w:ascii="Arial Narrow" w:hAnsi="Arial Narrow" w:cstheme="minorHAnsi"/>
          <w:sz w:val="22"/>
          <w:szCs w:val="22"/>
        </w:rPr>
        <w:t xml:space="preserve">Technická </w:t>
      </w:r>
      <w:r w:rsidR="001F197A" w:rsidRPr="00D407AE">
        <w:rPr>
          <w:rFonts w:ascii="Arial Narrow" w:hAnsi="Arial Narrow" w:cstheme="minorHAnsi"/>
          <w:sz w:val="22"/>
          <w:szCs w:val="22"/>
        </w:rPr>
        <w:t xml:space="preserve">špecifikácia tovaru, Príloha č. 2 </w:t>
      </w:r>
      <w:r w:rsidR="00D0213E" w:rsidRPr="00D407AE">
        <w:rPr>
          <w:rFonts w:ascii="Arial Narrow" w:hAnsi="Arial Narrow" w:cstheme="minorHAnsi"/>
          <w:sz w:val="22"/>
          <w:szCs w:val="22"/>
        </w:rPr>
        <w:t>–</w:t>
      </w:r>
      <w:r w:rsidR="001F197A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030716" w:rsidRPr="00D407AE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D407AE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D407AE">
        <w:rPr>
          <w:rFonts w:ascii="Arial Narrow" w:hAnsi="Arial Narrow" w:cstheme="minorHAnsi"/>
          <w:sz w:val="22"/>
          <w:szCs w:val="22"/>
        </w:rPr>
        <w:t>, Prílo</w:t>
      </w:r>
      <w:r w:rsidR="00240D80" w:rsidRPr="00D407AE">
        <w:rPr>
          <w:rFonts w:ascii="Arial Narrow" w:hAnsi="Arial Narrow" w:cstheme="minorHAnsi"/>
          <w:sz w:val="22"/>
          <w:szCs w:val="22"/>
        </w:rPr>
        <w:t>ha č. 3 – Zoznam subdodávateľov, Príloha č.</w:t>
      </w:r>
      <w:r w:rsidR="00EF4612">
        <w:rPr>
          <w:rFonts w:ascii="Arial Narrow" w:hAnsi="Arial Narrow" w:cstheme="minorHAnsi"/>
          <w:sz w:val="22"/>
          <w:szCs w:val="22"/>
        </w:rPr>
        <w:t xml:space="preserve"> </w:t>
      </w:r>
      <w:r w:rsidR="00240D80" w:rsidRPr="00D407AE">
        <w:rPr>
          <w:rFonts w:ascii="Arial Narrow" w:hAnsi="Arial Narrow" w:cstheme="minorHAnsi"/>
          <w:sz w:val="22"/>
          <w:szCs w:val="22"/>
        </w:rPr>
        <w:t>4</w:t>
      </w:r>
      <w:r w:rsidR="00D0213E">
        <w:rPr>
          <w:rFonts w:ascii="Arial Narrow" w:hAnsi="Arial Narrow" w:cstheme="minorHAnsi"/>
          <w:sz w:val="22"/>
          <w:szCs w:val="22"/>
        </w:rPr>
        <w:t xml:space="preserve"> </w:t>
      </w:r>
      <w:r w:rsidR="00D0213E" w:rsidRPr="00D407AE">
        <w:rPr>
          <w:rFonts w:ascii="Arial Narrow" w:hAnsi="Arial Narrow" w:cstheme="minorHAnsi"/>
          <w:sz w:val="22"/>
          <w:szCs w:val="22"/>
        </w:rPr>
        <w:t>–</w:t>
      </w:r>
      <w:r w:rsidR="00240D80" w:rsidRPr="00D407AE">
        <w:rPr>
          <w:rFonts w:ascii="Arial Narrow" w:hAnsi="Arial Narrow" w:cstheme="minorHAnsi"/>
          <w:sz w:val="22"/>
          <w:szCs w:val="22"/>
        </w:rPr>
        <w:t xml:space="preserve"> Kontaktné údaje Servisného strediska resp. kontaktné informácie o</w:t>
      </w:r>
      <w:r w:rsidR="00CA75E8" w:rsidRPr="00D407AE">
        <w:rPr>
          <w:rFonts w:ascii="Arial Narrow" w:hAnsi="Arial Narrow" w:cstheme="minorHAnsi"/>
          <w:sz w:val="22"/>
          <w:szCs w:val="22"/>
        </w:rPr>
        <w:t xml:space="preserve"> servisných linkách v prípade </w:t>
      </w:r>
      <w:r w:rsidR="00CB2E11" w:rsidRPr="00D407AE">
        <w:rPr>
          <w:rFonts w:ascii="Arial Narrow" w:hAnsi="Arial Narrow" w:cstheme="minorHAnsi"/>
          <w:sz w:val="22"/>
          <w:szCs w:val="22"/>
        </w:rPr>
        <w:t xml:space="preserve">vád </w:t>
      </w:r>
      <w:r w:rsidR="00CA75E8" w:rsidRPr="00D407AE">
        <w:rPr>
          <w:rFonts w:ascii="Arial Narrow" w:hAnsi="Arial Narrow" w:cstheme="minorHAnsi"/>
          <w:sz w:val="22"/>
          <w:szCs w:val="22"/>
        </w:rPr>
        <w:t>tovaru</w:t>
      </w:r>
      <w:r w:rsidR="00E3100B">
        <w:rPr>
          <w:rFonts w:ascii="Arial Narrow" w:hAnsi="Arial Narrow" w:cstheme="minorHAnsi"/>
          <w:sz w:val="22"/>
          <w:szCs w:val="22"/>
        </w:rPr>
        <w:t xml:space="preserve"> a Príloha č. 5 </w:t>
      </w:r>
      <w:r w:rsidR="00E3100B" w:rsidRPr="002130C5">
        <w:rPr>
          <w:rFonts w:ascii="Arial Narrow" w:hAnsi="Arial Narrow" w:cstheme="minorHAnsi"/>
          <w:sz w:val="22"/>
          <w:szCs w:val="22"/>
        </w:rPr>
        <w:t>– Protikorupčná doložka</w:t>
      </w:r>
      <w:r w:rsidR="00E3100B">
        <w:rPr>
          <w:rFonts w:ascii="Arial Narrow" w:hAnsi="Arial Narrow" w:cstheme="minorHAnsi"/>
          <w:sz w:val="22"/>
          <w:szCs w:val="22"/>
        </w:rPr>
        <w:t>.</w:t>
      </w:r>
    </w:p>
    <w:p w14:paraId="4B3D6017" w14:textId="77777777" w:rsidR="005E008D" w:rsidRPr="00D407AE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14:paraId="0C9C241B" w14:textId="77777777" w:rsidR="003E0551" w:rsidRPr="00D407AE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14:paraId="5D21D9CD" w14:textId="77777777" w:rsidR="006276E8" w:rsidRPr="00D407AE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V</w:t>
      </w:r>
      <w:r w:rsidR="00A8028A" w:rsidRPr="00D407AE">
        <w:rPr>
          <w:rFonts w:ascii="Arial Narrow" w:hAnsi="Arial Narrow" w:cstheme="minorHAnsi"/>
          <w:sz w:val="22"/>
          <w:szCs w:val="22"/>
        </w:rPr>
        <w:t> </w:t>
      </w:r>
      <w:r w:rsidR="00CC746D" w:rsidRPr="00D407AE">
        <w:rPr>
          <w:rFonts w:ascii="Arial Narrow" w:hAnsi="Arial Narrow" w:cstheme="minorHAnsi"/>
          <w:sz w:val="22"/>
          <w:szCs w:val="22"/>
        </w:rPr>
        <w:t>Košiciach</w:t>
      </w:r>
      <w:r w:rsidR="00A8028A" w:rsidRPr="00D407AE">
        <w:rPr>
          <w:rFonts w:ascii="Arial Narrow" w:hAnsi="Arial Narrow" w:cstheme="minorHAnsi"/>
          <w:sz w:val="22"/>
          <w:szCs w:val="22"/>
        </w:rPr>
        <w:t xml:space="preserve">, </w:t>
      </w:r>
      <w:r w:rsidRPr="00D407AE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D407AE">
        <w:rPr>
          <w:rFonts w:ascii="Arial Narrow" w:hAnsi="Arial Narrow" w:cstheme="minorHAnsi"/>
          <w:sz w:val="22"/>
          <w:szCs w:val="22"/>
        </w:rPr>
        <w:t>.......................</w:t>
      </w:r>
      <w:r w:rsidRPr="00D407AE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D407AE">
        <w:rPr>
          <w:rFonts w:ascii="Arial Narrow" w:hAnsi="Arial Narrow" w:cstheme="minorHAnsi"/>
          <w:sz w:val="22"/>
          <w:szCs w:val="22"/>
        </w:rPr>
        <w:t xml:space="preserve">        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D407AE">
        <w:rPr>
          <w:rFonts w:ascii="Arial Narrow" w:hAnsi="Arial Narrow" w:cstheme="minorHAnsi"/>
          <w:sz w:val="22"/>
          <w:szCs w:val="22"/>
        </w:rPr>
        <w:tab/>
      </w:r>
      <w:r w:rsidR="00CC746D" w:rsidRPr="00D407AE">
        <w:rPr>
          <w:rFonts w:ascii="Arial Narrow" w:hAnsi="Arial Narrow" w:cstheme="minorHAnsi"/>
          <w:sz w:val="22"/>
          <w:szCs w:val="22"/>
        </w:rPr>
        <w:tab/>
      </w:r>
      <w:r w:rsidR="00CC746D" w:rsidRPr="00D407AE">
        <w:rPr>
          <w:rFonts w:ascii="Arial Narrow" w:hAnsi="Arial Narrow" w:cstheme="minorHAnsi"/>
          <w:sz w:val="22"/>
          <w:szCs w:val="22"/>
        </w:rPr>
        <w:tab/>
      </w:r>
      <w:r w:rsidR="00F52961" w:rsidRPr="00D407AE">
        <w:rPr>
          <w:rFonts w:ascii="Arial Narrow" w:hAnsi="Arial Narrow" w:cstheme="minorHAnsi"/>
          <w:sz w:val="22"/>
          <w:szCs w:val="22"/>
        </w:rPr>
        <w:t>V</w:t>
      </w:r>
      <w:r w:rsidR="00C60CB5" w:rsidRPr="00D407AE">
        <w:rPr>
          <w:rFonts w:ascii="Arial Narrow" w:hAnsi="Arial Narrow" w:cstheme="minorHAnsi"/>
          <w:sz w:val="22"/>
          <w:szCs w:val="22"/>
        </w:rPr>
        <w:t> </w:t>
      </w:r>
      <w:r w:rsidR="003D2AA0" w:rsidRPr="00D407AE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D407AE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14:paraId="76AD7DF0" w14:textId="77777777" w:rsidR="00D70573" w:rsidRPr="00D407AE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K</w:t>
      </w:r>
      <w:r w:rsidR="00CC746D" w:rsidRPr="00D407AE">
        <w:rPr>
          <w:rFonts w:ascii="Arial Narrow" w:hAnsi="Arial Narrow" w:cstheme="minorHAnsi"/>
          <w:sz w:val="22"/>
          <w:szCs w:val="22"/>
        </w:rPr>
        <w:t>upujúc</w:t>
      </w:r>
      <w:r w:rsidRPr="00D407AE">
        <w:rPr>
          <w:rFonts w:ascii="Arial Narrow" w:hAnsi="Arial Narrow" w:cstheme="minorHAnsi"/>
          <w:sz w:val="22"/>
          <w:szCs w:val="22"/>
        </w:rPr>
        <w:t>i</w:t>
      </w:r>
      <w:r w:rsidR="00CC746D"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D407AE">
        <w:rPr>
          <w:rFonts w:ascii="Arial Narrow" w:hAnsi="Arial Narrow" w:cstheme="minorHAnsi"/>
          <w:sz w:val="22"/>
          <w:szCs w:val="22"/>
        </w:rPr>
        <w:t>:</w:t>
      </w:r>
      <w:r w:rsidR="00952136" w:rsidRPr="00D407AE">
        <w:rPr>
          <w:rFonts w:ascii="Arial Narrow" w:hAnsi="Arial Narrow" w:cstheme="minorHAnsi"/>
          <w:sz w:val="22"/>
          <w:szCs w:val="22"/>
        </w:rPr>
        <w:tab/>
      </w:r>
      <w:r w:rsidR="009D4E80" w:rsidRPr="00D407AE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D407AE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D407AE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D407AE">
        <w:rPr>
          <w:rFonts w:ascii="Arial Narrow" w:hAnsi="Arial Narrow" w:cstheme="minorHAnsi"/>
          <w:sz w:val="22"/>
          <w:szCs w:val="22"/>
        </w:rPr>
        <w:t xml:space="preserve">       </w:t>
      </w:r>
      <w:r w:rsidRPr="00D407AE">
        <w:rPr>
          <w:rFonts w:ascii="Arial Narrow" w:hAnsi="Arial Narrow" w:cstheme="minorHAnsi"/>
          <w:sz w:val="22"/>
          <w:szCs w:val="22"/>
        </w:rPr>
        <w:t>P</w:t>
      </w:r>
      <w:r w:rsidR="00CC746D" w:rsidRPr="00D407AE">
        <w:rPr>
          <w:rFonts w:ascii="Arial Narrow" w:hAnsi="Arial Narrow" w:cstheme="minorHAnsi"/>
          <w:sz w:val="22"/>
          <w:szCs w:val="22"/>
        </w:rPr>
        <w:t>redávajúc</w:t>
      </w:r>
      <w:r w:rsidRPr="00D407AE">
        <w:rPr>
          <w:rFonts w:ascii="Arial Narrow" w:hAnsi="Arial Narrow" w:cstheme="minorHAnsi"/>
          <w:sz w:val="22"/>
          <w:szCs w:val="22"/>
        </w:rPr>
        <w:t>i</w:t>
      </w:r>
      <w:r w:rsidR="00952136" w:rsidRPr="00D407AE">
        <w:rPr>
          <w:rFonts w:ascii="Arial Narrow" w:hAnsi="Arial Narrow" w:cstheme="minorHAnsi"/>
          <w:sz w:val="22"/>
          <w:szCs w:val="22"/>
        </w:rPr>
        <w:t>:</w:t>
      </w:r>
    </w:p>
    <w:p w14:paraId="78C552AD" w14:textId="77777777" w:rsidR="00CC746D" w:rsidRPr="00D407AE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14:paraId="4501A5AB" w14:textId="77777777" w:rsidR="00830F69" w:rsidRPr="00D407AE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14:paraId="6B3D5D79" w14:textId="77777777" w:rsidR="00830F69" w:rsidRPr="00D407AE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D407AE">
        <w:rPr>
          <w:rFonts w:ascii="Arial Narrow" w:hAnsi="Arial Narrow" w:cstheme="minorHAnsi"/>
          <w:sz w:val="22"/>
          <w:szCs w:val="22"/>
        </w:rPr>
        <w:tab/>
      </w:r>
      <w:r w:rsidR="00A517C0" w:rsidRPr="00D407AE">
        <w:rPr>
          <w:rFonts w:ascii="Arial Narrow" w:hAnsi="Arial Narrow" w:cstheme="minorHAnsi"/>
          <w:sz w:val="22"/>
          <w:szCs w:val="22"/>
        </w:rPr>
        <w:tab/>
      </w:r>
      <w:r w:rsidR="00A517C0" w:rsidRPr="00D407AE">
        <w:rPr>
          <w:rFonts w:ascii="Arial Narrow" w:hAnsi="Arial Narrow" w:cstheme="minorHAnsi"/>
          <w:sz w:val="22"/>
          <w:szCs w:val="22"/>
        </w:rPr>
        <w:tab/>
      </w:r>
      <w:r w:rsidR="00830F69" w:rsidRPr="00D407AE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14:paraId="2C37C852" w14:textId="77777777" w:rsidR="00E477A9" w:rsidRPr="00D407AE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D407AE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D407AE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08584F" w:rsidRPr="00D407AE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D407AE">
        <w:rPr>
          <w:rFonts w:ascii="Arial Narrow" w:eastAsia="Arial" w:hAnsi="Arial Narrow" w:cstheme="minorHAnsi"/>
          <w:sz w:val="22"/>
          <w:szCs w:val="22"/>
        </w:rPr>
        <w:tab/>
      </w:r>
      <w:r w:rsidR="00C60CB5" w:rsidRPr="00D407AE">
        <w:rPr>
          <w:rFonts w:ascii="Arial Narrow" w:eastAsia="Arial" w:hAnsi="Arial Narrow" w:cstheme="minorHAnsi"/>
          <w:sz w:val="22"/>
          <w:szCs w:val="22"/>
        </w:rPr>
        <w:tab/>
      </w:r>
      <w:r w:rsidR="00C60CB5" w:rsidRPr="00D407AE">
        <w:rPr>
          <w:rFonts w:ascii="Arial Narrow" w:eastAsia="Arial" w:hAnsi="Arial Narrow" w:cstheme="minorHAnsi"/>
          <w:sz w:val="22"/>
          <w:szCs w:val="22"/>
        </w:rPr>
        <w:tab/>
      </w:r>
    </w:p>
    <w:p w14:paraId="6ED27E46" w14:textId="14C65A34" w:rsidR="00CA58D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D407AE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D407AE">
        <w:rPr>
          <w:rFonts w:ascii="Arial Narrow" w:hAnsi="Arial Narrow" w:cstheme="minorHAnsi"/>
          <w:sz w:val="22"/>
          <w:szCs w:val="22"/>
        </w:rPr>
        <w:tab/>
      </w:r>
      <w:r w:rsidR="00C60CB5" w:rsidRPr="00D407AE">
        <w:rPr>
          <w:rFonts w:ascii="Arial Narrow" w:hAnsi="Arial Narrow" w:cstheme="minorHAnsi"/>
          <w:sz w:val="22"/>
          <w:szCs w:val="22"/>
        </w:rPr>
        <w:tab/>
      </w:r>
    </w:p>
    <w:p w14:paraId="586A337F" w14:textId="7D466D18" w:rsidR="00CA58D9" w:rsidRDefault="00CA58D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42962" w14:textId="13444B3A" w:rsidR="00CA58D9" w:rsidRDefault="00CA58D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6B382" w14:textId="222147FD" w:rsidR="00CA58D9" w:rsidRDefault="00CA58D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D36C81" w14:textId="56F68886" w:rsidR="00CA58D9" w:rsidRDefault="00CA58D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059AA" w14:textId="1BDCB88F" w:rsidR="00CA58D9" w:rsidRDefault="00CA58D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10BB4" w14:textId="77777777" w:rsidR="00CA58D9" w:rsidRDefault="00CA58D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D0C43" w14:textId="174C493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2C6BC" w14:textId="53AEF3C3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A5508" w14:textId="622D01E6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EC744" w14:textId="131F7F6E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85F06" w14:textId="51124EA2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F7471" w14:textId="5702F9D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80221" w14:textId="07B66EF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CC2F21" w14:textId="4038FBA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BEAE5" w14:textId="7B0F453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DFD3CF" w14:textId="0CCD6AE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B6E1F" w14:textId="436FBAF8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649410" w14:textId="1D90E6BB" w:rsidR="00E3100B" w:rsidRDefault="00E3100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06142" w14:textId="52D00C33" w:rsidR="00E3100B" w:rsidRDefault="00E3100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0D799" w14:textId="0E0BBE9C" w:rsidR="00E3100B" w:rsidRDefault="00E3100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C18B9" w14:textId="466D57EF" w:rsidR="00E3100B" w:rsidRDefault="00E3100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752F3" w14:textId="77777777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 xml:space="preserve">Príloha č. 1 – 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Technická špecifikácia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tovaru</w:t>
      </w:r>
    </w:p>
    <w:p w14:paraId="20062832" w14:textId="77777777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2740B991" w14:textId="1837A48D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– </w:t>
      </w:r>
      <w:r>
        <w:rPr>
          <w:rFonts w:ascii="Arial Narrow" w:hAnsi="Arial Narrow" w:cstheme="minorHAnsi"/>
          <w:b/>
          <w:i/>
          <w:sz w:val="22"/>
          <w:szCs w:val="22"/>
        </w:rPr>
        <w:t>Tranzientný elastograf</w:t>
      </w:r>
    </w:p>
    <w:p w14:paraId="791BBA60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5A58AB99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8171"/>
      </w:tblGrid>
      <w:tr w:rsidR="00E3100B" w14:paraId="45ADFEED" w14:textId="77777777" w:rsidTr="00E3100B">
        <w:trPr>
          <w:trHeight w:val="6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BC0239" w14:textId="6C12E9DD" w:rsidR="00E3100B" w:rsidRDefault="00E3100B" w:rsidP="000A6B7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Tranzientný elastograf</w:t>
            </w:r>
          </w:p>
        </w:tc>
      </w:tr>
      <w:tr w:rsidR="00E3100B" w14:paraId="567956EF" w14:textId="77777777" w:rsidTr="00E3100B">
        <w:trPr>
          <w:trHeight w:val="77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19A91B" w14:textId="11D67D31" w:rsidR="00E3100B" w:rsidRDefault="00E3100B" w:rsidP="000A6B76">
            <w:pPr>
              <w:spacing w:before="120" w:after="6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Tranzientný elastograf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Názov/typ/model tovaru : ....................... , rok výroby, výrobné číslo: .............</w:t>
            </w:r>
          </w:p>
        </w:tc>
      </w:tr>
      <w:tr w:rsidR="00E3100B" w14:paraId="0C51BF8D" w14:textId="77777777" w:rsidTr="00E3100B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F07" w14:textId="77777777" w:rsidR="00E3100B" w:rsidRDefault="00E3100B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D47" w14:textId="1CBA5F8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Systém pre meranie tuhosti pečene metódou tranzientnej elastografie  </w:t>
            </w:r>
          </w:p>
        </w:tc>
      </w:tr>
      <w:tr w:rsidR="00E3100B" w14:paraId="1273A4E6" w14:textId="77777777" w:rsidTr="00E3100B">
        <w:trPr>
          <w:trHeight w:val="3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4722" w14:textId="77777777" w:rsidR="00E3100B" w:rsidRDefault="00E3100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510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Prehľadný dotykový farebný displej </w:t>
            </w:r>
          </w:p>
        </w:tc>
      </w:tr>
      <w:tr w:rsidR="00E3100B" w14:paraId="7500D085" w14:textId="77777777" w:rsidTr="00E310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3DD" w14:textId="77777777" w:rsidR="00E3100B" w:rsidRDefault="00E3100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AD9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Automatické nastavenie parametrov podľa zvolenej sond</w:t>
            </w:r>
          </w:p>
        </w:tc>
      </w:tr>
      <w:tr w:rsidR="00E3100B" w14:paraId="49630E8E" w14:textId="77777777" w:rsidTr="00E310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686A" w14:textId="77777777" w:rsidR="00E3100B" w:rsidRDefault="00E3100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C23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Prenos dát cez USB </w:t>
            </w:r>
          </w:p>
        </w:tc>
      </w:tr>
      <w:tr w:rsidR="00E3100B" w14:paraId="22327CAB" w14:textId="77777777" w:rsidTr="00E310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3087" w14:textId="77777777" w:rsidR="00E3100B" w:rsidRDefault="00E3100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E2B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Management pacientských dát</w:t>
            </w:r>
          </w:p>
        </w:tc>
      </w:tr>
      <w:tr w:rsidR="00E3100B" w14:paraId="5F7BE5ED" w14:textId="77777777" w:rsidTr="00E310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5D2" w14:textId="77777777" w:rsidR="00E3100B" w:rsidRDefault="00E3100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785" w14:textId="34EF8168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CAP softvérový modul </w:t>
            </w:r>
          </w:p>
        </w:tc>
      </w:tr>
      <w:tr w:rsidR="00E3100B" w14:paraId="110F82E3" w14:textId="77777777" w:rsidTr="00E3100B">
        <w:trPr>
          <w:trHeight w:val="3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A26B" w14:textId="77777777" w:rsidR="00E3100B" w:rsidRDefault="00E3100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D3B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umožňuje kvantifikovať steatózu pečene</w:t>
            </w:r>
          </w:p>
        </w:tc>
      </w:tr>
      <w:tr w:rsidR="00E3100B" w14:paraId="438AE6C2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FB16" w14:textId="77777777" w:rsidR="00E3100B" w:rsidRDefault="00E3100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C72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Sondy</w:t>
            </w:r>
          </w:p>
        </w:tc>
      </w:tr>
      <w:tr w:rsidR="00E3100B" w14:paraId="5C5ECFB4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760B" w14:textId="77777777" w:rsidR="00E3100B" w:rsidRDefault="00E3100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E78" w14:textId="32751211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 sonda </w:t>
            </w:r>
            <w:r w:rsidR="002E6A22">
              <w:rPr>
                <w:rFonts w:ascii="Arial Narrow" w:hAnsi="Arial Narrow" w:cs="Calibri"/>
                <w:sz w:val="20"/>
                <w:szCs w:val="20"/>
              </w:rPr>
              <w:t>– 1 ks</w:t>
            </w:r>
          </w:p>
        </w:tc>
      </w:tr>
      <w:tr w:rsidR="00E3100B" w14:paraId="4F70C853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0BA0" w14:textId="77777777" w:rsidR="00E3100B" w:rsidRDefault="00E3100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DCB" w14:textId="0C8CE6C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pre dospelých pacientov s obvodom hrudníka min. 75 cm</w:t>
            </w:r>
          </w:p>
        </w:tc>
      </w:tr>
      <w:tr w:rsidR="00E3100B" w14:paraId="42A8DEE4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015A" w14:textId="77777777" w:rsidR="00E3100B" w:rsidRDefault="00E3100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470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frekvencia sondy min. 3,5 MHz</w:t>
            </w:r>
          </w:p>
        </w:tc>
      </w:tr>
      <w:tr w:rsidR="00E3100B" w14:paraId="152718FA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9F20" w14:textId="77777777" w:rsidR="00E3100B" w:rsidRDefault="00E3100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7B6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meranie tuhosti pečene pod pokožkou min. 25-70 mm</w:t>
            </w:r>
          </w:p>
        </w:tc>
      </w:tr>
      <w:tr w:rsidR="00E3100B" w14:paraId="25E449B9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E9B7" w14:textId="77777777" w:rsidR="00E3100B" w:rsidRDefault="00E3100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27A" w14:textId="03D2AB95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XL sonda </w:t>
            </w:r>
            <w:r w:rsidR="002E6A22">
              <w:rPr>
                <w:rFonts w:ascii="Arial Narrow" w:hAnsi="Arial Narrow" w:cs="Calibri"/>
                <w:sz w:val="20"/>
                <w:szCs w:val="20"/>
              </w:rPr>
              <w:t>– 1 ks</w:t>
            </w:r>
          </w:p>
        </w:tc>
      </w:tr>
      <w:tr w:rsidR="00E3100B" w14:paraId="3962251A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0B29" w14:textId="77777777" w:rsidR="00E3100B" w:rsidRDefault="00E3100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C47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pre obéznych pacientov</w:t>
            </w:r>
          </w:p>
        </w:tc>
      </w:tr>
      <w:tr w:rsidR="00E3100B" w14:paraId="42F71435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30F6" w14:textId="77777777" w:rsidR="00E3100B" w:rsidRDefault="00E3100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108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meranie tuhosti pečene pod pokožkou min. 35-85 mm</w:t>
            </w:r>
          </w:p>
        </w:tc>
      </w:tr>
      <w:tr w:rsidR="00E3100B" w14:paraId="62329EBE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06DA" w14:textId="77777777" w:rsidR="00E3100B" w:rsidRDefault="00E3100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B9D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frekvencia sondy min. 2,5 MHz</w:t>
            </w:r>
          </w:p>
        </w:tc>
      </w:tr>
      <w:tr w:rsidR="00E3100B" w14:paraId="57C83868" w14:textId="77777777" w:rsidTr="00E310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D0D7" w14:textId="77777777" w:rsidR="00E3100B" w:rsidRDefault="00E3100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E92" w14:textId="77777777" w:rsidR="00E3100B" w:rsidRDefault="00E3100B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Súčasťou záručného servisu je bezplatné BTK </w:t>
            </w:r>
          </w:p>
        </w:tc>
      </w:tr>
    </w:tbl>
    <w:p w14:paraId="795EC101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31F4E81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313908B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09CEAA1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5EE1FCED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EB0F328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56CFDF5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1574ADD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CDFD63A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22A5606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D32EDAF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55D533A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F2C83A2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9C2CD7F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1524D7D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D7391C6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5AC18D8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641EDFB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E059DA5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87DA83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37AC428B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681972D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4917A88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  <w:sectPr w:rsidR="00E3100B" w:rsidSect="006251FB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2C167D70" w14:textId="77777777" w:rsidR="00E3100B" w:rsidRPr="00DB56D8" w:rsidRDefault="00E3100B" w:rsidP="00E3100B">
      <w:pPr>
        <w:ind w:left="-284"/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>Príloha č. 2 – Cenová kalkulácia, položkovitý rozpočet</w:t>
      </w:r>
    </w:p>
    <w:p w14:paraId="75D6F6D8" w14:textId="77777777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52C8AF68" w14:textId="0F93FEA1" w:rsidR="00E3100B" w:rsidRPr="00DB56D8" w:rsidRDefault="00E3100B" w:rsidP="00E3100B">
      <w:pPr>
        <w:ind w:left="-284"/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I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– </w:t>
      </w:r>
      <w:r w:rsidR="003950C0">
        <w:rPr>
          <w:rFonts w:ascii="Arial Narrow" w:hAnsi="Arial Narrow" w:cstheme="minorHAnsi"/>
          <w:b/>
          <w:i/>
          <w:sz w:val="22"/>
          <w:szCs w:val="22"/>
        </w:rPr>
        <w:t>Tranzientný elastograf</w:t>
      </w:r>
    </w:p>
    <w:p w14:paraId="77FE1B32" w14:textId="77777777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6A663503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E0CAB00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70902F4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W w:w="1529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91"/>
        <w:gridCol w:w="882"/>
        <w:gridCol w:w="747"/>
        <w:gridCol w:w="607"/>
        <w:gridCol w:w="1374"/>
        <w:gridCol w:w="1244"/>
        <w:gridCol w:w="1036"/>
        <w:gridCol w:w="1205"/>
        <w:gridCol w:w="1134"/>
        <w:gridCol w:w="992"/>
        <w:gridCol w:w="1134"/>
        <w:gridCol w:w="1134"/>
        <w:gridCol w:w="1245"/>
        <w:gridCol w:w="7"/>
        <w:gridCol w:w="1145"/>
      </w:tblGrid>
      <w:tr w:rsidR="00A852A7" w14:paraId="0CD6947D" w14:textId="77777777" w:rsidTr="00A852A7">
        <w:trPr>
          <w:trHeight w:val="284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B7C4E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3078" w14:textId="78D00778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CENOVÁ KALKULÁCIA, POLOŽKOVITÝ ROZPOČET TOVARU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73FBC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2C50ED2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52A7" w14:paraId="5374DE74" w14:textId="77777777" w:rsidTr="00A852A7">
        <w:trPr>
          <w:trHeight w:val="284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B3F2D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36AEE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9EE2D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2F349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C2789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5A1D0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D89BE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AF63A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A2E7E" w14:textId="369CA3F6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663FA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63D3E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8620B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616C3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41DB7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</w:tr>
      <w:tr w:rsidR="00A852A7" w14:paraId="3A81061E" w14:textId="77777777" w:rsidTr="00A852A7">
        <w:trPr>
          <w:trHeight w:val="91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86F456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Por. č.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586C2B" w14:textId="77777777" w:rsidR="00A852A7" w:rsidRDefault="00A852A7" w:rsidP="000A6B76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Názov tovaru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3AA12A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Merná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jednotka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(MJ)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457F2E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Počet MJ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2CE705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Názov tovaru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A78674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Výrobca tovaru </w:t>
            </w:r>
          </w:p>
          <w:p w14:paraId="43DDEF99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(obchodné meno)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3DAA28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Katalógové číslo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7FF7C9" w14:textId="298CF2B4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ŠUKL kód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B597C0" w14:textId="00D4CB18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Jednotková 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8B64B6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Sadzba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A36A4B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Suma DPH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31805C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EUR s DPH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D161D58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Celková cena za počet  MJ v EUR bez DPH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14707D3B" w14:textId="77777777" w:rsidR="00A852A7" w:rsidRDefault="00A852A7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Celková cena za počet  MJ v EUR s DPH</w:t>
            </w:r>
          </w:p>
        </w:tc>
      </w:tr>
      <w:tr w:rsidR="00A852A7" w14:paraId="56B82E35" w14:textId="77777777" w:rsidTr="00A852A7">
        <w:trPr>
          <w:trHeight w:val="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02D483E5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2DD4973F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4FBB286D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5A0AB497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67BEDA46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1FC88BF8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6BAE6915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</w:tcPr>
          <w:p w14:paraId="73B22B10" w14:textId="49170109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1D02291E" w14:textId="0E51D056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76F01952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74084C2E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7D5F8867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</w:tcPr>
          <w:p w14:paraId="5500D5D2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</w:tcPr>
          <w:p w14:paraId="1C17C39D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14.</w:t>
            </w:r>
          </w:p>
        </w:tc>
      </w:tr>
      <w:tr w:rsidR="00A852A7" w14:paraId="286EA7E1" w14:textId="77777777" w:rsidTr="00A852A7">
        <w:trPr>
          <w:trHeight w:val="9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EBA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FDA" w14:textId="53A7724A" w:rsidR="00A852A7" w:rsidRDefault="00A852A7" w:rsidP="000A6B7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Tranzientný elastograf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8D1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60D" w14:textId="77777777" w:rsidR="00A852A7" w:rsidRDefault="00A852A7" w:rsidP="000A6B7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852" w14:textId="77777777" w:rsidR="00A852A7" w:rsidRDefault="00A852A7" w:rsidP="000A6B7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316" w14:textId="77777777" w:rsidR="00A852A7" w:rsidRDefault="00A852A7" w:rsidP="000A6B7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FE7" w14:textId="77777777" w:rsidR="00A852A7" w:rsidRDefault="00A852A7" w:rsidP="000A6B7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901" w14:textId="77777777" w:rsidR="00A852A7" w:rsidRDefault="00A852A7" w:rsidP="000A6B7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3C0" w14:textId="152AEB05" w:rsidR="00A852A7" w:rsidRDefault="00A852A7" w:rsidP="000A6B7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6A1" w14:textId="77777777" w:rsidR="00A852A7" w:rsidRDefault="00A852A7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C13" w14:textId="77777777" w:rsidR="00A852A7" w:rsidRDefault="00A852A7" w:rsidP="000A6B7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9B9" w14:textId="77777777" w:rsidR="00A852A7" w:rsidRDefault="00A852A7" w:rsidP="000A6B7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95B" w14:textId="77777777" w:rsidR="00A852A7" w:rsidRDefault="00A852A7" w:rsidP="000A6B76">
            <w:pPr>
              <w:spacing w:before="36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F62" w14:textId="77777777" w:rsidR="00A852A7" w:rsidRDefault="00A852A7" w:rsidP="000A6B76">
            <w:pPr>
              <w:spacing w:before="36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</w:tr>
      <w:tr w:rsidR="00A852A7" w:rsidRPr="00383EB7" w14:paraId="6E28889E" w14:textId="77777777" w:rsidTr="00A852A7">
        <w:trPr>
          <w:trHeight w:val="534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1BD6" w14:textId="77777777" w:rsidR="00A852A7" w:rsidRDefault="00A852A7" w:rsidP="000A6B7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8D7A3F3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3B99EDC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31021E1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CF0AB46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7E7840E" w14:textId="77777777" w:rsidR="00A852A7" w:rsidRDefault="00A852A7" w:rsidP="000A6B7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7C1EEF2" w14:textId="77777777" w:rsidR="00A852A7" w:rsidRDefault="00A852A7" w:rsidP="000A6B76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35CABE52" w14:textId="77777777" w:rsidR="00A852A7" w:rsidRDefault="00A852A7" w:rsidP="000A6B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5F875EF" w14:textId="0FD9E8F5" w:rsidR="00A852A7" w:rsidRDefault="00A852A7" w:rsidP="000A6B76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7D11842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B9C6BED" w14:textId="77777777" w:rsidR="00A852A7" w:rsidRDefault="00A852A7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535AB" w14:textId="77777777" w:rsidR="00A852A7" w:rsidRPr="00383EB7" w:rsidRDefault="00A852A7" w:rsidP="000A6B7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2648C168" w14:textId="77777777" w:rsidR="00A852A7" w:rsidRPr="00383EB7" w:rsidRDefault="00A852A7" w:rsidP="000A6B7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14:paraId="503075EB" w14:textId="77777777" w:rsidR="00A852A7" w:rsidRPr="00383EB7" w:rsidRDefault="00A852A7" w:rsidP="000A6B7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40E03D8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8B6456B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391EC72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0288B55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E762562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584CA7C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3258E57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768E293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DC8E60A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F2DCFCC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B89877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61FEA6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17148F6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  <w:sectPr w:rsidR="00E3100B" w:rsidSect="00DB56D8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208FEC0" w14:textId="77777777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>Príloha č. 3 – Zoznam subdodávateľov</w:t>
      </w:r>
    </w:p>
    <w:p w14:paraId="3E21EF7B" w14:textId="77777777" w:rsidR="00E3100B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36ED1275" w14:textId="65DF7ADF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I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– </w:t>
      </w:r>
      <w:r w:rsidR="003950C0">
        <w:rPr>
          <w:rFonts w:ascii="Arial Narrow" w:hAnsi="Arial Narrow" w:cstheme="minorHAnsi"/>
          <w:b/>
          <w:i/>
          <w:sz w:val="22"/>
          <w:szCs w:val="22"/>
        </w:rPr>
        <w:t>Tranzientný elastograf</w:t>
      </w:r>
    </w:p>
    <w:p w14:paraId="3FE9E500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B030A51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EAF8CB0" w14:textId="77777777" w:rsidR="00E3100B" w:rsidRPr="00F820FA" w:rsidRDefault="00E3100B" w:rsidP="00E3100B">
      <w:pPr>
        <w:rPr>
          <w:rFonts w:ascii="Arial Narrow" w:hAnsi="Arial Narrow" w:cs="Calibri"/>
          <w:b/>
          <w:i/>
          <w:sz w:val="22"/>
          <w:szCs w:val="22"/>
        </w:rPr>
      </w:pPr>
      <w:r w:rsidRPr="00F820FA">
        <w:rPr>
          <w:rFonts w:ascii="Arial Narrow" w:hAnsi="Arial Narrow" w:cs="Calibri"/>
          <w:b/>
          <w:i/>
          <w:sz w:val="22"/>
          <w:szCs w:val="22"/>
        </w:rPr>
        <w:t>Subdodávateľ č. 1.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3"/>
        <w:gridCol w:w="5453"/>
      </w:tblGrid>
      <w:tr w:rsidR="00E3100B" w:rsidRPr="00F820FA" w14:paraId="457BED93" w14:textId="77777777" w:rsidTr="000A6B76">
        <w:tc>
          <w:tcPr>
            <w:tcW w:w="415" w:type="dxa"/>
            <w:hideMark/>
          </w:tcPr>
          <w:p w14:paraId="7FB4E572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9D33861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1726C5B8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21EAF33D" w14:textId="77777777" w:rsidTr="000A6B76">
        <w:tc>
          <w:tcPr>
            <w:tcW w:w="415" w:type="dxa"/>
            <w:hideMark/>
          </w:tcPr>
          <w:p w14:paraId="3E55F00D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1E6FFCA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15EF8C6D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20672734" w14:textId="77777777" w:rsidTr="000A6B76">
        <w:tc>
          <w:tcPr>
            <w:tcW w:w="415" w:type="dxa"/>
            <w:hideMark/>
          </w:tcPr>
          <w:p w14:paraId="4D823A22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17FD156D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632BBFBA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6509E48E" w14:textId="77777777" w:rsidTr="000A6B76">
        <w:tc>
          <w:tcPr>
            <w:tcW w:w="415" w:type="dxa"/>
            <w:hideMark/>
          </w:tcPr>
          <w:p w14:paraId="3057A732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2DB5F092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37DAEEDA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1A9E7D59" w14:textId="77777777" w:rsidTr="000A6B76">
        <w:tc>
          <w:tcPr>
            <w:tcW w:w="415" w:type="dxa"/>
            <w:hideMark/>
          </w:tcPr>
          <w:p w14:paraId="479200BD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473334BE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27B2DF3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3564F1BD" w14:textId="77777777" w:rsidTr="000A6B76">
        <w:tc>
          <w:tcPr>
            <w:tcW w:w="415" w:type="dxa"/>
            <w:hideMark/>
          </w:tcPr>
          <w:p w14:paraId="4D3B9067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011FADCB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375AE737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66FB901E" w14:textId="77777777" w:rsidTr="000A6B76">
        <w:tc>
          <w:tcPr>
            <w:tcW w:w="415" w:type="dxa"/>
            <w:hideMark/>
          </w:tcPr>
          <w:p w14:paraId="7C9AACE8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4E84AE6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6E8E34E4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14:paraId="608FF8C6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14:paraId="0E47BE24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14:paraId="7156285E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14:paraId="11578E52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E3100B" w:rsidRPr="00F820FA" w14:paraId="40148FB7" w14:textId="77777777" w:rsidTr="000A6B76">
        <w:tc>
          <w:tcPr>
            <w:tcW w:w="415" w:type="dxa"/>
            <w:hideMark/>
          </w:tcPr>
          <w:p w14:paraId="5BD4AECE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94301DC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6AAB1369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14:paraId="6FDA40E2" w14:textId="77777777" w:rsidR="00E3100B" w:rsidRPr="00F820FA" w:rsidRDefault="00E3100B" w:rsidP="00E3100B">
      <w:pPr>
        <w:rPr>
          <w:rFonts w:ascii="Arial Narrow" w:hAnsi="Arial Narrow" w:cs="Calibri"/>
          <w:b/>
          <w:i/>
          <w:sz w:val="22"/>
          <w:szCs w:val="22"/>
        </w:rPr>
      </w:pPr>
    </w:p>
    <w:p w14:paraId="22F82367" w14:textId="77777777" w:rsidR="00E3100B" w:rsidRPr="00F820FA" w:rsidRDefault="00E3100B" w:rsidP="00E3100B">
      <w:pPr>
        <w:rPr>
          <w:rFonts w:ascii="Arial Narrow" w:hAnsi="Arial Narrow" w:cs="Calibri"/>
          <w:b/>
          <w:i/>
          <w:sz w:val="22"/>
          <w:szCs w:val="22"/>
        </w:rPr>
      </w:pPr>
      <w:r w:rsidRPr="00F820FA">
        <w:rPr>
          <w:rFonts w:ascii="Arial Narrow" w:hAnsi="Arial Narrow" w:cs="Calibri"/>
          <w:b/>
          <w:i/>
          <w:sz w:val="22"/>
          <w:szCs w:val="22"/>
        </w:rPr>
        <w:t>Subdodávateľ č. 2.*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3"/>
        <w:gridCol w:w="5453"/>
      </w:tblGrid>
      <w:tr w:rsidR="00E3100B" w:rsidRPr="00F820FA" w14:paraId="07DBF3AD" w14:textId="77777777" w:rsidTr="000A6B76">
        <w:tc>
          <w:tcPr>
            <w:tcW w:w="415" w:type="dxa"/>
            <w:hideMark/>
          </w:tcPr>
          <w:p w14:paraId="2472DF4A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5ECEE8D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4D887ACD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04825AA9" w14:textId="77777777" w:rsidTr="000A6B76">
        <w:tc>
          <w:tcPr>
            <w:tcW w:w="415" w:type="dxa"/>
            <w:hideMark/>
          </w:tcPr>
          <w:p w14:paraId="1C1FE83A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F1CAB47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59E36ABA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7A2CDF4A" w14:textId="77777777" w:rsidTr="000A6B76">
        <w:tc>
          <w:tcPr>
            <w:tcW w:w="415" w:type="dxa"/>
            <w:hideMark/>
          </w:tcPr>
          <w:p w14:paraId="17DCA6E4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06FB33BA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6DFC1134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222C7532" w14:textId="77777777" w:rsidTr="000A6B76">
        <w:tc>
          <w:tcPr>
            <w:tcW w:w="415" w:type="dxa"/>
            <w:hideMark/>
          </w:tcPr>
          <w:p w14:paraId="267F0D33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732A25FB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330000D3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66385B54" w14:textId="77777777" w:rsidTr="000A6B76">
        <w:tc>
          <w:tcPr>
            <w:tcW w:w="415" w:type="dxa"/>
            <w:hideMark/>
          </w:tcPr>
          <w:p w14:paraId="1E98D123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679BFA9D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65EA3D23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67835C8F" w14:textId="77777777" w:rsidTr="000A6B76">
        <w:tc>
          <w:tcPr>
            <w:tcW w:w="415" w:type="dxa"/>
            <w:hideMark/>
          </w:tcPr>
          <w:p w14:paraId="1B1489C6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7DF625C0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67133920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3100B" w:rsidRPr="00F820FA" w14:paraId="65CF83CE" w14:textId="77777777" w:rsidTr="000A6B76">
        <w:tc>
          <w:tcPr>
            <w:tcW w:w="415" w:type="dxa"/>
            <w:hideMark/>
          </w:tcPr>
          <w:p w14:paraId="3582D548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773D043E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7AD8BD99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14:paraId="67EE992E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14:paraId="47776AA1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14:paraId="4B427210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14:paraId="4F1EA5E8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E3100B" w:rsidRPr="00F820FA" w14:paraId="33DE974A" w14:textId="77777777" w:rsidTr="000A6B76">
        <w:tc>
          <w:tcPr>
            <w:tcW w:w="415" w:type="dxa"/>
            <w:hideMark/>
          </w:tcPr>
          <w:p w14:paraId="65005D76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5A0E59B9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7394F096" w14:textId="77777777" w:rsidR="00E3100B" w:rsidRPr="00F820FA" w:rsidRDefault="00E3100B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14:paraId="7D5EC1D4" w14:textId="77777777" w:rsidR="00E3100B" w:rsidRPr="00F820FA" w:rsidRDefault="00E3100B" w:rsidP="00E3100B">
      <w:pPr>
        <w:rPr>
          <w:rFonts w:ascii="Arial Narrow" w:hAnsi="Arial Narrow" w:cs="Calibri"/>
          <w:i/>
          <w:sz w:val="22"/>
          <w:szCs w:val="22"/>
        </w:rPr>
      </w:pPr>
    </w:p>
    <w:p w14:paraId="373EDAF3" w14:textId="77777777" w:rsidR="00E3100B" w:rsidRPr="00F820FA" w:rsidRDefault="00E3100B" w:rsidP="00E3100B">
      <w:pPr>
        <w:jc w:val="both"/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sz w:val="22"/>
          <w:szCs w:val="22"/>
        </w:rPr>
        <w:t>* Pokiaľ predávajúci   bude zabezpečovať plnenie tejto zmluvy prostredníctvom svojich subdodávateľov (čl. IX. bod 11. tejto zmluvy) vpíše všetky požadované údaje to tabuliek vyššie.</w:t>
      </w:r>
    </w:p>
    <w:p w14:paraId="01627CB7" w14:textId="77777777" w:rsidR="00E3100B" w:rsidRPr="00F820FA" w:rsidRDefault="00E3100B" w:rsidP="00E3100B">
      <w:pPr>
        <w:jc w:val="both"/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sz w:val="22"/>
          <w:szCs w:val="22"/>
        </w:rPr>
        <w:t>**V prípade, že predávajúci plnenie tejto zmluvy nebude zabezpečovať prostredníctvom svojich subdodávateľov (čl. IX. bod 11. tejto zmluvy) preškrtne vyššie uvedené tabuľky a túto skutočnosť  potvrdí podpisom prehlásenia na tejto prílohe:</w:t>
      </w:r>
    </w:p>
    <w:p w14:paraId="3A572331" w14:textId="77777777" w:rsidR="00E3100B" w:rsidRPr="00F820FA" w:rsidRDefault="00E3100B" w:rsidP="00E3100B">
      <w:pPr>
        <w:rPr>
          <w:rFonts w:ascii="Arial Narrow" w:hAnsi="Arial Narrow" w:cs="Calibri"/>
          <w:sz w:val="22"/>
          <w:szCs w:val="22"/>
        </w:rPr>
      </w:pPr>
    </w:p>
    <w:p w14:paraId="3BEDD6CF" w14:textId="77777777" w:rsidR="00E3100B" w:rsidRPr="00F820FA" w:rsidRDefault="00E3100B" w:rsidP="00E3100B">
      <w:pPr>
        <w:rPr>
          <w:rFonts w:ascii="Arial Narrow" w:hAnsi="Arial Narrow" w:cs="Calibri"/>
          <w:b/>
          <w:sz w:val="22"/>
          <w:szCs w:val="22"/>
          <w:u w:val="single"/>
        </w:rPr>
      </w:pPr>
      <w:r w:rsidRPr="00F820FA">
        <w:rPr>
          <w:rFonts w:ascii="Arial Narrow" w:hAnsi="Arial Narrow" w:cs="Calibri"/>
          <w:b/>
          <w:sz w:val="22"/>
          <w:szCs w:val="22"/>
          <w:u w:val="single"/>
        </w:rPr>
        <w:t xml:space="preserve">Prehlásenie predávajúceho** : </w:t>
      </w:r>
    </w:p>
    <w:p w14:paraId="2E56977F" w14:textId="77777777" w:rsidR="00E3100B" w:rsidRPr="00F820FA" w:rsidRDefault="00E3100B" w:rsidP="00E3100B">
      <w:pPr>
        <w:jc w:val="both"/>
        <w:rPr>
          <w:rFonts w:ascii="Arial Narrow" w:hAnsi="Arial Narrow" w:cs="Calibri"/>
          <w:b/>
          <w:sz w:val="22"/>
          <w:szCs w:val="22"/>
        </w:rPr>
      </w:pPr>
      <w:r w:rsidRPr="00F820FA">
        <w:rPr>
          <w:rFonts w:ascii="Arial Narrow" w:hAnsi="Arial Narrow" w:cs="Calibri"/>
          <w:b/>
          <w:sz w:val="22"/>
          <w:szCs w:val="22"/>
        </w:rPr>
        <w:t>Predávajúci  týmto prehlasuje, že plnenie tejto zmluvy nebude zabezpečovať prostredníctvom subdodávateľov ( čl. IX. bod 11. tejto zmluvy).</w:t>
      </w:r>
    </w:p>
    <w:p w14:paraId="4AFEA3E0" w14:textId="77777777" w:rsidR="00E3100B" w:rsidRPr="00F820FA" w:rsidRDefault="00E3100B" w:rsidP="00E3100B">
      <w:pPr>
        <w:rPr>
          <w:rFonts w:ascii="Arial Narrow" w:hAnsi="Arial Narrow" w:cs="Calibri"/>
          <w:b/>
          <w:sz w:val="22"/>
          <w:szCs w:val="22"/>
        </w:rPr>
      </w:pPr>
    </w:p>
    <w:p w14:paraId="25E19FD1" w14:textId="77777777" w:rsidR="00E3100B" w:rsidRPr="00E42C8F" w:rsidRDefault="00E3100B" w:rsidP="00E3100B">
      <w:pPr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b/>
          <w:sz w:val="22"/>
          <w:szCs w:val="22"/>
        </w:rPr>
        <w:t xml:space="preserve"> </w:t>
      </w:r>
      <w:r w:rsidRPr="00E42C8F">
        <w:rPr>
          <w:rFonts w:ascii="Arial Narrow" w:hAnsi="Arial Narrow" w:cs="Calibri"/>
          <w:sz w:val="22"/>
          <w:szCs w:val="22"/>
        </w:rPr>
        <w:t>V ...................................., dňa ..........................</w:t>
      </w:r>
    </w:p>
    <w:p w14:paraId="5BBCEDCA" w14:textId="77777777" w:rsidR="00E3100B" w:rsidRPr="00E42C8F" w:rsidRDefault="00E3100B" w:rsidP="00E3100B">
      <w:pPr>
        <w:rPr>
          <w:rFonts w:ascii="Arial Narrow" w:hAnsi="Arial Narrow" w:cs="Calibri"/>
          <w:sz w:val="22"/>
          <w:szCs w:val="22"/>
        </w:rPr>
      </w:pPr>
    </w:p>
    <w:p w14:paraId="203D02BA" w14:textId="77777777" w:rsidR="003950C0" w:rsidRDefault="003950C0" w:rsidP="00E3100B">
      <w:pPr>
        <w:rPr>
          <w:rFonts w:ascii="Arial Narrow" w:hAnsi="Arial Narrow" w:cs="Calibri"/>
          <w:sz w:val="22"/>
          <w:szCs w:val="22"/>
        </w:rPr>
      </w:pPr>
    </w:p>
    <w:p w14:paraId="79FB488E" w14:textId="6FEADD69" w:rsidR="00E3100B" w:rsidRPr="00E42C8F" w:rsidRDefault="00E3100B" w:rsidP="00E3100B">
      <w:pPr>
        <w:rPr>
          <w:rFonts w:ascii="Arial Narrow" w:hAnsi="Arial Narrow" w:cs="Calibri"/>
          <w:sz w:val="22"/>
          <w:szCs w:val="22"/>
        </w:rPr>
      </w:pPr>
      <w:r w:rsidRPr="00E42C8F">
        <w:rPr>
          <w:rFonts w:ascii="Arial Narrow" w:hAnsi="Arial Narrow" w:cs="Calibri"/>
          <w:sz w:val="22"/>
          <w:szCs w:val="22"/>
        </w:rPr>
        <w:t xml:space="preserve">Predávajúci : _____________________________ </w:t>
      </w:r>
    </w:p>
    <w:p w14:paraId="381B5830" w14:textId="77777777" w:rsidR="00E3100B" w:rsidRPr="00F820FA" w:rsidRDefault="00E3100B" w:rsidP="00E3100B">
      <w:pPr>
        <w:rPr>
          <w:rFonts w:ascii="Arial Narrow" w:hAnsi="Arial Narrow" w:cs="Calibri"/>
          <w:b/>
          <w:sz w:val="22"/>
          <w:szCs w:val="22"/>
        </w:rPr>
      </w:pPr>
    </w:p>
    <w:p w14:paraId="0C12F2CC" w14:textId="77777777" w:rsidR="00E3100B" w:rsidRPr="00F820FA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DF928EA" w14:textId="77777777" w:rsidR="00E3100B" w:rsidRPr="00F820FA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AA38AAC" w14:textId="497998A6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58E1F7C3" w14:textId="77777777" w:rsidR="003950C0" w:rsidRDefault="003950C0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F0BD761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452777C" w14:textId="77777777" w:rsidR="00E3100B" w:rsidRPr="003F2463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3F2463">
        <w:rPr>
          <w:rFonts w:ascii="Arial Narrow" w:hAnsi="Arial Narrow" w:cstheme="minorHAnsi"/>
          <w:b/>
          <w:i/>
          <w:sz w:val="22"/>
          <w:szCs w:val="22"/>
        </w:rPr>
        <w:lastRenderedPageBreak/>
        <w:t>Príloha č. 4 – Kontaktné údaje Servisného strediska resp. kontaktné informácie o servisných linkách v prípade vád tovaru</w:t>
      </w:r>
    </w:p>
    <w:p w14:paraId="0ABEA252" w14:textId="77777777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4E65E833" w14:textId="2378C97E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I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– </w:t>
      </w:r>
      <w:r w:rsidR="003950C0">
        <w:rPr>
          <w:rFonts w:ascii="Arial Narrow" w:hAnsi="Arial Narrow" w:cstheme="minorHAnsi"/>
          <w:b/>
          <w:i/>
          <w:sz w:val="22"/>
          <w:szCs w:val="22"/>
        </w:rPr>
        <w:t>Tranzientný elastograf</w:t>
      </w:r>
    </w:p>
    <w:p w14:paraId="3689C026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5D9D408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4C25DC0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5F938A9B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3A393FE4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154D0AA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DD5E47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1ABB4B4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3402BD6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FDEB7C2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E3C99F8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5EB88C0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7E9F66F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359FBB25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BDB4478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35DE9B1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37F19A7A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AC00639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3BB929F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DF4B668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00662B1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004C88A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28E1E5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12FC12D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012B87B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93C3E6B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73372C1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BC60E75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8258F1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53F07266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A61A0AD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E5DDCB9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1E970D0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399999A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6A69211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F3E904E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E330389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61B7AB6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373F46B9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189004D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FDD3C53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5601863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2947ED0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5D193F5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425DFCC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5C074BA8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EEE4EDD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37543E2A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35E1AED8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DFD694A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DBD0709" w14:textId="6BD69F6B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3AEB200" w14:textId="77777777" w:rsidR="003950C0" w:rsidRDefault="003950C0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7C3C53B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7C721DB4" w14:textId="77777777" w:rsidR="00E3100B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 xml:space="preserve">Príloha č. 5 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–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Protikorupčná doložka</w:t>
      </w:r>
    </w:p>
    <w:p w14:paraId="40EA8836" w14:textId="77777777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00786958" w14:textId="560A7177" w:rsidR="00E3100B" w:rsidRPr="00DB56D8" w:rsidRDefault="00E3100B" w:rsidP="00E3100B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Predmet dodania: Prístrojové vybavenie endoskopického centra </w:t>
      </w:r>
      <w:r>
        <w:rPr>
          <w:rFonts w:ascii="Arial Narrow" w:hAnsi="Arial Narrow" w:cstheme="minorHAnsi"/>
          <w:b/>
          <w:i/>
          <w:sz w:val="22"/>
          <w:szCs w:val="22"/>
        </w:rPr>
        <w:t>I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 – </w:t>
      </w:r>
      <w:r w:rsidR="003950C0">
        <w:rPr>
          <w:rFonts w:ascii="Arial Narrow" w:hAnsi="Arial Narrow" w:cstheme="minorHAnsi"/>
          <w:b/>
          <w:i/>
          <w:sz w:val="22"/>
          <w:szCs w:val="22"/>
        </w:rPr>
        <w:t>Tranzientný elastograf</w:t>
      </w:r>
    </w:p>
    <w:p w14:paraId="266E13C3" w14:textId="77777777" w:rsidR="00E3100B" w:rsidRDefault="00E3100B" w:rsidP="00E3100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7F8DB8F" w14:textId="77777777" w:rsidR="00E3100B" w:rsidRPr="007B034B" w:rsidRDefault="00E3100B" w:rsidP="00E3100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10BD95F" w14:textId="77777777" w:rsidR="00E3100B" w:rsidRPr="007B034B" w:rsidRDefault="00E3100B" w:rsidP="00E3100B">
      <w:pPr>
        <w:jc w:val="both"/>
        <w:rPr>
          <w:rFonts w:ascii="Arial Narrow" w:hAnsi="Arial Narrow" w:cstheme="minorHAnsi"/>
          <w:sz w:val="20"/>
          <w:szCs w:val="20"/>
        </w:rPr>
      </w:pPr>
    </w:p>
    <w:p w14:paraId="4E9F008E" w14:textId="77777777" w:rsidR="00E3100B" w:rsidRPr="007B034B" w:rsidRDefault="00E3100B" w:rsidP="00E3100B">
      <w:pPr>
        <w:pStyle w:val="Nadpis1"/>
        <w:keepNext w:val="0"/>
        <w:widowControl w:val="0"/>
        <w:numPr>
          <w:ilvl w:val="0"/>
          <w:numId w:val="37"/>
        </w:numPr>
        <w:tabs>
          <w:tab w:val="left" w:pos="364"/>
        </w:tabs>
        <w:spacing w:before="0"/>
        <w:ind w:left="0" w:firstLine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s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ystém riadenia</w:t>
      </w:r>
    </w:p>
    <w:p w14:paraId="44E528C5" w14:textId="77777777" w:rsidR="00E3100B" w:rsidRPr="007B034B" w:rsidRDefault="00E3100B" w:rsidP="00E3100B">
      <w:pPr>
        <w:pStyle w:val="Zkladntext"/>
        <w:ind w:right="112" w:hanging="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-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zaväzuje,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-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svojej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organizácie</w:t>
      </w:r>
      <w:r>
        <w:rPr>
          <w:rFonts w:ascii="Arial Narrow" w:hAnsi="Arial Narrow" w:cstheme="minorHAnsi"/>
          <w:spacing w:val="-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príjme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účinný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systém riadenia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schopný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zabrániť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korupčným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trestným činom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úplatkárstva/podplácania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cieľom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úradnej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moci,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právomoci,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vplyvu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či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postavenia,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porušenia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zákona,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úplatkárstva</w:t>
      </w:r>
      <w:r w:rsidRPr="007B034B">
        <w:rPr>
          <w:rFonts w:ascii="Arial Narrow" w:hAnsi="Arial Narrow" w:cstheme="minorHAnsi"/>
          <w:spacing w:val="-1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právnych</w:t>
      </w:r>
      <w:r>
        <w:rPr>
          <w:rFonts w:ascii="Arial Narrow" w:hAnsi="Arial Narrow" w:cstheme="minorHAnsi"/>
          <w:spacing w:val="-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úkonoch,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navádzania</w:t>
      </w:r>
      <w:r w:rsidRPr="007B034B">
        <w:rPr>
          <w:rFonts w:ascii="Arial Narrow" w:hAnsi="Arial Narrow" w:cstheme="minorHAnsi"/>
          <w:sz w:val="22"/>
          <w:szCs w:val="22"/>
        </w:rPr>
        <w:t xml:space="preserve"> na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takéto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zneužitie,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vydieranie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a/alebo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spreneveru.</w:t>
      </w:r>
    </w:p>
    <w:p w14:paraId="2659D799" w14:textId="77777777" w:rsidR="00E3100B" w:rsidRDefault="00E3100B" w:rsidP="00E3100B">
      <w:pPr>
        <w:rPr>
          <w:rFonts w:ascii="Arial Narrow" w:eastAsia="Arial" w:hAnsi="Arial Narrow" w:cstheme="minorHAnsi"/>
          <w:sz w:val="22"/>
          <w:szCs w:val="22"/>
        </w:rPr>
      </w:pPr>
    </w:p>
    <w:p w14:paraId="5FB0CDBD" w14:textId="77777777" w:rsidR="00E3100B" w:rsidRPr="007B034B" w:rsidRDefault="00E3100B" w:rsidP="00E3100B">
      <w:pPr>
        <w:rPr>
          <w:rFonts w:ascii="Arial Narrow" w:eastAsia="Arial" w:hAnsi="Arial Narrow" w:cstheme="minorHAnsi"/>
          <w:sz w:val="22"/>
          <w:szCs w:val="22"/>
        </w:rPr>
      </w:pPr>
    </w:p>
    <w:p w14:paraId="1CD1BE9A" w14:textId="77777777" w:rsidR="00E3100B" w:rsidRPr="007B034B" w:rsidRDefault="00E3100B" w:rsidP="00E3100B">
      <w:pPr>
        <w:pStyle w:val="Nadpis1"/>
        <w:keepNext w:val="0"/>
        <w:widowControl w:val="0"/>
        <w:numPr>
          <w:ilvl w:val="0"/>
          <w:numId w:val="37"/>
        </w:numPr>
        <w:tabs>
          <w:tab w:val="left" w:pos="364"/>
        </w:tabs>
        <w:spacing w:before="0"/>
        <w:ind w:left="0" w:firstLine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p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latobné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systémy</w:t>
      </w:r>
    </w:p>
    <w:p w14:paraId="3589E5D9" w14:textId="77777777" w:rsidR="00E3100B" w:rsidRPr="007B034B" w:rsidRDefault="00E3100B" w:rsidP="00E3100B">
      <w:pPr>
        <w:pStyle w:val="Zkladntext"/>
        <w:ind w:right="111"/>
        <w:rPr>
          <w:rFonts w:ascii="Arial Narrow" w:hAnsi="Arial Narrow" w:cstheme="minorHAnsi"/>
          <w:spacing w:val="55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výkone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činností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5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so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spoločnosťou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Univerzitná nemocnica L. Pasteura Košice ( ďalej len „UNLP“) zaväzuje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>:</w:t>
      </w:r>
    </w:p>
    <w:p w14:paraId="06438FC0" w14:textId="77777777" w:rsidR="00E3100B" w:rsidRPr="007B034B" w:rsidRDefault="00E3100B" w:rsidP="00E3100B">
      <w:pPr>
        <w:pStyle w:val="Zkladntext"/>
        <w:numPr>
          <w:ilvl w:val="0"/>
          <w:numId w:val="38"/>
        </w:numPr>
        <w:ind w:right="11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vykonávať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platby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výhradne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takým</w:t>
      </w:r>
      <w:r w:rsidRPr="007B034B">
        <w:rPr>
          <w:rFonts w:ascii="Arial Narrow" w:hAnsi="Arial Narrow" w:cstheme="minorHAnsi"/>
          <w:spacing w:val="8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spôsobom,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ktorý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umožňuje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identifikáciu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príjemcu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, </w:t>
      </w:r>
    </w:p>
    <w:p w14:paraId="68EE6B06" w14:textId="77777777" w:rsidR="00E3100B" w:rsidRPr="007B034B" w:rsidRDefault="00E3100B" w:rsidP="00E3100B">
      <w:pPr>
        <w:pStyle w:val="Zkladntext"/>
        <w:numPr>
          <w:ilvl w:val="0"/>
          <w:numId w:val="38"/>
        </w:numPr>
        <w:ind w:right="11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vyhýbať </w:t>
      </w:r>
      <w:r w:rsidRPr="007B034B">
        <w:rPr>
          <w:rFonts w:ascii="Arial Narrow" w:hAnsi="Arial Narrow" w:cstheme="minorHAnsi"/>
          <w:sz w:val="22"/>
          <w:szCs w:val="22"/>
        </w:rPr>
        <w:t xml:space="preserve">sa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hotovostným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platbám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platbám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v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naturáliách.</w:t>
      </w:r>
    </w:p>
    <w:p w14:paraId="1D8CC0D0" w14:textId="77777777" w:rsidR="00E3100B" w:rsidRPr="007B034B" w:rsidRDefault="00E3100B" w:rsidP="00E3100B">
      <w:pPr>
        <w:rPr>
          <w:rFonts w:ascii="Arial Narrow" w:eastAsia="Arial" w:hAnsi="Arial Narrow" w:cstheme="minorHAnsi"/>
          <w:sz w:val="22"/>
          <w:szCs w:val="22"/>
        </w:rPr>
      </w:pPr>
    </w:p>
    <w:p w14:paraId="3BCDBA2A" w14:textId="77777777" w:rsidR="00E3100B" w:rsidRPr="007B034B" w:rsidRDefault="00E3100B" w:rsidP="00E3100B">
      <w:pPr>
        <w:pStyle w:val="Nadpis1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3.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   </w:t>
      </w: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d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ary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a 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>odmeny</w:t>
      </w:r>
    </w:p>
    <w:p w14:paraId="5E6BA57D" w14:textId="77777777" w:rsidR="00E3100B" w:rsidRPr="007B034B" w:rsidRDefault="00E3100B" w:rsidP="00E3100B">
      <w:pPr>
        <w:pStyle w:val="Zkladntext"/>
        <w:ind w:right="107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s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žiaden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zamestnancov,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iných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osôb</w:t>
      </w:r>
      <w:r w:rsidRPr="007B034B">
        <w:rPr>
          <w:rFonts w:ascii="Arial Narrow" w:hAnsi="Arial Narrow" w:cstheme="minorHAnsi"/>
          <w:spacing w:val="9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konajúcich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jeho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mene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pred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uzatvorením</w:t>
      </w:r>
      <w:r w:rsidRPr="007B034B">
        <w:rPr>
          <w:rFonts w:ascii="Arial Narrow" w:hAnsi="Arial Narrow" w:cstheme="minorHAnsi"/>
          <w:spacing w:val="5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počas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plynutia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nebude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priamo</w:t>
      </w:r>
      <w:r w:rsidRPr="007B034B">
        <w:rPr>
          <w:rFonts w:ascii="Arial Narrow" w:hAnsi="Arial Narrow" w:cstheme="minorHAnsi"/>
          <w:spacing w:val="5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nepriamo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ponúkať,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dávať,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poskytovať,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vyžadovať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ani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prijímať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finančné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prostriedky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iné</w:t>
      </w:r>
      <w:r w:rsidRPr="007B034B">
        <w:rPr>
          <w:rFonts w:ascii="Arial Narrow" w:hAnsi="Arial Narrow" w:cstheme="minorHAnsi"/>
          <w:spacing w:val="7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oceniteľné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hodnoty,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poskytovať</w:t>
      </w:r>
      <w:r w:rsidRPr="007B034B">
        <w:rPr>
          <w:rFonts w:ascii="Arial Narrow" w:hAnsi="Arial Narrow" w:cstheme="minorHAnsi"/>
          <w:spacing w:val="5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výhody,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dary,</w:t>
      </w:r>
      <w:r w:rsidRPr="007B034B">
        <w:rPr>
          <w:rFonts w:ascii="Arial Narrow" w:hAnsi="Arial Narrow" w:cstheme="minorHAnsi"/>
          <w:spacing w:val="6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pohostenia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5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ovplyvňovať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konanie</w:t>
      </w:r>
      <w:r w:rsidRPr="007B034B">
        <w:rPr>
          <w:rFonts w:ascii="Arial Narrow" w:hAnsi="Arial Narrow" w:cstheme="minorHAnsi"/>
          <w:spacing w:val="18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  <w:r w:rsidRPr="007B034B">
        <w:rPr>
          <w:rFonts w:ascii="Arial Narrow" w:hAnsi="Arial Narrow" w:cstheme="minorHAnsi"/>
          <w:spacing w:val="1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využitím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odmeňovania,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navádzania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k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nekorektnému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výkonu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príslušných</w:t>
      </w:r>
      <w:r w:rsidRPr="007B034B">
        <w:rPr>
          <w:rFonts w:ascii="Arial Narrow" w:hAnsi="Arial Narrow" w:cstheme="minorHAnsi"/>
          <w:spacing w:val="6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 UNLP</w:t>
      </w:r>
      <w:r w:rsidRPr="007B034B">
        <w:rPr>
          <w:rFonts w:ascii="Arial Narrow" w:hAnsi="Arial Narrow" w:cstheme="minorHAnsi"/>
          <w:sz w:val="22"/>
          <w:szCs w:val="22"/>
        </w:rPr>
        <w:t xml:space="preserve"> za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získania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udržania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výkone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činnosti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rozpore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so</w:t>
      </w:r>
      <w:r w:rsidRPr="007B034B">
        <w:rPr>
          <w:rFonts w:ascii="Arial Narrow" w:hAnsi="Arial Narrow" w:cstheme="minorHAnsi"/>
          <w:spacing w:val="7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všeobecne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záväznými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právnymi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predpismi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Slovenskej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republiky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(ďalej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len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„SR“).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možné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však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poskytnúť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prejav zdvorilosti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s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nízkou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finančnou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hodnotou   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napr.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knihy,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kvety,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katalógy,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drobné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spomienkové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predmety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pracovných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stretnutiach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oficiálnych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rokovaniach.</w:t>
      </w:r>
    </w:p>
    <w:p w14:paraId="62B88A25" w14:textId="77777777" w:rsidR="00E3100B" w:rsidRPr="007B034B" w:rsidRDefault="00E3100B" w:rsidP="00E3100B">
      <w:pPr>
        <w:rPr>
          <w:rFonts w:ascii="Arial Narrow" w:eastAsia="Arial" w:hAnsi="Arial Narrow" w:cstheme="minorHAnsi"/>
          <w:sz w:val="22"/>
          <w:szCs w:val="22"/>
        </w:rPr>
      </w:pPr>
    </w:p>
    <w:p w14:paraId="5C989032" w14:textId="77777777" w:rsidR="00E3100B" w:rsidRPr="007B034B" w:rsidRDefault="00E3100B" w:rsidP="00E3100B">
      <w:pPr>
        <w:pStyle w:val="Nadpis1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 w:rsidRPr="007B034B">
        <w:rPr>
          <w:rFonts w:ascii="Arial Narrow" w:hAnsi="Arial Narrow" w:cstheme="minorHAnsi"/>
          <w:sz w:val="22"/>
          <w:szCs w:val="22"/>
          <w:lang w:val="sk-SK"/>
        </w:rPr>
        <w:t>4.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   </w:t>
      </w: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v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zťah</w:t>
      </w:r>
      <w:r w:rsidRPr="007B034B">
        <w:rPr>
          <w:rFonts w:ascii="Arial Narrow" w:hAnsi="Arial Narrow" w:cstheme="minorHAnsi"/>
          <w:spacing w:val="-3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k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politickým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stranám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alebo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 k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verejným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organizáciám</w:t>
      </w:r>
    </w:p>
    <w:p w14:paraId="63E0B770" w14:textId="77777777" w:rsidR="00E3100B" w:rsidRPr="007B034B" w:rsidRDefault="00E3100B" w:rsidP="00E3100B">
      <w:pPr>
        <w:pStyle w:val="Zkladntex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 nesmie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vyvíjať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či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už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priamy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nátlak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politických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predstaviteľov,</w:t>
      </w:r>
      <w:r w:rsidRPr="007B034B">
        <w:rPr>
          <w:rFonts w:ascii="Arial Narrow" w:hAnsi="Arial Narrow" w:cstheme="minorHAnsi"/>
          <w:spacing w:val="8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zamestnancov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štátnej</w:t>
      </w:r>
      <w:r w:rsidRPr="007B034B">
        <w:rPr>
          <w:rFonts w:ascii="Arial Narrow" w:hAnsi="Arial Narrow" w:cstheme="minorHAnsi"/>
          <w:sz w:val="22"/>
          <w:szCs w:val="22"/>
        </w:rPr>
        <w:t xml:space="preserve"> a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verejnej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správy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(napríklad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poskytovaním vlastných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priestorov,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prijímaním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navrhnutých</w:t>
      </w:r>
      <w:r w:rsidRPr="007B034B">
        <w:rPr>
          <w:rFonts w:ascii="Arial Narrow" w:hAnsi="Arial Narrow" w:cstheme="minorHAnsi"/>
          <w:spacing w:val="8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uchádzačov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prácu,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konzultovaním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dohôd)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cieľom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získať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uzatváraní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zmluvných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vzťahov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> UNLP.</w:t>
      </w:r>
    </w:p>
    <w:p w14:paraId="3EEA2565" w14:textId="77777777" w:rsidR="00E3100B" w:rsidRDefault="00E3100B" w:rsidP="00E3100B">
      <w:pPr>
        <w:spacing w:before="10"/>
        <w:rPr>
          <w:rFonts w:ascii="Arial Narrow" w:eastAsia="Arial" w:hAnsi="Arial Narrow" w:cstheme="minorHAnsi"/>
          <w:sz w:val="22"/>
          <w:szCs w:val="22"/>
        </w:rPr>
      </w:pPr>
    </w:p>
    <w:p w14:paraId="37A96823" w14:textId="77777777" w:rsidR="00E3100B" w:rsidRPr="007B034B" w:rsidRDefault="00E3100B" w:rsidP="00E3100B">
      <w:pPr>
        <w:spacing w:before="10"/>
        <w:rPr>
          <w:rFonts w:ascii="Arial Narrow" w:eastAsia="Arial" w:hAnsi="Arial Narrow" w:cstheme="minorHAnsi"/>
          <w:sz w:val="22"/>
          <w:szCs w:val="22"/>
        </w:rPr>
      </w:pPr>
    </w:p>
    <w:p w14:paraId="790CD563" w14:textId="77777777" w:rsidR="00E3100B" w:rsidRPr="007B034B" w:rsidRDefault="00E3100B" w:rsidP="00E3100B">
      <w:pPr>
        <w:pStyle w:val="Nadpis1"/>
        <w:keepNext w:val="0"/>
        <w:widowControl w:val="0"/>
        <w:numPr>
          <w:ilvl w:val="0"/>
          <w:numId w:val="35"/>
        </w:numPr>
        <w:tabs>
          <w:tab w:val="left" w:pos="364"/>
        </w:tabs>
        <w:spacing w:before="0" w:after="0"/>
        <w:ind w:left="0" w:firstLine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n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ulový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konflikt záujmov</w:t>
      </w:r>
    </w:p>
    <w:p w14:paraId="7C632C86" w14:textId="77777777" w:rsidR="00E3100B" w:rsidRPr="007B034B" w:rsidRDefault="00E3100B" w:rsidP="00E3100B">
      <w:pPr>
        <w:pStyle w:val="Zkladntext"/>
        <w:spacing w:before="121"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vyhlasuje,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že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žiaden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štatutárnych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</w:t>
      </w:r>
      <w:r w:rsidRPr="007B034B">
        <w:rPr>
          <w:rFonts w:ascii="Arial Narrow" w:hAnsi="Arial Narrow" w:cstheme="minorHAnsi"/>
          <w:sz w:val="22"/>
          <w:szCs w:val="22"/>
        </w:rPr>
        <w:t>:</w:t>
      </w:r>
    </w:p>
    <w:p w14:paraId="03B010BC" w14:textId="77777777" w:rsidR="00E3100B" w:rsidRPr="007B034B" w:rsidRDefault="00E3100B" w:rsidP="00E3100B">
      <w:pPr>
        <w:pStyle w:val="Zkladntext"/>
        <w:widowControl w:val="0"/>
        <w:numPr>
          <w:ilvl w:val="0"/>
          <w:numId w:val="36"/>
        </w:numPr>
        <w:tabs>
          <w:tab w:val="left" w:pos="545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nevykonáva,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ani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nevykonával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činnosti,</w:t>
      </w:r>
      <w:r w:rsidRPr="007B034B">
        <w:rPr>
          <w:rFonts w:ascii="Arial Narrow" w:hAnsi="Arial Narrow" w:cstheme="minorHAnsi"/>
          <w:spacing w:val="4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ktoré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by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predstavovali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konflikt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záujmov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hľadiska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uzatvorenia</w:t>
      </w:r>
    </w:p>
    <w:p w14:paraId="147EC01C" w14:textId="77777777" w:rsidR="00E3100B" w:rsidRPr="007B034B" w:rsidRDefault="00E3100B" w:rsidP="00E3100B">
      <w:pPr>
        <w:pStyle w:val="Zkladntext"/>
        <w:spacing w:before="1" w:line="253" w:lineRule="exact"/>
        <w:ind w:left="54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</w:p>
    <w:p w14:paraId="5D9CB468" w14:textId="77777777" w:rsidR="00E3100B" w:rsidRPr="007B034B" w:rsidRDefault="00E3100B" w:rsidP="00E3100B">
      <w:pPr>
        <w:pStyle w:val="Zkladntext"/>
        <w:widowControl w:val="0"/>
        <w:numPr>
          <w:ilvl w:val="0"/>
          <w:numId w:val="36"/>
        </w:numPr>
        <w:tabs>
          <w:tab w:val="left" w:pos="545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nebol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stíhaný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za:</w:t>
      </w:r>
    </w:p>
    <w:p w14:paraId="5FC1E97F" w14:textId="77777777" w:rsidR="00E3100B" w:rsidRPr="007B034B" w:rsidRDefault="00E3100B" w:rsidP="00E3100B">
      <w:pPr>
        <w:pStyle w:val="Zkladntext"/>
        <w:widowControl w:val="0"/>
        <w:numPr>
          <w:ilvl w:val="1"/>
          <w:numId w:val="36"/>
        </w:numPr>
        <w:tabs>
          <w:tab w:val="left" w:pos="838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subvenčný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podvod,</w:t>
      </w:r>
    </w:p>
    <w:p w14:paraId="2D27A6AC" w14:textId="77777777" w:rsidR="00E3100B" w:rsidRPr="007B034B" w:rsidRDefault="00E3100B" w:rsidP="00E3100B">
      <w:pPr>
        <w:pStyle w:val="Zkladntext"/>
        <w:widowControl w:val="0"/>
        <w:numPr>
          <w:ilvl w:val="1"/>
          <w:numId w:val="36"/>
        </w:numPr>
        <w:tabs>
          <w:tab w:val="left" w:pos="838"/>
        </w:tabs>
        <w:spacing w:before="16"/>
        <w:ind w:right="12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skresľovanie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hospodárskej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a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obchodnej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evidencie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(uvedenie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nepravdivých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hrubo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skresľujúcich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zatajenie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povinných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z w:val="22"/>
          <w:szCs w:val="22"/>
        </w:rPr>
        <w:t xml:space="preserve"> 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závažných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skutočnostiach</w:t>
      </w:r>
      <w:r w:rsidRPr="007B034B">
        <w:rPr>
          <w:rFonts w:ascii="Arial Narrow" w:hAnsi="Arial Narrow" w:cstheme="minorHAnsi"/>
          <w:sz w:val="22"/>
          <w:szCs w:val="22"/>
        </w:rPr>
        <w:t xml:space="preserve"> vo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výkazoch),</w:t>
      </w:r>
    </w:p>
    <w:p w14:paraId="6531DFC9" w14:textId="77777777" w:rsidR="00E3100B" w:rsidRPr="007B034B" w:rsidRDefault="00E3100B" w:rsidP="00E3100B">
      <w:pPr>
        <w:pStyle w:val="Zkladntext"/>
        <w:widowControl w:val="0"/>
        <w:numPr>
          <w:ilvl w:val="1"/>
          <w:numId w:val="36"/>
        </w:numPr>
        <w:tabs>
          <w:tab w:val="left" w:pos="838"/>
        </w:tabs>
        <w:spacing w:before="13"/>
        <w:ind w:right="12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korupciu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(§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328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–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336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zákona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č.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300/2005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Z.z.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Trestný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znení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neskorších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predpisov;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napr.:</w:t>
      </w:r>
      <w:r w:rsidRPr="007B034B">
        <w:rPr>
          <w:rFonts w:ascii="Arial Narrow" w:hAnsi="Arial Narrow" w:cstheme="minorHAnsi"/>
          <w:spacing w:val="6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úplatku,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Podplácanie,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korupciu).</w:t>
      </w:r>
    </w:p>
    <w:p w14:paraId="456310EA" w14:textId="77777777" w:rsidR="00E3100B" w:rsidRPr="007B034B" w:rsidRDefault="00E3100B" w:rsidP="00E3100B">
      <w:pPr>
        <w:pStyle w:val="Nadpis1"/>
        <w:tabs>
          <w:tab w:val="left" w:pos="364"/>
        </w:tabs>
        <w:jc w:val="right"/>
        <w:rPr>
          <w:rFonts w:ascii="Arial Narrow" w:hAnsi="Arial Narrow" w:cstheme="minorHAnsi"/>
          <w:b w:val="0"/>
          <w:bCs/>
          <w:sz w:val="22"/>
          <w:szCs w:val="22"/>
          <w:lang w:val="sk-SK"/>
        </w:rPr>
      </w:pPr>
    </w:p>
    <w:p w14:paraId="048CB442" w14:textId="77777777" w:rsidR="00E3100B" w:rsidRPr="007B034B" w:rsidRDefault="00E3100B" w:rsidP="00E3100B">
      <w:pPr>
        <w:pStyle w:val="Nadpis1"/>
        <w:keepNext w:val="0"/>
        <w:widowControl w:val="0"/>
        <w:numPr>
          <w:ilvl w:val="0"/>
          <w:numId w:val="35"/>
        </w:numPr>
        <w:tabs>
          <w:tab w:val="left" w:pos="364"/>
        </w:tabs>
        <w:spacing w:before="0" w:after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 xml:space="preserve">  k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lauzula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proti úplatkárstvu</w:t>
      </w:r>
    </w:p>
    <w:p w14:paraId="24EBF3E3" w14:textId="77777777" w:rsidR="00E3100B" w:rsidRPr="007B034B" w:rsidRDefault="00E3100B" w:rsidP="00E3100B">
      <w:pPr>
        <w:pStyle w:val="Zkladntext"/>
        <w:spacing w:before="119"/>
        <w:ind w:right="11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požiadavky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UNLP 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uvedené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doložke,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vyplývajúce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 platných</w:t>
      </w:r>
      <w:r w:rsidRPr="007B034B">
        <w:rPr>
          <w:rFonts w:ascii="Arial Narrow" w:hAnsi="Arial Narrow" w:cstheme="minorHAnsi"/>
          <w:spacing w:val="10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právnych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predpisov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Slovenskej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republiky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boja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proti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korupcii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berie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vedomie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k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> 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ich dodržiavaniu.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   </w:t>
      </w:r>
      <w:r w:rsidRPr="007B034B">
        <w:rPr>
          <w:rFonts w:ascii="Arial Narrow" w:hAnsi="Arial Narrow" w:cstheme="minorHAnsi"/>
          <w:sz w:val="22"/>
          <w:szCs w:val="22"/>
        </w:rPr>
        <w:lastRenderedPageBreak/>
        <w:t xml:space="preserve">V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prípade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potreby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bližšie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špecifikovať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požiadavky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 proti korupčnej doložky,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bude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UNLP 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akceptovať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znenie</w:t>
      </w:r>
      <w:r w:rsidRPr="007B034B">
        <w:rPr>
          <w:rFonts w:ascii="Arial Narrow" w:hAnsi="Arial Narrow" w:cstheme="minorHAnsi"/>
          <w:spacing w:val="7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schváleného</w:t>
      </w:r>
      <w:r w:rsidRPr="007B034B">
        <w:rPr>
          <w:rFonts w:ascii="Arial Narrow" w:hAnsi="Arial Narrow" w:cstheme="minorHAnsi"/>
          <w:sz w:val="22"/>
          <w:szCs w:val="22"/>
        </w:rPr>
        <w:t xml:space="preserve"> 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roti korupčného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programu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u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> 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konkrétnej strany zmluvného vzťahu .</w:t>
      </w:r>
    </w:p>
    <w:p w14:paraId="0AF80FE1" w14:textId="77777777" w:rsidR="00E3100B" w:rsidRPr="007B034B" w:rsidRDefault="00E3100B" w:rsidP="00E3100B">
      <w:pPr>
        <w:jc w:val="both"/>
        <w:rPr>
          <w:rFonts w:ascii="Arial Narrow" w:eastAsia="Arial" w:hAnsi="Arial Narrow" w:cstheme="minorHAnsi"/>
          <w:sz w:val="22"/>
          <w:szCs w:val="22"/>
        </w:rPr>
      </w:pPr>
    </w:p>
    <w:p w14:paraId="6985D7FE" w14:textId="77777777" w:rsidR="00E3100B" w:rsidRPr="007B034B" w:rsidRDefault="00E3100B" w:rsidP="00E3100B">
      <w:pPr>
        <w:pStyle w:val="Zkladntext"/>
        <w:ind w:right="11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Zároveň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okamžite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oznámiť</w:t>
      </w:r>
      <w:r w:rsidRPr="007B034B">
        <w:rPr>
          <w:rFonts w:ascii="Arial Narrow" w:hAnsi="Arial Narrow" w:cstheme="minorHAnsi"/>
          <w:spacing w:val="4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primeranou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formou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určenému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zástupcovi</w:t>
      </w:r>
      <w:r w:rsidRPr="007B034B">
        <w:rPr>
          <w:rFonts w:ascii="Arial Narrow" w:hAnsi="Arial Narrow" w:cstheme="minorHAnsi"/>
          <w:spacing w:val="4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UNLP,</w:t>
      </w:r>
      <w:r w:rsidRPr="007B034B">
        <w:rPr>
          <w:rFonts w:ascii="Arial Narrow" w:hAnsi="Arial Narrow" w:cstheme="minorHAnsi"/>
          <w:spacing w:val="4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10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podozrenie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porušenie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ktoréhokoľvek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ustanovenia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doložky,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byť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plne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súčinný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dôkladnom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šetrení</w:t>
      </w:r>
      <w:r w:rsidRPr="007B034B">
        <w:rPr>
          <w:rFonts w:ascii="Arial Narrow" w:hAnsi="Arial Narrow" w:cstheme="minorHAnsi"/>
          <w:spacing w:val="6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podozrenia.</w:t>
      </w:r>
    </w:p>
    <w:p w14:paraId="4EBC2063" w14:textId="77777777" w:rsidR="00E3100B" w:rsidRPr="007B034B" w:rsidRDefault="00E3100B" w:rsidP="00E3100B">
      <w:pPr>
        <w:pStyle w:val="Zkladntext"/>
        <w:spacing w:before="72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Ak</w:t>
      </w:r>
      <w:r w:rsidRPr="007B034B">
        <w:rPr>
          <w:rFonts w:ascii="Arial Narrow" w:hAnsi="Arial Narrow" w:cstheme="minorHAnsi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preukáže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partnerovi zmluvného vzťahu, porušenie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akéhokoľvek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ustanovenia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doložky:</w:t>
      </w:r>
    </w:p>
    <w:p w14:paraId="22334C22" w14:textId="77777777" w:rsidR="00E3100B" w:rsidRPr="007B034B" w:rsidRDefault="00E3100B" w:rsidP="00E3100B">
      <w:pPr>
        <w:pStyle w:val="Zkladntext"/>
        <w:widowControl w:val="0"/>
        <w:numPr>
          <w:ilvl w:val="0"/>
          <w:numId w:val="34"/>
        </w:numPr>
        <w:tabs>
          <w:tab w:val="left" w:pos="381"/>
        </w:tabs>
        <w:spacing w:before="35"/>
        <w:ind w:right="109" w:hanging="28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oprávnený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pozastaviť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plnenie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predmetu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1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predchádzajúcom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písomnom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upozornení,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to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po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dobu,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ktorú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považuje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nevyhnutnú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vzhľadom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rozsah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charakter</w:t>
      </w:r>
      <w:r w:rsidRPr="007B034B">
        <w:rPr>
          <w:rFonts w:ascii="Arial Narrow" w:hAnsi="Arial Narrow" w:cstheme="minorHAnsi"/>
          <w:spacing w:val="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zistenia,</w:t>
      </w:r>
      <w:r w:rsidRPr="007B034B">
        <w:rPr>
          <w:rFonts w:ascii="Arial Narrow" w:hAnsi="Arial Narrow" w:cstheme="minorHAnsi"/>
          <w:spacing w:val="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maximálne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však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dobu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jedného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mesiaca.  Strana zmluvného vzťahu  berie</w:t>
      </w:r>
      <w:r w:rsidRPr="007B034B">
        <w:rPr>
          <w:rFonts w:ascii="Arial Narrow" w:hAnsi="Arial Narrow" w:cstheme="minorHAnsi"/>
          <w:sz w:val="22"/>
          <w:szCs w:val="22"/>
        </w:rPr>
        <w:t xml:space="preserve"> na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vedomie</w:t>
      </w:r>
      <w:r w:rsidRPr="007B034B">
        <w:rPr>
          <w:rFonts w:ascii="Arial Narrow" w:hAnsi="Arial Narrow" w:cstheme="minorHAnsi"/>
          <w:sz w:val="22"/>
          <w:szCs w:val="22"/>
        </w:rPr>
        <w:t xml:space="preserve"> 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súhlasí,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že</w:t>
      </w:r>
      <w:r w:rsidRPr="007B034B">
        <w:rPr>
          <w:rFonts w:ascii="Arial Narrow" w:hAnsi="Arial Narrow" w:cstheme="minorHAnsi"/>
          <w:sz w:val="22"/>
          <w:szCs w:val="22"/>
        </w:rPr>
        <w:t xml:space="preserve"> počas doby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nevyhnutnej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9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zisťovanie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skutočností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vyšetrenie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porušenie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ustanovení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nebudú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vznikať</w:t>
      </w:r>
      <w:r w:rsidRPr="007B034B">
        <w:rPr>
          <w:rFonts w:ascii="Arial Narrow" w:hAnsi="Arial Narrow" w:cstheme="minorHAnsi"/>
          <w:spacing w:val="6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povinnosti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a/alebo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sankcie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voči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UNLP, vyplývajúce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takéhoto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pozastaveného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plnenia</w:t>
      </w:r>
      <w:r w:rsidRPr="007B034B">
        <w:rPr>
          <w:rFonts w:ascii="Arial Narrow" w:hAnsi="Arial Narrow" w:cstheme="minorHAnsi"/>
          <w:spacing w:val="9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vzťahu,</w:t>
      </w:r>
    </w:p>
    <w:p w14:paraId="24FC89D9" w14:textId="77777777" w:rsidR="00E3100B" w:rsidRPr="007B034B" w:rsidRDefault="00E3100B" w:rsidP="00E3100B">
      <w:pPr>
        <w:pStyle w:val="Zkladntext"/>
        <w:widowControl w:val="0"/>
        <w:numPr>
          <w:ilvl w:val="0"/>
          <w:numId w:val="34"/>
        </w:numPr>
        <w:tabs>
          <w:tab w:val="left" w:pos="398"/>
        </w:tabs>
        <w:spacing w:before="35"/>
        <w:ind w:right="120" w:hanging="28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povinný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prijať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všetky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relevantné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opatrenia,</w:t>
      </w:r>
      <w:r w:rsidRPr="007B034B">
        <w:rPr>
          <w:rFonts w:ascii="Arial Narrow" w:hAnsi="Arial Narrow" w:cstheme="minorHAnsi"/>
          <w:spacing w:val="2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aby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zabránil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strate,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zneužitiu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zničeniu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listinných</w:t>
      </w:r>
      <w:r w:rsidRPr="007B034B">
        <w:rPr>
          <w:rFonts w:ascii="Arial Narrow" w:hAnsi="Arial Narrow" w:cstheme="minorHAnsi"/>
          <w:sz w:val="22"/>
          <w:szCs w:val="22"/>
        </w:rPr>
        <w:t xml:space="preserve"> a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dôkazov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vzťahujúcich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sa k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príslušnému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konaniu.</w:t>
      </w:r>
    </w:p>
    <w:p w14:paraId="074106FA" w14:textId="77777777" w:rsidR="00E3100B" w:rsidRPr="007B034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4B560B0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1D4B1ECD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65E9504C" w14:textId="77777777" w:rsidR="00E3100B" w:rsidRPr="00026A81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2BA6BCB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04C63213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427BC8E3" w14:textId="77777777" w:rsidR="00E3100B" w:rsidRDefault="00E3100B" w:rsidP="00E3100B">
      <w:pPr>
        <w:jc w:val="both"/>
        <w:rPr>
          <w:rFonts w:ascii="Arial Narrow" w:hAnsi="Arial Narrow" w:cstheme="minorHAnsi"/>
          <w:sz w:val="22"/>
          <w:szCs w:val="22"/>
        </w:rPr>
      </w:pPr>
    </w:p>
    <w:p w14:paraId="21D678F8" w14:textId="77777777" w:rsidR="00E3100B" w:rsidRDefault="00E3100B" w:rsidP="00E310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EB8707" w14:textId="77777777" w:rsidR="00E3100B" w:rsidRDefault="00E3100B" w:rsidP="00E310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A7F594" w14:textId="77777777" w:rsidR="00E3100B" w:rsidRDefault="00E3100B" w:rsidP="00E310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50708" w14:textId="77777777" w:rsidR="00E3100B" w:rsidRDefault="00E3100B" w:rsidP="00E310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6B96B2" w14:textId="77777777" w:rsidR="00E3100B" w:rsidRDefault="00E3100B" w:rsidP="00E310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15FC1" w14:textId="77777777" w:rsidR="00E3100B" w:rsidRDefault="00E3100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3D4064" w14:textId="1BDC374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1C834" w14:textId="78AA672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525F4" w14:textId="43CDDE2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14AB3" w14:textId="372B9383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D38FA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7198" w14:textId="77777777" w:rsidR="009E0649" w:rsidRDefault="009E0649">
      <w:r>
        <w:separator/>
      </w:r>
    </w:p>
  </w:endnote>
  <w:endnote w:type="continuationSeparator" w:id="0">
    <w:p w14:paraId="1632D517" w14:textId="77777777" w:rsidR="009E0649" w:rsidRDefault="009E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0DDE" w14:textId="77777777" w:rsidR="00E3100B" w:rsidRPr="00FD38FA" w:rsidRDefault="00E3100B" w:rsidP="00FD38F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507B2F" w:rsidRPr="00FD38FA" w:rsidRDefault="00507B2F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8228A" w14:textId="77777777" w:rsidR="009E0649" w:rsidRDefault="009E0649">
      <w:r>
        <w:separator/>
      </w:r>
    </w:p>
  </w:footnote>
  <w:footnote w:type="continuationSeparator" w:id="0">
    <w:p w14:paraId="56BCB3AD" w14:textId="77777777" w:rsidR="009E0649" w:rsidRDefault="009E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0060BD"/>
    <w:multiLevelType w:val="multilevel"/>
    <w:tmpl w:val="16A40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82C3A80"/>
    <w:multiLevelType w:val="hybridMultilevel"/>
    <w:tmpl w:val="529EF364"/>
    <w:lvl w:ilvl="0" w:tplc="E5523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54E89"/>
    <w:multiLevelType w:val="multilevel"/>
    <w:tmpl w:val="62248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180D5E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E454D"/>
    <w:multiLevelType w:val="hybridMultilevel"/>
    <w:tmpl w:val="769E12BA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41B0005">
      <w:start w:val="1"/>
      <w:numFmt w:val="bullet"/>
      <w:lvlText w:val=""/>
      <w:lvlJc w:val="left"/>
      <w:pPr>
        <w:ind w:left="837" w:hanging="361"/>
      </w:pPr>
      <w:rPr>
        <w:rFonts w:ascii="Wingdings" w:hAnsi="Wingdings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8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2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CAE481B"/>
    <w:multiLevelType w:val="hybridMultilevel"/>
    <w:tmpl w:val="A4001666"/>
    <w:lvl w:ilvl="0" w:tplc="BC0A7508">
      <w:start w:val="1"/>
      <w:numFmt w:val="decimal"/>
      <w:lvlText w:val="%1."/>
      <w:lvlJc w:val="left"/>
      <w:pPr>
        <w:ind w:left="248" w:hanging="248"/>
      </w:pPr>
      <w:rPr>
        <w:rFonts w:ascii="Arial Narrow" w:eastAsia="Arial" w:hAnsi="Arial Narrow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24" w15:restartNumberingAfterBreak="0">
    <w:nsid w:val="614E3E9E"/>
    <w:multiLevelType w:val="multilevel"/>
    <w:tmpl w:val="99B8A2C4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5" w15:restartNumberingAfterBreak="0">
    <w:nsid w:val="61960006"/>
    <w:multiLevelType w:val="hybridMultilevel"/>
    <w:tmpl w:val="A2263EE4"/>
    <w:lvl w:ilvl="0" w:tplc="21307DCA">
      <w:start w:val="5"/>
      <w:numFmt w:val="decimal"/>
      <w:lvlText w:val="%1."/>
      <w:lvlJc w:val="left"/>
      <w:pPr>
        <w:ind w:left="363" w:hanging="247"/>
        <w:jc w:val="right"/>
      </w:pPr>
      <w:rPr>
        <w:rFonts w:ascii="Arial Narrow" w:eastAsia="Arial" w:hAnsi="Arial Narrow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26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4B9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8"/>
  </w:num>
  <w:num w:numId="2">
    <w:abstractNumId w:val="9"/>
  </w:num>
  <w:num w:numId="3">
    <w:abstractNumId w:val="8"/>
  </w:num>
  <w:num w:numId="4">
    <w:abstractNumId w:val="24"/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</w:num>
  <w:num w:numId="12">
    <w:abstractNumId w:val="7"/>
  </w:num>
  <w:num w:numId="13">
    <w:abstractNumId w:val="10"/>
  </w:num>
  <w:num w:numId="14">
    <w:abstractNumId w:val="15"/>
  </w:num>
  <w:num w:numId="15">
    <w:abstractNumId w:val="24"/>
    <w:lvlOverride w:ilvl="0">
      <w:startOverride w:val="1"/>
    </w:lvlOverride>
    <w:lvlOverride w:ilvl="1">
      <w:startOverride w:val="7"/>
    </w:lvlOverride>
  </w:num>
  <w:num w:numId="16">
    <w:abstractNumId w:val="6"/>
  </w:num>
  <w:num w:numId="17">
    <w:abstractNumId w:val="16"/>
  </w:num>
  <w:num w:numId="18">
    <w:abstractNumId w:val="14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8"/>
    </w:lvlOverride>
  </w:num>
  <w:num w:numId="25">
    <w:abstractNumId w:val="22"/>
  </w:num>
  <w:num w:numId="26">
    <w:abstractNumId w:val="19"/>
  </w:num>
  <w:num w:numId="27">
    <w:abstractNumId w:val="20"/>
  </w:num>
  <w:num w:numId="28">
    <w:abstractNumId w:val="26"/>
  </w:num>
  <w:num w:numId="29">
    <w:abstractNumId w:val="24"/>
  </w:num>
  <w:num w:numId="30">
    <w:abstractNumId w:val="4"/>
  </w:num>
  <w:num w:numId="31">
    <w:abstractNumId w:val="27"/>
  </w:num>
  <w:num w:numId="32">
    <w:abstractNumId w:val="12"/>
  </w:num>
  <w:num w:numId="33">
    <w:abstractNumId w:val="11"/>
  </w:num>
  <w:num w:numId="34">
    <w:abstractNumId w:val="21"/>
  </w:num>
  <w:num w:numId="35">
    <w:abstractNumId w:val="25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3D87"/>
    <w:rsid w:val="00034E31"/>
    <w:rsid w:val="000358DE"/>
    <w:rsid w:val="0004045F"/>
    <w:rsid w:val="0004180A"/>
    <w:rsid w:val="00041EA6"/>
    <w:rsid w:val="000452D7"/>
    <w:rsid w:val="00046361"/>
    <w:rsid w:val="00050741"/>
    <w:rsid w:val="00054398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0B4A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2980"/>
    <w:rsid w:val="00154E3C"/>
    <w:rsid w:val="00157350"/>
    <w:rsid w:val="00160C46"/>
    <w:rsid w:val="00161179"/>
    <w:rsid w:val="001632D3"/>
    <w:rsid w:val="0016352D"/>
    <w:rsid w:val="0016375D"/>
    <w:rsid w:val="00165FAA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2F05"/>
    <w:rsid w:val="0019582E"/>
    <w:rsid w:val="00195E0E"/>
    <w:rsid w:val="00196A6F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134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42F8"/>
    <w:rsid w:val="002D54CA"/>
    <w:rsid w:val="002D5535"/>
    <w:rsid w:val="002D7398"/>
    <w:rsid w:val="002D7E18"/>
    <w:rsid w:val="002D7F55"/>
    <w:rsid w:val="002E22C3"/>
    <w:rsid w:val="002E337F"/>
    <w:rsid w:val="002E666F"/>
    <w:rsid w:val="002E6A22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0C0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32A0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238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4A8F"/>
    <w:rsid w:val="00505265"/>
    <w:rsid w:val="00506068"/>
    <w:rsid w:val="00507846"/>
    <w:rsid w:val="00507B2F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4CE8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5ED0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F5F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10D7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E31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0649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27B6A"/>
    <w:rsid w:val="00A3238E"/>
    <w:rsid w:val="00A351C8"/>
    <w:rsid w:val="00A3548E"/>
    <w:rsid w:val="00A3564A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763AE"/>
    <w:rsid w:val="00A8028A"/>
    <w:rsid w:val="00A818E9"/>
    <w:rsid w:val="00A820EB"/>
    <w:rsid w:val="00A82C32"/>
    <w:rsid w:val="00A83A3C"/>
    <w:rsid w:val="00A83D9D"/>
    <w:rsid w:val="00A847C2"/>
    <w:rsid w:val="00A852A7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B4B"/>
    <w:rsid w:val="00AD6F6E"/>
    <w:rsid w:val="00AD7A0C"/>
    <w:rsid w:val="00AE02DA"/>
    <w:rsid w:val="00AE0D1C"/>
    <w:rsid w:val="00AE1B79"/>
    <w:rsid w:val="00AE565D"/>
    <w:rsid w:val="00AE6EEE"/>
    <w:rsid w:val="00AE73DF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296C"/>
    <w:rsid w:val="00C9301E"/>
    <w:rsid w:val="00CA07E7"/>
    <w:rsid w:val="00CA0F23"/>
    <w:rsid w:val="00CA29FB"/>
    <w:rsid w:val="00CA2D61"/>
    <w:rsid w:val="00CA4007"/>
    <w:rsid w:val="00CA56F5"/>
    <w:rsid w:val="00CA58D9"/>
    <w:rsid w:val="00CA627B"/>
    <w:rsid w:val="00CA75E8"/>
    <w:rsid w:val="00CB1EF6"/>
    <w:rsid w:val="00CB2E11"/>
    <w:rsid w:val="00CB38B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213E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07A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6B7F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00B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64D26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40B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A5B"/>
    <w:rsid w:val="00EF3F31"/>
    <w:rsid w:val="00EF4612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581B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04C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uiPriority w:val="99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B11ABC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B0A4-B5E4-4A49-B1D2-A7B1DAE3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18</cp:revision>
  <cp:lastPrinted>2023-02-18T08:09:00Z</cp:lastPrinted>
  <dcterms:created xsi:type="dcterms:W3CDTF">2023-02-27T11:51:00Z</dcterms:created>
  <dcterms:modified xsi:type="dcterms:W3CDTF">2023-03-17T07:55:00Z</dcterms:modified>
</cp:coreProperties>
</file>