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21BC7100"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36474B">
        <w:rPr>
          <w:rFonts w:ascii="Arial" w:hAnsi="Arial" w:cs="Arial"/>
          <w:sz w:val="22"/>
          <w:szCs w:val="22"/>
        </w:rPr>
        <w:t>P</w:t>
      </w:r>
      <w:r w:rsidR="0036474B" w:rsidRPr="00243E55">
        <w:rPr>
          <w:rFonts w:ascii="Arial" w:hAnsi="Arial" w:cs="Arial"/>
          <w:sz w:val="22"/>
          <w:szCs w:val="22"/>
        </w:rPr>
        <w:t>renájom nebytového priestoru</w:t>
      </w:r>
      <w:r w:rsidR="0036474B">
        <w:rPr>
          <w:rFonts w:ascii="Arial" w:hAnsi="Arial" w:cs="Arial"/>
          <w:sz w:val="22"/>
          <w:szCs w:val="22"/>
        </w:rPr>
        <w:t xml:space="preserve">- </w:t>
      </w:r>
      <w:r w:rsidR="00C01977" w:rsidRPr="00C01977">
        <w:rPr>
          <w:rFonts w:ascii="Arial" w:hAnsi="Arial" w:cs="Arial"/>
          <w:sz w:val="22"/>
          <w:szCs w:val="22"/>
        </w:rPr>
        <w:t>miestnosť č. 1.02 o výmere 14,35 m2, miestnosť č. 1.03 o výmere 15,26 m2, miestnosť č. 1.04 o výmere 11,85 m2 a miestnosť č. 1.05 o výmere 4,23 m2, spolu o výmere 45,69 m2, nachádzajúce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2C0A975A" w14:textId="034E7752"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Pr="00CB4406">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6AE1B54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CB4406">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6D04332A" w:rsidR="00AF61DC" w:rsidRDefault="0036474B" w:rsidP="009B1FA5">
      <w:pPr>
        <w:pStyle w:val="Nadpis3"/>
        <w:tabs>
          <w:tab w:val="clear" w:pos="540"/>
        </w:tabs>
        <w:ind w:left="709"/>
        <w:rPr>
          <w:rFonts w:eastAsia="Arial" w:cs="Arial"/>
          <w:bCs/>
          <w:szCs w:val="20"/>
        </w:rPr>
      </w:pPr>
      <w:r>
        <w:rPr>
          <w:rFonts w:eastAsia="Arial" w:cs="Arial"/>
          <w:bCs/>
          <w:szCs w:val="20"/>
        </w:rPr>
        <w:t>p</w:t>
      </w:r>
      <w:r w:rsidRPr="0036474B">
        <w:rPr>
          <w:rFonts w:eastAsia="Arial" w:cs="Arial"/>
          <w:bCs/>
          <w:szCs w:val="20"/>
        </w:rPr>
        <w:t xml:space="preserve">renájom nebytového priestoru- </w:t>
      </w:r>
      <w:r w:rsidR="00C01977" w:rsidRPr="00C01977">
        <w:rPr>
          <w:rFonts w:eastAsia="Arial" w:cs="Arial"/>
          <w:bCs/>
          <w:szCs w:val="20"/>
        </w:rPr>
        <w:t>miestnosť č. 1.02 o výmere 14,35 m2, miestnosť č. 1.03 o výmere 15,26 m2, miestnosť č. 1.04 o výmere 11,85 m2 a miestnosť č. 1.05 o výmere 4,23 m2, spolu o výmere 45,69 m2, nachádzajúce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60B70D42"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C01977">
        <w:rPr>
          <w:rFonts w:ascii="Arial" w:hAnsi="Arial" w:cs="Arial"/>
          <w:b/>
          <w:bCs/>
          <w:sz w:val="20"/>
          <w:szCs w:val="20"/>
          <w:u w:val="single"/>
        </w:rPr>
        <w:t>30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C01977">
        <w:rPr>
          <w:rFonts w:ascii="Arial" w:hAnsi="Arial" w:cs="Arial"/>
          <w:b/>
          <w:bCs/>
          <w:sz w:val="20"/>
          <w:szCs w:val="20"/>
          <w:u w:val="single"/>
        </w:rPr>
        <w:t>tridsať</w:t>
      </w:r>
      <w:r w:rsidR="00574C8E">
        <w:rPr>
          <w:rFonts w:ascii="Arial" w:hAnsi="Arial" w:cs="Arial"/>
          <w:b/>
          <w:bCs/>
          <w:sz w:val="20"/>
          <w:szCs w:val="20"/>
          <w:u w:val="single"/>
        </w:rPr>
        <w:t xml:space="preserve"> </w:t>
      </w:r>
      <w:r>
        <w:rPr>
          <w:rFonts w:ascii="Arial" w:hAnsi="Arial" w:cs="Arial"/>
          <w:b/>
          <w:bCs/>
          <w:sz w:val="20"/>
          <w:szCs w:val="20"/>
          <w:u w:val="single"/>
        </w:rPr>
        <w:t>eur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68995AF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113DFB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DB4B2E">
        <w:rPr>
          <w:rFonts w:eastAsia="Arial Unicode MS" w:cs="Arial"/>
          <w:b/>
          <w:bCs/>
          <w:color w:val="000000"/>
          <w:szCs w:val="20"/>
        </w:rPr>
        <w:t>polr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5528BEC"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C01977">
        <w:rPr>
          <w:rFonts w:ascii="Arial" w:hAnsi="Arial" w:cs="Arial"/>
          <w:b/>
          <w:bCs/>
          <w:sz w:val="20"/>
          <w:szCs w:val="20"/>
        </w:rPr>
        <w:t>3</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6D54303F" w14:textId="77777777" w:rsidR="006C15F4" w:rsidRDefault="006C15F4" w:rsidP="000035AD">
      <w:pPr>
        <w:pStyle w:val="Odsekzoznamu"/>
        <w:ind w:left="502" w:firstLine="206"/>
        <w:jc w:val="both"/>
        <w:rPr>
          <w:rFonts w:ascii="Arial" w:hAnsi="Arial" w:cs="Arial"/>
          <w:sz w:val="20"/>
          <w:szCs w:val="20"/>
        </w:rPr>
      </w:pPr>
      <w:r>
        <w:rPr>
          <w:rFonts w:ascii="Arial" w:hAnsi="Arial" w:cs="Arial"/>
          <w:sz w:val="20"/>
          <w:szCs w:val="20"/>
        </w:rPr>
        <w:t xml:space="preserve">Ponuku je potrebné predložiť najneskôr do </w:t>
      </w:r>
      <w:r>
        <w:rPr>
          <w:rFonts w:ascii="Arial" w:hAnsi="Arial" w:cs="Arial"/>
          <w:b/>
          <w:bCs/>
          <w:sz w:val="20"/>
          <w:szCs w:val="20"/>
        </w:rPr>
        <w:t>03.04.2023</w:t>
      </w:r>
      <w:r>
        <w:rPr>
          <w:rFonts w:ascii="Arial" w:hAnsi="Arial" w:cs="Arial"/>
          <w:sz w:val="20"/>
          <w:szCs w:val="20"/>
        </w:rPr>
        <w:t xml:space="preserve">  v termíne </w:t>
      </w:r>
      <w:r>
        <w:rPr>
          <w:rFonts w:ascii="Arial" w:hAnsi="Arial" w:cs="Arial"/>
          <w:b/>
          <w:bCs/>
          <w:sz w:val="20"/>
          <w:szCs w:val="20"/>
        </w:rPr>
        <w:t xml:space="preserve">do 13:00 hod.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lastRenderedPageBreak/>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59DC" w14:textId="77777777" w:rsidR="00041A3F" w:rsidRDefault="00041A3F">
      <w:r>
        <w:separator/>
      </w:r>
    </w:p>
  </w:endnote>
  <w:endnote w:type="continuationSeparator" w:id="0">
    <w:p w14:paraId="55311C10" w14:textId="77777777" w:rsidR="00041A3F" w:rsidRDefault="0004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D6E7" w14:textId="77777777" w:rsidR="00041A3F" w:rsidRDefault="00041A3F">
      <w:r>
        <w:separator/>
      </w:r>
    </w:p>
  </w:footnote>
  <w:footnote w:type="continuationSeparator" w:id="0">
    <w:p w14:paraId="34A975D9" w14:textId="77777777" w:rsidR="00041A3F" w:rsidRDefault="0004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35AD"/>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5F4"/>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680283366">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3198</Words>
  <Characters>20106</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23258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2023-02-17T02:05:00Z</dcterms:created>
  <dcterms:modified xsi:type="dcterms:W3CDTF">2023-03-03T10:31:00Z</dcterms:modified>
</cp:coreProperties>
</file>