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C67F" w14:textId="77777777" w:rsidR="00983480" w:rsidRDefault="00983480">
      <w:pPr>
        <w:spacing w:after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5F5363C" w14:textId="77777777" w:rsidR="00F045BF" w:rsidRPr="00F045BF" w:rsidRDefault="00F045BF" w:rsidP="00F045BF">
      <w:pPr>
        <w:spacing w:after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045BF">
        <w:rPr>
          <w:rFonts w:ascii="Arial" w:eastAsia="Times New Roman" w:hAnsi="Arial" w:cs="Arial"/>
          <w:b/>
          <w:sz w:val="24"/>
          <w:szCs w:val="24"/>
          <w:lang w:eastAsia="cs-CZ"/>
        </w:rPr>
        <w:t>SPECIFIKACE MINIMÁLNÍCH TECHNICKÝCH PARAMETRŮ</w:t>
      </w:r>
    </w:p>
    <w:p w14:paraId="0B2E8573" w14:textId="3D05AA6F" w:rsidR="00F045BF" w:rsidRPr="00497B54" w:rsidRDefault="00F045BF" w:rsidP="00F045BF">
      <w:p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ÚVOD</w:t>
      </w:r>
    </w:p>
    <w:p w14:paraId="12C2449A" w14:textId="77777777" w:rsidR="00F045BF" w:rsidRPr="00497B54" w:rsidRDefault="00F045BF" w:rsidP="00F045BF">
      <w:p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Tyto standardy stanoví základní podmínky pro výstavbu, resp. provoz elektrického zařízení.</w:t>
      </w:r>
    </w:p>
    <w:p w14:paraId="41CE87C9" w14:textId="1027F5D2" w:rsidR="00F045BF" w:rsidRPr="00497B54" w:rsidRDefault="00F045BF" w:rsidP="00F045BF">
      <w:p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 xml:space="preserve">Jsou podkladem pro závazný předpis pro realizaci </w:t>
      </w:r>
      <w:r w:rsidR="00F01C48">
        <w:rPr>
          <w:rFonts w:ascii="Arial" w:eastAsia="Times New Roman" w:hAnsi="Arial" w:cs="Arial"/>
          <w:bCs/>
          <w:lang w:eastAsia="cs-CZ"/>
        </w:rPr>
        <w:t xml:space="preserve">rekonstrukce </w:t>
      </w:r>
      <w:r w:rsidR="00834384" w:rsidRPr="00834384">
        <w:rPr>
          <w:rFonts w:ascii="Arial" w:eastAsia="Times New Roman" w:hAnsi="Arial" w:cs="Arial"/>
          <w:bCs/>
          <w:lang w:eastAsia="cs-CZ"/>
        </w:rPr>
        <w:t>LED osvětlení fotbalového hřiště s U</w:t>
      </w:r>
      <w:r w:rsidR="00834384">
        <w:rPr>
          <w:rFonts w:ascii="Arial" w:eastAsia="Times New Roman" w:hAnsi="Arial" w:cs="Arial"/>
          <w:bCs/>
          <w:lang w:eastAsia="cs-CZ"/>
        </w:rPr>
        <w:t>M</w:t>
      </w:r>
      <w:r w:rsidR="00834384" w:rsidRPr="00834384">
        <w:rPr>
          <w:rFonts w:ascii="Arial" w:eastAsia="Times New Roman" w:hAnsi="Arial" w:cs="Arial"/>
          <w:bCs/>
          <w:lang w:eastAsia="cs-CZ"/>
        </w:rPr>
        <w:t xml:space="preserve">T </w:t>
      </w:r>
      <w:r w:rsidR="00F01C48">
        <w:rPr>
          <w:rFonts w:ascii="Arial" w:eastAsia="Times New Roman" w:hAnsi="Arial" w:cs="Arial"/>
          <w:bCs/>
          <w:lang w:eastAsia="cs-CZ"/>
        </w:rPr>
        <w:t xml:space="preserve">Znojmo </w:t>
      </w:r>
      <w:r w:rsidRPr="00497B54">
        <w:rPr>
          <w:rFonts w:ascii="Arial" w:eastAsia="Times New Roman" w:hAnsi="Arial" w:cs="Arial"/>
          <w:bCs/>
          <w:lang w:eastAsia="cs-CZ"/>
        </w:rPr>
        <w:t xml:space="preserve">pro investory a </w:t>
      </w:r>
      <w:proofErr w:type="gramStart"/>
      <w:r w:rsidRPr="00497B54">
        <w:rPr>
          <w:rFonts w:ascii="Arial" w:eastAsia="Times New Roman" w:hAnsi="Arial" w:cs="Arial"/>
          <w:bCs/>
          <w:lang w:eastAsia="cs-CZ"/>
        </w:rPr>
        <w:t>zhotovitele</w:t>
      </w:r>
      <w:proofErr w:type="gramEnd"/>
      <w:r w:rsidRPr="00497B54">
        <w:rPr>
          <w:rFonts w:ascii="Arial" w:eastAsia="Times New Roman" w:hAnsi="Arial" w:cs="Arial"/>
          <w:bCs/>
          <w:lang w:eastAsia="cs-CZ"/>
        </w:rPr>
        <w:t xml:space="preserve"> jak realizovat stavbu osvětlení.</w:t>
      </w:r>
    </w:p>
    <w:p w14:paraId="59D5B62A" w14:textId="1EDAE913" w:rsidR="00F045BF" w:rsidRPr="00497B54" w:rsidRDefault="00F045BF" w:rsidP="00F045BF">
      <w:p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Specifikace minimálních technických parametrů definuje minimální technické standardy tak, aby odstranil pochybnosti a nejasnosti při vypracování nabídek uchazečů předmětu díla včetně všech technických, ekonomických, provozních a smluvních kritérií. V dokumentu jsou vstupní informace, které jsou potřebné pro uchazeče na vypracování nabídek a zadavatele pro objektivní vyhodnocení navrhovaných řešení v nabídkách.</w:t>
      </w:r>
    </w:p>
    <w:p w14:paraId="76BA55C0" w14:textId="77777777" w:rsidR="00F045BF" w:rsidRPr="00497B54" w:rsidRDefault="00F045BF" w:rsidP="00F045BF">
      <w:p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6578A78D" w14:textId="77777777" w:rsidR="00F045BF" w:rsidRPr="00497B54" w:rsidRDefault="00F045BF" w:rsidP="00F045BF">
      <w:p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/>
          <w:lang w:eastAsia="cs-CZ"/>
        </w:rPr>
        <w:t>Cílem standardů je</w:t>
      </w:r>
      <w:r w:rsidRPr="00497B54">
        <w:rPr>
          <w:rFonts w:ascii="Arial" w:eastAsia="Times New Roman" w:hAnsi="Arial" w:cs="Arial"/>
          <w:bCs/>
          <w:lang w:eastAsia="cs-CZ"/>
        </w:rPr>
        <w:t>:</w:t>
      </w:r>
    </w:p>
    <w:p w14:paraId="60C0AF5A" w14:textId="77777777" w:rsidR="00F045BF" w:rsidRPr="00497B54" w:rsidRDefault="00F045BF" w:rsidP="00F045BF">
      <w:p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· Pro nové zařízení definovat postup výstavby a použitý materiál s cílem zajistit kompatibilitu s</w:t>
      </w:r>
    </w:p>
    <w:p w14:paraId="5B13F572" w14:textId="77777777" w:rsidR="00F045BF" w:rsidRPr="00497B54" w:rsidRDefault="00F045BF" w:rsidP="00F045BF">
      <w:p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stávajícím zařízením a minimalizovat nebo odstranit problémy s jeho připojením k současnému rozvodu.</w:t>
      </w:r>
    </w:p>
    <w:p w14:paraId="27BC09E1" w14:textId="77777777" w:rsidR="00F045BF" w:rsidRPr="00497B54" w:rsidRDefault="00F045BF" w:rsidP="00F045BF">
      <w:p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· Zajistit používání prověřených prvků, materiálů a postupů a na základě odborných znalostí a</w:t>
      </w:r>
    </w:p>
    <w:p w14:paraId="73D3D30E" w14:textId="77777777" w:rsidR="00F045BF" w:rsidRPr="00497B54" w:rsidRDefault="00F045BF" w:rsidP="00F045BF">
      <w:p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 xml:space="preserve">zkušeností stanovit jednoznačné požadavky na postupy a provedení stavby osvětlení tak, </w:t>
      </w:r>
      <w:proofErr w:type="gramStart"/>
      <w:r w:rsidRPr="00497B54">
        <w:rPr>
          <w:rFonts w:ascii="Arial" w:eastAsia="Times New Roman" w:hAnsi="Arial" w:cs="Arial"/>
          <w:bCs/>
          <w:lang w:eastAsia="cs-CZ"/>
        </w:rPr>
        <w:t>aby  následně</w:t>
      </w:r>
      <w:proofErr w:type="gramEnd"/>
      <w:r w:rsidRPr="00497B54">
        <w:rPr>
          <w:rFonts w:ascii="Arial" w:eastAsia="Times New Roman" w:hAnsi="Arial" w:cs="Arial"/>
          <w:bCs/>
          <w:lang w:eastAsia="cs-CZ"/>
        </w:rPr>
        <w:t xml:space="preserve"> instalované zařízení osvětlení bylo hospodárné používáno, vykazovalo vysoké užitné hodnoty a v provozu dosáhlo maximální životnost.</w:t>
      </w:r>
    </w:p>
    <w:p w14:paraId="4F7AD3E3" w14:textId="428A03E1" w:rsidR="00983480" w:rsidRPr="00497B54" w:rsidRDefault="00983480">
      <w:pPr>
        <w:spacing w:after="0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14:paraId="43C3B757" w14:textId="5735804D" w:rsidR="00834C23" w:rsidRPr="00497B54" w:rsidRDefault="00F045BF" w:rsidP="00F045BF">
      <w:pPr>
        <w:pStyle w:val="Odstavecseseznamem"/>
        <w:numPr>
          <w:ilvl w:val="0"/>
          <w:numId w:val="36"/>
        </w:numPr>
        <w:spacing w:after="0"/>
        <w:rPr>
          <w:rFonts w:ascii="Arial" w:eastAsia="Times New Roman" w:hAnsi="Arial" w:cs="Arial"/>
          <w:b/>
          <w:lang w:eastAsia="cs-CZ"/>
        </w:rPr>
      </w:pPr>
      <w:r w:rsidRPr="00497B54">
        <w:rPr>
          <w:rFonts w:ascii="Arial" w:eastAsia="Times New Roman" w:hAnsi="Arial" w:cs="Arial"/>
          <w:b/>
          <w:lang w:eastAsia="cs-CZ"/>
        </w:rPr>
        <w:t>Požadavky na výsledky osvětlení</w:t>
      </w:r>
    </w:p>
    <w:p w14:paraId="3A87E769" w14:textId="2179A021" w:rsidR="00F045BF" w:rsidRPr="00497B54" w:rsidRDefault="00F045BF" w:rsidP="001A2501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 xml:space="preserve">Základ zadání osvětlení fotbalového hřiště vychází z harmonizované normy ČSN EN 12193, avšak s upřesněním, potažmo zvýšením nároků na některé parametry, které zadavatel požaduje pro lepší </w:t>
      </w:r>
      <w:r w:rsidR="001A2501" w:rsidRPr="00497B54">
        <w:rPr>
          <w:rFonts w:ascii="Arial" w:eastAsia="Times New Roman" w:hAnsi="Arial" w:cs="Arial"/>
          <w:bCs/>
          <w:lang w:eastAsia="cs-CZ"/>
        </w:rPr>
        <w:t xml:space="preserve">a </w:t>
      </w:r>
      <w:r w:rsidRPr="00497B54">
        <w:rPr>
          <w:rFonts w:ascii="Arial" w:eastAsia="Times New Roman" w:hAnsi="Arial" w:cs="Arial"/>
          <w:bCs/>
          <w:lang w:eastAsia="cs-CZ"/>
        </w:rPr>
        <w:t>komfortn</w:t>
      </w:r>
      <w:r w:rsidR="001A2501" w:rsidRPr="00497B54">
        <w:rPr>
          <w:rFonts w:ascii="Arial" w:eastAsia="Times New Roman" w:hAnsi="Arial" w:cs="Arial"/>
          <w:bCs/>
          <w:lang w:eastAsia="cs-CZ"/>
        </w:rPr>
        <w:t>ější osvětlení. Je si vědom, že nová LED technologie již tyto parametry umožňuje splnit, a kdy původní norma je spíše zaměřena ještě na výbojkovou technologii.</w:t>
      </w:r>
    </w:p>
    <w:p w14:paraId="0FB57EBE" w14:textId="642A3106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 xml:space="preserve">Pro přesné posouzení nabídek a návrhů osvětlení proto zadavatel požaduje předložit světelný výpočet se zobrazením těchto údajů: </w:t>
      </w:r>
    </w:p>
    <w:p w14:paraId="41A79CE7" w14:textId="77777777" w:rsidR="00876791" w:rsidRPr="00497B54" w:rsidRDefault="00876791" w:rsidP="001A2501">
      <w:pPr>
        <w:spacing w:after="0"/>
        <w:rPr>
          <w:rFonts w:ascii="Arial" w:eastAsia="Times New Roman" w:hAnsi="Arial" w:cs="Arial"/>
          <w:bCs/>
          <w:lang w:eastAsia="cs-CZ"/>
        </w:rPr>
      </w:pPr>
    </w:p>
    <w:p w14:paraId="2DC3C603" w14:textId="77777777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1.</w:t>
      </w:r>
      <w:r w:rsidRPr="00497B54">
        <w:rPr>
          <w:rFonts w:ascii="Arial" w:eastAsia="Times New Roman" w:hAnsi="Arial" w:cs="Arial"/>
          <w:bCs/>
          <w:lang w:eastAsia="cs-CZ"/>
        </w:rPr>
        <w:tab/>
        <w:t>typy a počty svítidel</w:t>
      </w:r>
    </w:p>
    <w:p w14:paraId="4A903815" w14:textId="77777777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2.</w:t>
      </w:r>
      <w:r w:rsidRPr="00497B54">
        <w:rPr>
          <w:rFonts w:ascii="Arial" w:eastAsia="Times New Roman" w:hAnsi="Arial" w:cs="Arial"/>
          <w:bCs/>
          <w:lang w:eastAsia="cs-CZ"/>
        </w:rPr>
        <w:tab/>
        <w:t>bodové hodnoty udržovaných osvětleností na ploše hřiště</w:t>
      </w:r>
    </w:p>
    <w:p w14:paraId="19C4530D" w14:textId="77777777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3.</w:t>
      </w:r>
      <w:r w:rsidRPr="00497B54">
        <w:rPr>
          <w:rFonts w:ascii="Arial" w:eastAsia="Times New Roman" w:hAnsi="Arial" w:cs="Arial"/>
          <w:bCs/>
          <w:lang w:eastAsia="cs-CZ"/>
        </w:rPr>
        <w:tab/>
        <w:t>hodnoty rovnoměrností osvětleností U1 (Emin/</w:t>
      </w:r>
      <w:proofErr w:type="spellStart"/>
      <w:r w:rsidRPr="00497B54">
        <w:rPr>
          <w:rFonts w:ascii="Arial" w:eastAsia="Times New Roman" w:hAnsi="Arial" w:cs="Arial"/>
          <w:bCs/>
          <w:lang w:eastAsia="cs-CZ"/>
        </w:rPr>
        <w:t>Eprum</w:t>
      </w:r>
      <w:proofErr w:type="spellEnd"/>
      <w:r w:rsidRPr="00497B54">
        <w:rPr>
          <w:rFonts w:ascii="Arial" w:eastAsia="Times New Roman" w:hAnsi="Arial" w:cs="Arial"/>
          <w:bCs/>
          <w:lang w:eastAsia="cs-CZ"/>
        </w:rPr>
        <w:t>) a U2 Emin/</w:t>
      </w:r>
      <w:proofErr w:type="spellStart"/>
      <w:r w:rsidRPr="00497B54">
        <w:rPr>
          <w:rFonts w:ascii="Arial" w:eastAsia="Times New Roman" w:hAnsi="Arial" w:cs="Arial"/>
          <w:bCs/>
          <w:lang w:eastAsia="cs-CZ"/>
        </w:rPr>
        <w:t>Emax</w:t>
      </w:r>
      <w:proofErr w:type="spellEnd"/>
    </w:p>
    <w:p w14:paraId="1BB2CFE6" w14:textId="77777777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4.</w:t>
      </w:r>
      <w:r w:rsidRPr="00497B54">
        <w:rPr>
          <w:rFonts w:ascii="Arial" w:eastAsia="Times New Roman" w:hAnsi="Arial" w:cs="Arial"/>
          <w:bCs/>
          <w:lang w:eastAsia="cs-CZ"/>
        </w:rPr>
        <w:tab/>
        <w:t>hodnoty činitele oslnění GR</w:t>
      </w:r>
    </w:p>
    <w:p w14:paraId="35DE6A8B" w14:textId="01594E19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5.</w:t>
      </w:r>
      <w:r w:rsidRPr="00497B54">
        <w:rPr>
          <w:rFonts w:ascii="Arial" w:eastAsia="Times New Roman" w:hAnsi="Arial" w:cs="Arial"/>
          <w:bCs/>
          <w:lang w:eastAsia="cs-CZ"/>
        </w:rPr>
        <w:tab/>
        <w:t>udržovací činitel – plánovací údaje</w:t>
      </w:r>
    </w:p>
    <w:p w14:paraId="57511CCE" w14:textId="39FBF614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 xml:space="preserve">6. </w:t>
      </w:r>
      <w:r w:rsidRPr="00497B54">
        <w:rPr>
          <w:rFonts w:ascii="Arial" w:eastAsia="Times New Roman" w:hAnsi="Arial" w:cs="Arial"/>
          <w:bCs/>
          <w:lang w:eastAsia="cs-CZ"/>
        </w:rPr>
        <w:tab/>
        <w:t>podíl světla vyzařovaného do horního poloprostoru – ULR – plánovací údaje</w:t>
      </w:r>
    </w:p>
    <w:p w14:paraId="43F6993C" w14:textId="77777777" w:rsidR="00876791" w:rsidRPr="00497B54" w:rsidRDefault="00876791" w:rsidP="001A2501">
      <w:pPr>
        <w:spacing w:after="0"/>
        <w:rPr>
          <w:rFonts w:ascii="Arial" w:eastAsia="Times New Roman" w:hAnsi="Arial" w:cs="Arial"/>
          <w:bCs/>
          <w:lang w:eastAsia="cs-CZ"/>
        </w:rPr>
      </w:pPr>
    </w:p>
    <w:p w14:paraId="423E1EA3" w14:textId="77777777" w:rsidR="00876791" w:rsidRPr="00497B54" w:rsidRDefault="00876791">
      <w:pPr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br w:type="page"/>
      </w:r>
    </w:p>
    <w:p w14:paraId="30AA34FB" w14:textId="680E21AC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lastRenderedPageBreak/>
        <w:t xml:space="preserve">Navržené osvětlení musí odpovídat požadavkům ČSN EN 12193 na </w:t>
      </w:r>
      <w:r w:rsidR="00F01C48">
        <w:rPr>
          <w:rFonts w:ascii="Arial" w:eastAsia="Times New Roman" w:hAnsi="Arial" w:cs="Arial"/>
          <w:bCs/>
          <w:lang w:eastAsia="cs-CZ"/>
        </w:rPr>
        <w:t>I</w:t>
      </w:r>
      <w:r w:rsidRPr="00497B54">
        <w:rPr>
          <w:rFonts w:ascii="Arial" w:eastAsia="Times New Roman" w:hAnsi="Arial" w:cs="Arial"/>
          <w:bCs/>
          <w:lang w:eastAsia="cs-CZ"/>
        </w:rPr>
        <w:t xml:space="preserve">II. třídu </w:t>
      </w:r>
      <w:r w:rsidR="00E8027A">
        <w:rPr>
          <w:rFonts w:ascii="Arial" w:eastAsia="Times New Roman" w:hAnsi="Arial" w:cs="Arial"/>
          <w:bCs/>
          <w:lang w:eastAsia="cs-CZ"/>
        </w:rPr>
        <w:t>a k</w:t>
      </w:r>
      <w:r w:rsidRPr="00497B54">
        <w:rPr>
          <w:rFonts w:ascii="Arial" w:eastAsia="Times New Roman" w:hAnsi="Arial" w:cs="Arial"/>
          <w:bCs/>
          <w:lang w:eastAsia="cs-CZ"/>
        </w:rPr>
        <w:t xml:space="preserve">onkrétní požadavky </w:t>
      </w:r>
      <w:r w:rsidR="00E8027A">
        <w:rPr>
          <w:rFonts w:ascii="Arial" w:eastAsia="Times New Roman" w:hAnsi="Arial" w:cs="Arial"/>
          <w:bCs/>
          <w:lang w:eastAsia="cs-CZ"/>
        </w:rPr>
        <w:t xml:space="preserve">dle zadavatele </w:t>
      </w:r>
      <w:r w:rsidRPr="00497B54">
        <w:rPr>
          <w:rFonts w:ascii="Arial" w:eastAsia="Times New Roman" w:hAnsi="Arial" w:cs="Arial"/>
          <w:bCs/>
          <w:lang w:eastAsia="cs-CZ"/>
        </w:rPr>
        <w:t>v tabulce níže: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1"/>
      </w:tblGrid>
      <w:tr w:rsidR="001A2501" w:rsidRPr="00497B54" w14:paraId="00BC4E6E" w14:textId="77777777" w:rsidTr="00876791">
        <w:tc>
          <w:tcPr>
            <w:tcW w:w="4248" w:type="dxa"/>
          </w:tcPr>
          <w:p w14:paraId="44E7FA8B" w14:textId="19D8B78F" w:rsidR="001A2501" w:rsidRPr="00497B54" w:rsidRDefault="001A2501" w:rsidP="001A250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>Parametr</w:t>
            </w:r>
          </w:p>
        </w:tc>
        <w:tc>
          <w:tcPr>
            <w:tcW w:w="2551" w:type="dxa"/>
          </w:tcPr>
          <w:p w14:paraId="1A418A41" w14:textId="77777777" w:rsidR="00DF07A0" w:rsidRPr="00497B54" w:rsidRDefault="001A2501" w:rsidP="001A250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Požadavek dle </w:t>
            </w:r>
          </w:p>
          <w:p w14:paraId="12837819" w14:textId="04E32CFD" w:rsidR="001A2501" w:rsidRPr="00497B54" w:rsidRDefault="001A2501" w:rsidP="001A250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>ČSN EN 12193</w:t>
            </w:r>
          </w:p>
        </w:tc>
        <w:tc>
          <w:tcPr>
            <w:tcW w:w="2261" w:type="dxa"/>
          </w:tcPr>
          <w:p w14:paraId="1C2CFC99" w14:textId="77777777" w:rsidR="00DF07A0" w:rsidRPr="00497B54" w:rsidRDefault="001A2501" w:rsidP="001A2501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97B54">
              <w:rPr>
                <w:rFonts w:ascii="Arial" w:eastAsia="Times New Roman" w:hAnsi="Arial" w:cs="Arial"/>
                <w:b/>
                <w:lang w:eastAsia="cs-CZ"/>
              </w:rPr>
              <w:t xml:space="preserve">Požadavek </w:t>
            </w:r>
          </w:p>
          <w:p w14:paraId="58A30324" w14:textId="46148487" w:rsidR="001A2501" w:rsidRPr="00497B54" w:rsidRDefault="001A2501" w:rsidP="001A2501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97B54">
              <w:rPr>
                <w:rFonts w:ascii="Arial" w:eastAsia="Times New Roman" w:hAnsi="Arial" w:cs="Arial"/>
                <w:b/>
                <w:lang w:eastAsia="cs-CZ"/>
              </w:rPr>
              <w:t>zadavatele</w:t>
            </w:r>
          </w:p>
        </w:tc>
      </w:tr>
      <w:tr w:rsidR="001A2501" w:rsidRPr="00497B54" w14:paraId="266BABDE" w14:textId="77777777" w:rsidTr="00876791">
        <w:tc>
          <w:tcPr>
            <w:tcW w:w="4248" w:type="dxa"/>
          </w:tcPr>
          <w:p w14:paraId="44274D9D" w14:textId="77777777" w:rsidR="001A2501" w:rsidRPr="00497B54" w:rsidRDefault="001A2501" w:rsidP="001A250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Průměrná udržovaná horizontální osvětlenost v rovině </w:t>
            </w:r>
            <w:proofErr w:type="spell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>E</w:t>
            </w:r>
            <w:r w:rsidR="00DF07A0" w:rsidRPr="00497B54">
              <w:rPr>
                <w:rFonts w:ascii="Arial" w:eastAsia="Times New Roman" w:hAnsi="Arial" w:cs="Arial"/>
                <w:bCs/>
                <w:lang w:eastAsia="cs-CZ"/>
              </w:rPr>
              <w:t>pk</w:t>
            </w:r>
            <w:proofErr w:type="spellEnd"/>
          </w:p>
          <w:p w14:paraId="531976FA" w14:textId="32D94C50" w:rsidR="00876791" w:rsidRPr="00497B54" w:rsidRDefault="00876791" w:rsidP="001A250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Rozměr hřiště lajna x </w:t>
            </w:r>
            <w:proofErr w:type="gram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>lajna - 91x</w:t>
            </w:r>
            <w:proofErr w:type="gramEnd"/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 54m</w:t>
            </w:r>
          </w:p>
        </w:tc>
        <w:tc>
          <w:tcPr>
            <w:tcW w:w="2551" w:type="dxa"/>
          </w:tcPr>
          <w:p w14:paraId="12F62453" w14:textId="732F5463" w:rsidR="001A2501" w:rsidRPr="00497B54" w:rsidRDefault="00F01C48" w:rsidP="001A2501">
            <w:pPr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75</w:t>
            </w:r>
            <w:r w:rsidR="001A2501" w:rsidRPr="00497B54">
              <w:rPr>
                <w:rFonts w:ascii="Arial" w:eastAsia="Times New Roman" w:hAnsi="Arial" w:cs="Arial"/>
                <w:bCs/>
                <w:lang w:eastAsia="cs-CZ"/>
              </w:rPr>
              <w:t>Lx</w:t>
            </w:r>
          </w:p>
        </w:tc>
        <w:tc>
          <w:tcPr>
            <w:tcW w:w="2261" w:type="dxa"/>
          </w:tcPr>
          <w:p w14:paraId="07DC3862" w14:textId="4BC5E35F" w:rsidR="001A2501" w:rsidRPr="00497B54" w:rsidRDefault="00F01C48" w:rsidP="001A2501">
            <w:pPr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25</w:t>
            </w:r>
            <w:r w:rsidR="001A2501" w:rsidRPr="00497B54">
              <w:rPr>
                <w:rFonts w:ascii="Arial" w:eastAsia="Times New Roman" w:hAnsi="Arial" w:cs="Arial"/>
                <w:b/>
                <w:lang w:eastAsia="cs-CZ"/>
              </w:rPr>
              <w:t>0Lx</w:t>
            </w:r>
          </w:p>
        </w:tc>
      </w:tr>
      <w:tr w:rsidR="00876791" w:rsidRPr="00497B54" w14:paraId="1F4E606B" w14:textId="77777777" w:rsidTr="00876791">
        <w:tc>
          <w:tcPr>
            <w:tcW w:w="4248" w:type="dxa"/>
          </w:tcPr>
          <w:p w14:paraId="133788CA" w14:textId="756BA820" w:rsidR="00876791" w:rsidRPr="00497B54" w:rsidRDefault="00876791" w:rsidP="0087679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>Rovnoměrnost U1H (Emin/</w:t>
            </w:r>
            <w:proofErr w:type="spell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>Eave</w:t>
            </w:r>
            <w:proofErr w:type="spellEnd"/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) s velikost lajna x </w:t>
            </w:r>
            <w:proofErr w:type="gram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lajna - </w:t>
            </w:r>
            <w:r w:rsidR="00F01C48">
              <w:rPr>
                <w:rFonts w:ascii="Arial" w:eastAsia="Times New Roman" w:hAnsi="Arial" w:cs="Arial"/>
                <w:bCs/>
                <w:lang w:eastAsia="cs-CZ"/>
              </w:rPr>
              <w:t>56</w:t>
            </w:r>
            <w:r w:rsidRPr="00497B54"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gramEnd"/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F01C48">
              <w:rPr>
                <w:rFonts w:ascii="Arial" w:eastAsia="Times New Roman" w:hAnsi="Arial" w:cs="Arial"/>
                <w:bCs/>
                <w:lang w:eastAsia="cs-CZ"/>
              </w:rPr>
              <w:t>32</w:t>
            </w:r>
            <w:r w:rsidRPr="00497B54">
              <w:rPr>
                <w:rFonts w:ascii="Arial" w:eastAsia="Times New Roman" w:hAnsi="Arial" w:cs="Arial"/>
                <w:bCs/>
                <w:lang w:eastAsia="cs-CZ"/>
              </w:rPr>
              <w:t>m</w:t>
            </w:r>
          </w:p>
          <w:p w14:paraId="0527B6C6" w14:textId="54875B50" w:rsidR="00876791" w:rsidRPr="00497B54" w:rsidRDefault="00876791" w:rsidP="0087679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Rozměr hřiště lajna x </w:t>
            </w:r>
            <w:proofErr w:type="gram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>lajna - 91x</w:t>
            </w:r>
            <w:proofErr w:type="gramEnd"/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 54m</w:t>
            </w:r>
          </w:p>
        </w:tc>
        <w:tc>
          <w:tcPr>
            <w:tcW w:w="2551" w:type="dxa"/>
          </w:tcPr>
          <w:p w14:paraId="5F9B8FFC" w14:textId="6D98C273" w:rsidR="00876791" w:rsidRPr="00497B54" w:rsidRDefault="00876791" w:rsidP="00876791">
            <w:pPr>
              <w:rPr>
                <w:rFonts w:ascii="Arial" w:eastAsia="Times New Roman" w:hAnsi="Arial" w:cs="Arial"/>
                <w:bCs/>
                <w:lang w:eastAsia="cs-CZ"/>
              </w:rPr>
            </w:pPr>
            <w:proofErr w:type="gram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>&gt;=</w:t>
            </w:r>
            <w:proofErr w:type="gramEnd"/>
            <w:r w:rsidRPr="00497B54">
              <w:rPr>
                <w:rFonts w:ascii="Arial" w:eastAsia="Times New Roman" w:hAnsi="Arial" w:cs="Arial"/>
                <w:bCs/>
                <w:lang w:eastAsia="cs-CZ"/>
              </w:rPr>
              <w:t>0,</w:t>
            </w:r>
            <w:r w:rsidR="00F01C48">
              <w:rPr>
                <w:rFonts w:ascii="Arial" w:eastAsia="Times New Roman" w:hAnsi="Arial" w:cs="Arial"/>
                <w:bCs/>
                <w:lang w:eastAsia="cs-CZ"/>
              </w:rPr>
              <w:t>5</w:t>
            </w:r>
          </w:p>
        </w:tc>
        <w:tc>
          <w:tcPr>
            <w:tcW w:w="2261" w:type="dxa"/>
          </w:tcPr>
          <w:p w14:paraId="6DEFB061" w14:textId="51E95B7E" w:rsidR="00876791" w:rsidRPr="00497B54" w:rsidRDefault="00876791" w:rsidP="00876791">
            <w:pPr>
              <w:rPr>
                <w:rFonts w:ascii="Arial" w:eastAsia="Times New Roman" w:hAnsi="Arial" w:cs="Arial"/>
                <w:b/>
                <w:lang w:eastAsia="cs-CZ"/>
              </w:rPr>
            </w:pPr>
            <w:proofErr w:type="gramStart"/>
            <w:r w:rsidRPr="00497B54">
              <w:rPr>
                <w:rFonts w:ascii="Arial" w:eastAsia="Times New Roman" w:hAnsi="Arial" w:cs="Arial"/>
                <w:b/>
                <w:lang w:eastAsia="cs-CZ"/>
              </w:rPr>
              <w:t>&gt;=</w:t>
            </w:r>
            <w:proofErr w:type="gramEnd"/>
            <w:r w:rsidRPr="00497B54">
              <w:rPr>
                <w:rFonts w:ascii="Arial" w:eastAsia="Times New Roman" w:hAnsi="Arial" w:cs="Arial"/>
                <w:b/>
                <w:lang w:eastAsia="cs-CZ"/>
              </w:rPr>
              <w:t>0,</w:t>
            </w:r>
            <w:r w:rsidR="00F01C48">
              <w:rPr>
                <w:rFonts w:ascii="Arial" w:eastAsia="Times New Roman" w:hAnsi="Arial" w:cs="Arial"/>
                <w:b/>
                <w:lang w:eastAsia="cs-CZ"/>
              </w:rPr>
              <w:t>55</w:t>
            </w:r>
          </w:p>
        </w:tc>
      </w:tr>
      <w:tr w:rsidR="00876791" w:rsidRPr="00497B54" w14:paraId="2A0C67EB" w14:textId="77777777" w:rsidTr="00876791">
        <w:tc>
          <w:tcPr>
            <w:tcW w:w="4248" w:type="dxa"/>
          </w:tcPr>
          <w:p w14:paraId="56607964" w14:textId="5B8F3E01" w:rsidR="00876791" w:rsidRPr="00497B54" w:rsidRDefault="00876791" w:rsidP="0087679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>Rovnoměrnost U2H (</w:t>
            </w:r>
            <w:proofErr w:type="spell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>Eh</w:t>
            </w:r>
            <w:proofErr w:type="spellEnd"/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 min/</w:t>
            </w:r>
            <w:proofErr w:type="spell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>Emax</w:t>
            </w:r>
            <w:proofErr w:type="spellEnd"/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) Rozměr hřiště lajna x </w:t>
            </w:r>
            <w:proofErr w:type="gram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lajna - </w:t>
            </w:r>
            <w:r w:rsidR="00F01C48">
              <w:rPr>
                <w:rFonts w:ascii="Arial" w:eastAsia="Times New Roman" w:hAnsi="Arial" w:cs="Arial"/>
                <w:bCs/>
                <w:lang w:eastAsia="cs-CZ"/>
              </w:rPr>
              <w:t>56</w:t>
            </w:r>
            <w:r w:rsidRPr="00497B54">
              <w:rPr>
                <w:rFonts w:ascii="Arial" w:eastAsia="Times New Roman" w:hAnsi="Arial" w:cs="Arial"/>
                <w:bCs/>
                <w:lang w:eastAsia="cs-CZ"/>
              </w:rPr>
              <w:t>x</w:t>
            </w:r>
            <w:proofErr w:type="gramEnd"/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F01C48">
              <w:rPr>
                <w:rFonts w:ascii="Arial" w:eastAsia="Times New Roman" w:hAnsi="Arial" w:cs="Arial"/>
                <w:bCs/>
                <w:lang w:eastAsia="cs-CZ"/>
              </w:rPr>
              <w:t>32</w:t>
            </w:r>
            <w:r w:rsidRPr="00497B54">
              <w:rPr>
                <w:rFonts w:ascii="Arial" w:eastAsia="Times New Roman" w:hAnsi="Arial" w:cs="Arial"/>
                <w:bCs/>
                <w:lang w:eastAsia="cs-CZ"/>
              </w:rPr>
              <w:t>m</w:t>
            </w:r>
          </w:p>
        </w:tc>
        <w:tc>
          <w:tcPr>
            <w:tcW w:w="2551" w:type="dxa"/>
          </w:tcPr>
          <w:p w14:paraId="4E1DC8EB" w14:textId="2738C94D" w:rsidR="00876791" w:rsidRPr="00497B54" w:rsidRDefault="00876791" w:rsidP="00876791">
            <w:pPr>
              <w:pStyle w:val="Odstavecseseznamem"/>
              <w:numPr>
                <w:ilvl w:val="0"/>
                <w:numId w:val="37"/>
              </w:num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>Neuvedeno</w:t>
            </w:r>
          </w:p>
        </w:tc>
        <w:tc>
          <w:tcPr>
            <w:tcW w:w="2261" w:type="dxa"/>
          </w:tcPr>
          <w:p w14:paraId="67B1C62C" w14:textId="27407D27" w:rsidR="00876791" w:rsidRPr="00497B54" w:rsidRDefault="00876791" w:rsidP="00876791">
            <w:pPr>
              <w:rPr>
                <w:rFonts w:ascii="Arial" w:eastAsia="Times New Roman" w:hAnsi="Arial" w:cs="Arial"/>
                <w:b/>
                <w:lang w:eastAsia="cs-CZ"/>
              </w:rPr>
            </w:pPr>
            <w:proofErr w:type="gramStart"/>
            <w:r w:rsidRPr="00497B54">
              <w:rPr>
                <w:rFonts w:ascii="Arial" w:eastAsia="Times New Roman" w:hAnsi="Arial" w:cs="Arial"/>
                <w:b/>
                <w:lang w:eastAsia="cs-CZ"/>
              </w:rPr>
              <w:t>&gt;=</w:t>
            </w:r>
            <w:proofErr w:type="gramEnd"/>
            <w:r w:rsidRPr="00497B54">
              <w:rPr>
                <w:rFonts w:ascii="Arial" w:eastAsia="Times New Roman" w:hAnsi="Arial" w:cs="Arial"/>
                <w:b/>
                <w:lang w:eastAsia="cs-CZ"/>
              </w:rPr>
              <w:t>0,</w:t>
            </w:r>
            <w:r w:rsidR="00F01C48">
              <w:rPr>
                <w:rFonts w:ascii="Arial" w:eastAsia="Times New Roman" w:hAnsi="Arial" w:cs="Arial"/>
                <w:b/>
                <w:lang w:eastAsia="cs-CZ"/>
              </w:rPr>
              <w:t>35</w:t>
            </w:r>
          </w:p>
        </w:tc>
      </w:tr>
      <w:tr w:rsidR="00876791" w:rsidRPr="00497B54" w14:paraId="5747131A" w14:textId="77777777" w:rsidTr="00876791">
        <w:tc>
          <w:tcPr>
            <w:tcW w:w="4248" w:type="dxa"/>
          </w:tcPr>
          <w:p w14:paraId="73321BBA" w14:textId="7793731D" w:rsidR="00876791" w:rsidRPr="00497B54" w:rsidRDefault="00876791" w:rsidP="0087679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>Činitel oslnění</w:t>
            </w:r>
          </w:p>
        </w:tc>
        <w:tc>
          <w:tcPr>
            <w:tcW w:w="2551" w:type="dxa"/>
          </w:tcPr>
          <w:p w14:paraId="645E9C57" w14:textId="2283DB5C" w:rsidR="00876791" w:rsidRPr="00497B54" w:rsidRDefault="00876791" w:rsidP="00876791">
            <w:pPr>
              <w:rPr>
                <w:rFonts w:ascii="Arial" w:eastAsia="Times New Roman" w:hAnsi="Arial" w:cs="Arial"/>
                <w:bCs/>
                <w:lang w:val="en-US"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val="en-US" w:eastAsia="cs-CZ"/>
              </w:rPr>
              <w:t>&lt;=50</w:t>
            </w:r>
          </w:p>
        </w:tc>
        <w:tc>
          <w:tcPr>
            <w:tcW w:w="2261" w:type="dxa"/>
          </w:tcPr>
          <w:p w14:paraId="1CA0937E" w14:textId="563A42A9" w:rsidR="00876791" w:rsidRPr="00497B54" w:rsidRDefault="00876791" w:rsidP="00876791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97B54">
              <w:rPr>
                <w:rFonts w:ascii="Arial" w:eastAsia="Times New Roman" w:hAnsi="Arial" w:cs="Arial"/>
                <w:b/>
                <w:lang w:val="en-US" w:eastAsia="cs-CZ"/>
              </w:rPr>
              <w:t>&lt;=50</w:t>
            </w:r>
          </w:p>
        </w:tc>
      </w:tr>
      <w:tr w:rsidR="00876791" w:rsidRPr="00497B54" w14:paraId="285ADAEC" w14:textId="77777777" w:rsidTr="00876791">
        <w:tc>
          <w:tcPr>
            <w:tcW w:w="4248" w:type="dxa"/>
          </w:tcPr>
          <w:p w14:paraId="094949EF" w14:textId="09E56936" w:rsidR="00876791" w:rsidRPr="00497B54" w:rsidRDefault="00876791" w:rsidP="0087679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Náhradní teplota chromatičnosti </w:t>
            </w:r>
            <w:proofErr w:type="spell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>Tcp</w:t>
            </w:r>
            <w:proofErr w:type="spellEnd"/>
          </w:p>
        </w:tc>
        <w:tc>
          <w:tcPr>
            <w:tcW w:w="2551" w:type="dxa"/>
          </w:tcPr>
          <w:p w14:paraId="5BA6015B" w14:textId="43357485" w:rsidR="00876791" w:rsidRPr="00497B54" w:rsidRDefault="00876791" w:rsidP="00876791">
            <w:pPr>
              <w:rPr>
                <w:rFonts w:ascii="Arial" w:eastAsia="Times New Roman" w:hAnsi="Arial" w:cs="Arial"/>
                <w:bCs/>
                <w:lang w:val="en-US"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val="en-US" w:eastAsia="cs-CZ"/>
              </w:rPr>
              <w:t>4000-6500K</w:t>
            </w:r>
          </w:p>
        </w:tc>
        <w:tc>
          <w:tcPr>
            <w:tcW w:w="2261" w:type="dxa"/>
          </w:tcPr>
          <w:p w14:paraId="0A8EEE5B" w14:textId="1FBD7B72" w:rsidR="00876791" w:rsidRPr="00497B54" w:rsidRDefault="00876791" w:rsidP="00876791">
            <w:pPr>
              <w:rPr>
                <w:rFonts w:ascii="Arial" w:eastAsia="Times New Roman" w:hAnsi="Arial" w:cs="Arial"/>
                <w:b/>
                <w:lang w:val="en-US" w:eastAsia="cs-CZ"/>
              </w:rPr>
            </w:pPr>
            <w:r w:rsidRPr="00497B54">
              <w:rPr>
                <w:rFonts w:ascii="Arial" w:eastAsia="Times New Roman" w:hAnsi="Arial" w:cs="Arial"/>
                <w:b/>
                <w:lang w:val="en-US" w:eastAsia="cs-CZ"/>
              </w:rPr>
              <w:t>5000-6200K</w:t>
            </w:r>
          </w:p>
        </w:tc>
      </w:tr>
      <w:tr w:rsidR="00876791" w:rsidRPr="00497B54" w14:paraId="731EFA9D" w14:textId="77777777" w:rsidTr="00876791">
        <w:tc>
          <w:tcPr>
            <w:tcW w:w="4248" w:type="dxa"/>
          </w:tcPr>
          <w:p w14:paraId="2F613ECE" w14:textId="14331BFA" w:rsidR="00876791" w:rsidRPr="00497B54" w:rsidRDefault="00876791" w:rsidP="00876791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 xml:space="preserve">Index podání barev </w:t>
            </w:r>
            <w:proofErr w:type="spellStart"/>
            <w:r w:rsidRPr="00497B54">
              <w:rPr>
                <w:rFonts w:ascii="Arial" w:eastAsia="Times New Roman" w:hAnsi="Arial" w:cs="Arial"/>
                <w:bCs/>
                <w:lang w:eastAsia="cs-CZ"/>
              </w:rPr>
              <w:t>Ra</w:t>
            </w:r>
            <w:proofErr w:type="spellEnd"/>
          </w:p>
        </w:tc>
        <w:tc>
          <w:tcPr>
            <w:tcW w:w="2551" w:type="dxa"/>
          </w:tcPr>
          <w:p w14:paraId="40B3281F" w14:textId="705F7C52" w:rsidR="00876791" w:rsidRPr="00497B54" w:rsidRDefault="00876791" w:rsidP="00876791">
            <w:pPr>
              <w:rPr>
                <w:rFonts w:ascii="Arial" w:eastAsia="Times New Roman" w:hAnsi="Arial" w:cs="Arial"/>
                <w:bCs/>
                <w:lang w:val="en-US"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val="en-US" w:eastAsia="cs-CZ"/>
              </w:rPr>
              <w:t>60</w:t>
            </w:r>
          </w:p>
        </w:tc>
        <w:tc>
          <w:tcPr>
            <w:tcW w:w="2261" w:type="dxa"/>
          </w:tcPr>
          <w:p w14:paraId="34170B73" w14:textId="718065CF" w:rsidR="00876791" w:rsidRPr="00497B54" w:rsidRDefault="00876791" w:rsidP="00876791">
            <w:pPr>
              <w:rPr>
                <w:rFonts w:ascii="Arial" w:eastAsia="Times New Roman" w:hAnsi="Arial" w:cs="Arial"/>
                <w:b/>
                <w:lang w:val="en-US" w:eastAsia="cs-CZ"/>
              </w:rPr>
            </w:pPr>
            <w:r w:rsidRPr="00497B54">
              <w:rPr>
                <w:rFonts w:ascii="Arial" w:eastAsia="Times New Roman" w:hAnsi="Arial" w:cs="Arial"/>
                <w:b/>
                <w:lang w:val="en-US" w:eastAsia="cs-CZ"/>
              </w:rPr>
              <w:t>70</w:t>
            </w:r>
          </w:p>
        </w:tc>
      </w:tr>
      <w:tr w:rsidR="00876791" w:rsidRPr="00497B54" w14:paraId="06C66BA2" w14:textId="77777777" w:rsidTr="00876791">
        <w:tc>
          <w:tcPr>
            <w:tcW w:w="4248" w:type="dxa"/>
          </w:tcPr>
          <w:p w14:paraId="64D9B24E" w14:textId="77777777" w:rsidR="00876791" w:rsidRPr="00497B54" w:rsidRDefault="00876791" w:rsidP="00FE05F9">
            <w:pPr>
              <w:rPr>
                <w:rFonts w:ascii="Arial" w:eastAsia="Times New Roman" w:hAnsi="Arial" w:cs="Arial"/>
                <w:bCs/>
                <w:lang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eastAsia="cs-CZ"/>
              </w:rPr>
              <w:t>Udržovací činitel MF</w:t>
            </w:r>
          </w:p>
        </w:tc>
        <w:tc>
          <w:tcPr>
            <w:tcW w:w="2551" w:type="dxa"/>
          </w:tcPr>
          <w:p w14:paraId="0E9A58E5" w14:textId="77777777" w:rsidR="00876791" w:rsidRPr="00497B54" w:rsidRDefault="00876791" w:rsidP="00FE05F9">
            <w:pPr>
              <w:rPr>
                <w:rFonts w:ascii="Arial" w:eastAsia="Times New Roman" w:hAnsi="Arial" w:cs="Arial"/>
                <w:bCs/>
                <w:lang w:val="sk-SK" w:eastAsia="cs-CZ"/>
              </w:rPr>
            </w:pPr>
            <w:r w:rsidRPr="00497B54">
              <w:rPr>
                <w:rFonts w:ascii="Arial" w:eastAsia="Times New Roman" w:hAnsi="Arial" w:cs="Arial"/>
                <w:bCs/>
                <w:lang w:val="en-US" w:eastAsia="cs-CZ"/>
              </w:rPr>
              <w:t>0</w:t>
            </w:r>
            <w:r w:rsidRPr="00497B54">
              <w:rPr>
                <w:rFonts w:ascii="Arial" w:eastAsia="Times New Roman" w:hAnsi="Arial" w:cs="Arial"/>
                <w:bCs/>
                <w:lang w:val="sk-SK" w:eastAsia="cs-CZ"/>
              </w:rPr>
              <w:t>,8</w:t>
            </w:r>
          </w:p>
        </w:tc>
        <w:tc>
          <w:tcPr>
            <w:tcW w:w="2261" w:type="dxa"/>
          </w:tcPr>
          <w:p w14:paraId="5250F4A6" w14:textId="77777777" w:rsidR="00876791" w:rsidRPr="00497B54" w:rsidRDefault="00876791" w:rsidP="00FE05F9">
            <w:pPr>
              <w:rPr>
                <w:rFonts w:ascii="Arial" w:eastAsia="Times New Roman" w:hAnsi="Arial" w:cs="Arial"/>
                <w:b/>
                <w:lang w:val="en-US" w:eastAsia="cs-CZ"/>
              </w:rPr>
            </w:pPr>
            <w:r w:rsidRPr="00497B54">
              <w:rPr>
                <w:rFonts w:ascii="Arial" w:eastAsia="Times New Roman" w:hAnsi="Arial" w:cs="Arial"/>
                <w:b/>
                <w:lang w:val="en-US" w:eastAsia="cs-CZ"/>
              </w:rPr>
              <w:t>0,9 pro LED</w:t>
            </w:r>
          </w:p>
        </w:tc>
      </w:tr>
    </w:tbl>
    <w:p w14:paraId="12E0EEED" w14:textId="77777777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</w:p>
    <w:p w14:paraId="356C87CA" w14:textId="45549352" w:rsidR="001A2501" w:rsidRPr="00497B54" w:rsidRDefault="00497B54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Pro přesné srovnání návrhů osvětlení je požadováno použít následující zadání:</w:t>
      </w:r>
    </w:p>
    <w:p w14:paraId="58A48528" w14:textId="77777777" w:rsidR="00497B54" w:rsidRPr="00497B54" w:rsidRDefault="00497B54" w:rsidP="001A2501">
      <w:pPr>
        <w:spacing w:after="0"/>
        <w:rPr>
          <w:rFonts w:ascii="Arial" w:eastAsia="Times New Roman" w:hAnsi="Arial" w:cs="Arial"/>
          <w:bCs/>
          <w:lang w:eastAsia="cs-CZ"/>
        </w:rPr>
      </w:pPr>
    </w:p>
    <w:p w14:paraId="09D52E5D" w14:textId="5CF4CBD5" w:rsidR="001A2501" w:rsidRPr="00497B54" w:rsidRDefault="001A2501" w:rsidP="00E83EF9">
      <w:pPr>
        <w:spacing w:after="0"/>
        <w:ind w:left="708" w:hanging="708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•</w:t>
      </w:r>
      <w:r w:rsidRPr="00497B54">
        <w:rPr>
          <w:rFonts w:ascii="Arial" w:eastAsia="Times New Roman" w:hAnsi="Arial" w:cs="Arial"/>
          <w:bCs/>
          <w:lang w:eastAsia="cs-CZ"/>
        </w:rPr>
        <w:tab/>
        <w:t>dodáním výpočtu osvětlení v</w:t>
      </w:r>
      <w:r w:rsidR="00E83EF9">
        <w:rPr>
          <w:rFonts w:ascii="Arial" w:eastAsia="Times New Roman" w:hAnsi="Arial" w:cs="Arial"/>
          <w:bCs/>
          <w:lang w:eastAsia="cs-CZ"/>
        </w:rPr>
        <w:t>e formátu</w:t>
      </w:r>
      <w:r w:rsidRPr="00497B54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Pr="00497B54">
        <w:rPr>
          <w:rFonts w:ascii="Arial" w:eastAsia="Times New Roman" w:hAnsi="Arial" w:cs="Arial"/>
          <w:bCs/>
          <w:lang w:eastAsia="cs-CZ"/>
        </w:rPr>
        <w:t>pdf</w:t>
      </w:r>
      <w:proofErr w:type="spellEnd"/>
      <w:r w:rsidRPr="00497B54">
        <w:rPr>
          <w:rFonts w:ascii="Arial" w:eastAsia="Times New Roman" w:hAnsi="Arial" w:cs="Arial"/>
          <w:bCs/>
          <w:lang w:eastAsia="cs-CZ"/>
        </w:rPr>
        <w:t xml:space="preserve"> </w:t>
      </w:r>
      <w:r w:rsidR="00497B54" w:rsidRPr="00497B54">
        <w:rPr>
          <w:rFonts w:ascii="Arial" w:eastAsia="Times New Roman" w:hAnsi="Arial" w:cs="Arial"/>
          <w:bCs/>
          <w:lang w:eastAsia="cs-CZ"/>
        </w:rPr>
        <w:t>s uvedením všech výše uvedených parametrů</w:t>
      </w:r>
    </w:p>
    <w:p w14:paraId="52606D57" w14:textId="484A7F4C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•</w:t>
      </w:r>
      <w:r w:rsidRPr="00497B54">
        <w:rPr>
          <w:rFonts w:ascii="Arial" w:eastAsia="Times New Roman" w:hAnsi="Arial" w:cs="Arial"/>
          <w:bCs/>
          <w:lang w:eastAsia="cs-CZ"/>
        </w:rPr>
        <w:tab/>
        <w:t>Rozměr hřiště</w:t>
      </w:r>
      <w:r w:rsidR="00F01C48">
        <w:rPr>
          <w:rFonts w:ascii="Arial" w:eastAsia="Times New Roman" w:hAnsi="Arial" w:cs="Arial"/>
          <w:bCs/>
          <w:lang w:eastAsia="cs-CZ"/>
        </w:rPr>
        <w:t xml:space="preserve"> 60x35m,</w:t>
      </w:r>
      <w:r w:rsidRPr="00497B54">
        <w:rPr>
          <w:rFonts w:ascii="Arial" w:eastAsia="Times New Roman" w:hAnsi="Arial" w:cs="Arial"/>
          <w:bCs/>
          <w:lang w:eastAsia="cs-CZ"/>
        </w:rPr>
        <w:t xml:space="preserve"> </w:t>
      </w:r>
      <w:r w:rsidR="00497B54" w:rsidRPr="00497B54">
        <w:rPr>
          <w:rFonts w:ascii="Arial" w:eastAsia="Times New Roman" w:hAnsi="Arial" w:cs="Arial"/>
          <w:bCs/>
          <w:lang w:eastAsia="cs-CZ"/>
        </w:rPr>
        <w:t xml:space="preserve">lajna x lajna </w:t>
      </w:r>
      <w:r w:rsidR="00F01C48">
        <w:rPr>
          <w:rFonts w:ascii="Arial" w:eastAsia="Times New Roman" w:hAnsi="Arial" w:cs="Arial"/>
          <w:bCs/>
          <w:lang w:eastAsia="cs-CZ"/>
        </w:rPr>
        <w:t>56x32</w:t>
      </w:r>
      <w:r w:rsidR="00497B54" w:rsidRPr="00497B54">
        <w:rPr>
          <w:rFonts w:ascii="Arial" w:eastAsia="Times New Roman" w:hAnsi="Arial" w:cs="Arial"/>
          <w:bCs/>
          <w:lang w:eastAsia="cs-CZ"/>
        </w:rPr>
        <w:t>m</w:t>
      </w:r>
    </w:p>
    <w:p w14:paraId="584F8E5A" w14:textId="5E616DB5" w:rsidR="001A2501" w:rsidRPr="00497B54" w:rsidRDefault="001A2501" w:rsidP="001A2501">
      <w:pPr>
        <w:spacing w:after="0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•</w:t>
      </w:r>
      <w:r w:rsidRPr="00497B54">
        <w:rPr>
          <w:rFonts w:ascii="Arial" w:eastAsia="Times New Roman" w:hAnsi="Arial" w:cs="Arial"/>
          <w:bCs/>
          <w:lang w:eastAsia="cs-CZ"/>
        </w:rPr>
        <w:tab/>
        <w:t xml:space="preserve">Síť kontrolních bodů pro veškeré výpočty musí být </w:t>
      </w:r>
      <w:r w:rsidR="00E83EF9">
        <w:rPr>
          <w:rFonts w:ascii="Arial" w:eastAsia="Times New Roman" w:hAnsi="Arial" w:cs="Arial"/>
          <w:bCs/>
          <w:lang w:eastAsia="cs-CZ"/>
        </w:rPr>
        <w:t xml:space="preserve">min. </w:t>
      </w:r>
      <w:r w:rsidR="00497B54" w:rsidRPr="00497B54">
        <w:rPr>
          <w:rFonts w:ascii="Arial" w:eastAsia="Times New Roman" w:hAnsi="Arial" w:cs="Arial"/>
          <w:bCs/>
          <w:lang w:eastAsia="cs-CZ"/>
        </w:rPr>
        <w:t>1</w:t>
      </w:r>
      <w:r w:rsidR="00F01C48">
        <w:rPr>
          <w:rFonts w:ascii="Arial" w:eastAsia="Times New Roman" w:hAnsi="Arial" w:cs="Arial"/>
          <w:bCs/>
          <w:lang w:eastAsia="cs-CZ"/>
        </w:rPr>
        <w:t>7</w:t>
      </w:r>
      <w:r w:rsidRPr="00497B54">
        <w:rPr>
          <w:rFonts w:ascii="Arial" w:eastAsia="Times New Roman" w:hAnsi="Arial" w:cs="Arial"/>
          <w:bCs/>
          <w:lang w:eastAsia="cs-CZ"/>
        </w:rPr>
        <w:t>x</w:t>
      </w:r>
      <w:r w:rsidR="00F01C48">
        <w:rPr>
          <w:rFonts w:ascii="Arial" w:eastAsia="Times New Roman" w:hAnsi="Arial" w:cs="Arial"/>
          <w:bCs/>
          <w:lang w:eastAsia="cs-CZ"/>
        </w:rPr>
        <w:t>9</w:t>
      </w:r>
    </w:p>
    <w:p w14:paraId="7F14F42C" w14:textId="5B4C7B55" w:rsidR="001A2501" w:rsidRPr="00497B54" w:rsidRDefault="001A2501" w:rsidP="00E83EF9">
      <w:pPr>
        <w:spacing w:after="0"/>
        <w:ind w:left="708" w:hanging="708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•</w:t>
      </w:r>
      <w:r w:rsidRPr="00497B54">
        <w:rPr>
          <w:rFonts w:ascii="Arial" w:eastAsia="Times New Roman" w:hAnsi="Arial" w:cs="Arial"/>
          <w:bCs/>
          <w:lang w:eastAsia="cs-CZ"/>
        </w:rPr>
        <w:tab/>
        <w:t>Veškeré výpočty osvětleností budou provedeny ve výšce 0,15 m nad povrchem s odrazností trávníku max. 17 %</w:t>
      </w:r>
    </w:p>
    <w:p w14:paraId="5200E648" w14:textId="53BF7EF5" w:rsidR="001A2501" w:rsidRDefault="001A2501" w:rsidP="00E83EF9">
      <w:pPr>
        <w:spacing w:after="0"/>
        <w:ind w:left="708" w:hanging="708"/>
        <w:rPr>
          <w:rFonts w:ascii="Arial" w:eastAsia="Times New Roman" w:hAnsi="Arial" w:cs="Arial"/>
          <w:bCs/>
          <w:lang w:eastAsia="cs-CZ"/>
        </w:rPr>
      </w:pPr>
      <w:r w:rsidRPr="00497B54">
        <w:rPr>
          <w:rFonts w:ascii="Arial" w:eastAsia="Times New Roman" w:hAnsi="Arial" w:cs="Arial"/>
          <w:bCs/>
          <w:lang w:eastAsia="cs-CZ"/>
        </w:rPr>
        <w:t>•</w:t>
      </w:r>
      <w:r w:rsidRPr="00497B54">
        <w:rPr>
          <w:rFonts w:ascii="Arial" w:eastAsia="Times New Roman" w:hAnsi="Arial" w:cs="Arial"/>
          <w:bCs/>
          <w:lang w:eastAsia="cs-CZ"/>
        </w:rPr>
        <w:tab/>
        <w:t xml:space="preserve">Výpočet činitele oslnění GR bude proveden ve výšce 1,55 m nad povrchem s maximální odrazností trávníku 17 % v rastru sítě </w:t>
      </w:r>
      <w:r w:rsidR="00F01C48">
        <w:rPr>
          <w:rFonts w:ascii="Arial" w:eastAsia="Times New Roman" w:hAnsi="Arial" w:cs="Arial"/>
          <w:bCs/>
          <w:lang w:eastAsia="cs-CZ"/>
        </w:rPr>
        <w:t>10</w:t>
      </w:r>
      <w:r w:rsidRPr="00497B54">
        <w:rPr>
          <w:rFonts w:ascii="Arial" w:eastAsia="Times New Roman" w:hAnsi="Arial" w:cs="Arial"/>
          <w:bCs/>
          <w:lang w:eastAsia="cs-CZ"/>
        </w:rPr>
        <w:t>x</w:t>
      </w:r>
      <w:r w:rsidR="00F01C48">
        <w:rPr>
          <w:rFonts w:ascii="Arial" w:eastAsia="Times New Roman" w:hAnsi="Arial" w:cs="Arial"/>
          <w:bCs/>
          <w:lang w:eastAsia="cs-CZ"/>
        </w:rPr>
        <w:t>6</w:t>
      </w:r>
    </w:p>
    <w:p w14:paraId="35D5C6B2" w14:textId="77777777" w:rsidR="00497B54" w:rsidRPr="00497B54" w:rsidRDefault="00497B54" w:rsidP="001A2501">
      <w:pPr>
        <w:spacing w:after="0"/>
        <w:rPr>
          <w:rFonts w:ascii="Arial" w:eastAsia="Times New Roman" w:hAnsi="Arial" w:cs="Arial"/>
          <w:bCs/>
          <w:lang w:eastAsia="cs-CZ"/>
        </w:rPr>
      </w:pPr>
    </w:p>
    <w:p w14:paraId="41B5B37C" w14:textId="20C18C29" w:rsidR="00497B54" w:rsidRPr="00497B54" w:rsidRDefault="00497B54" w:rsidP="00497B54">
      <w:pPr>
        <w:pStyle w:val="Odstavecseseznamem"/>
        <w:numPr>
          <w:ilvl w:val="0"/>
          <w:numId w:val="36"/>
        </w:numPr>
        <w:spacing w:after="0"/>
        <w:rPr>
          <w:rFonts w:ascii="Arial" w:eastAsia="Times New Roman" w:hAnsi="Arial" w:cs="Arial"/>
          <w:b/>
          <w:lang w:eastAsia="cs-CZ"/>
        </w:rPr>
      </w:pPr>
      <w:r w:rsidRPr="00497B54">
        <w:rPr>
          <w:rFonts w:ascii="Arial" w:eastAsia="Times New Roman" w:hAnsi="Arial" w:cs="Arial"/>
          <w:b/>
          <w:lang w:eastAsia="cs-CZ"/>
        </w:rPr>
        <w:t xml:space="preserve">Požadavky na </w:t>
      </w:r>
      <w:r>
        <w:rPr>
          <w:rFonts w:ascii="Arial" w:eastAsia="Times New Roman" w:hAnsi="Arial" w:cs="Arial"/>
          <w:b/>
          <w:lang w:eastAsia="cs-CZ"/>
        </w:rPr>
        <w:t>omezení rušivého světla</w:t>
      </w:r>
    </w:p>
    <w:p w14:paraId="00A90B7F" w14:textId="1F45A565" w:rsidR="002F1BF1" w:rsidRDefault="00497B54" w:rsidP="00AA132C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Hřiště je umístěno </w:t>
      </w:r>
      <w:r w:rsidR="00F01C48">
        <w:rPr>
          <w:rFonts w:ascii="Arial" w:eastAsia="Times New Roman" w:hAnsi="Arial" w:cs="Arial"/>
          <w:bCs/>
          <w:lang w:eastAsia="cs-CZ"/>
        </w:rPr>
        <w:t xml:space="preserve">uvnitř města s vysokou </w:t>
      </w:r>
      <w:r w:rsidR="000E0155">
        <w:rPr>
          <w:rFonts w:ascii="Arial" w:eastAsia="Times New Roman" w:hAnsi="Arial" w:cs="Arial"/>
          <w:bCs/>
          <w:lang w:eastAsia="cs-CZ"/>
        </w:rPr>
        <w:t>husto</w:t>
      </w:r>
      <w:r w:rsidR="00F01C48">
        <w:rPr>
          <w:rFonts w:ascii="Arial" w:eastAsia="Times New Roman" w:hAnsi="Arial" w:cs="Arial"/>
          <w:bCs/>
          <w:lang w:eastAsia="cs-CZ"/>
        </w:rPr>
        <w:t>to</w:t>
      </w:r>
      <w:r w:rsidR="000E0155">
        <w:rPr>
          <w:rFonts w:ascii="Arial" w:eastAsia="Times New Roman" w:hAnsi="Arial" w:cs="Arial"/>
          <w:bCs/>
          <w:lang w:eastAsia="cs-CZ"/>
        </w:rPr>
        <w:t xml:space="preserve">u osídlení </w:t>
      </w:r>
      <w:r w:rsidR="00F01C48">
        <w:rPr>
          <w:rFonts w:ascii="Arial" w:eastAsia="Times New Roman" w:hAnsi="Arial" w:cs="Arial"/>
          <w:bCs/>
          <w:lang w:eastAsia="cs-CZ"/>
        </w:rPr>
        <w:t>a</w:t>
      </w:r>
      <w:r w:rsidR="000E0155">
        <w:rPr>
          <w:rFonts w:ascii="Arial" w:eastAsia="Times New Roman" w:hAnsi="Arial" w:cs="Arial"/>
          <w:bCs/>
          <w:lang w:eastAsia="cs-CZ"/>
        </w:rPr>
        <w:t xml:space="preserve"> blízkým kontaktem s okolní </w:t>
      </w:r>
      <w:r w:rsidR="00F01C48">
        <w:rPr>
          <w:rFonts w:ascii="Arial" w:eastAsia="Times New Roman" w:hAnsi="Arial" w:cs="Arial"/>
          <w:bCs/>
          <w:lang w:eastAsia="cs-CZ"/>
        </w:rPr>
        <w:t>bytovou zástavbou</w:t>
      </w:r>
      <w:r w:rsidR="000E0155">
        <w:rPr>
          <w:rFonts w:ascii="Arial" w:eastAsia="Times New Roman" w:hAnsi="Arial" w:cs="Arial"/>
          <w:bCs/>
          <w:lang w:eastAsia="cs-CZ"/>
        </w:rPr>
        <w:t xml:space="preserve">. </w:t>
      </w:r>
      <w:r w:rsidR="00F01C48">
        <w:rPr>
          <w:rFonts w:ascii="Arial" w:eastAsia="Times New Roman" w:hAnsi="Arial" w:cs="Arial"/>
          <w:bCs/>
          <w:lang w:eastAsia="cs-CZ"/>
        </w:rPr>
        <w:t xml:space="preserve">Tyto domy </w:t>
      </w:r>
      <w:r w:rsidR="000E0155">
        <w:rPr>
          <w:rFonts w:ascii="Arial" w:eastAsia="Times New Roman" w:hAnsi="Arial" w:cs="Arial"/>
          <w:bCs/>
          <w:lang w:eastAsia="cs-CZ"/>
        </w:rPr>
        <w:t xml:space="preserve">budou výstavbou osvětlení do jisté míry ovlivněny. Z toho důvodu je kladen důraz na minimalizaci rušivého světla vyzařovaného mimo hřiště. Zejména podíl horního toku ULR by </w:t>
      </w:r>
      <w:r w:rsidR="00DA0CBA">
        <w:rPr>
          <w:rFonts w:ascii="Arial" w:eastAsia="Times New Roman" w:hAnsi="Arial" w:cs="Arial"/>
          <w:bCs/>
          <w:lang w:eastAsia="cs-CZ"/>
        </w:rPr>
        <w:t>musí rovnat</w:t>
      </w:r>
      <w:r w:rsidR="000E0155">
        <w:rPr>
          <w:rFonts w:ascii="Arial" w:eastAsia="Times New Roman" w:hAnsi="Arial" w:cs="Arial"/>
          <w:bCs/>
          <w:lang w:eastAsia="cs-CZ"/>
        </w:rPr>
        <w:t xml:space="preserve"> nule, aby žádné světlo nebylo vyzařováno do horního poloprostoru</w:t>
      </w:r>
      <w:r w:rsidR="00F01C48">
        <w:rPr>
          <w:rFonts w:ascii="Arial" w:eastAsia="Times New Roman" w:hAnsi="Arial" w:cs="Arial"/>
          <w:bCs/>
          <w:lang w:eastAsia="cs-CZ"/>
        </w:rPr>
        <w:t xml:space="preserve">, aby nezvyšovalo závojový jas oblohy. </w:t>
      </w:r>
      <w:r w:rsidR="000E0155">
        <w:rPr>
          <w:rFonts w:ascii="Arial" w:eastAsia="Times New Roman" w:hAnsi="Arial" w:cs="Arial"/>
          <w:bCs/>
          <w:lang w:eastAsia="cs-CZ"/>
        </w:rPr>
        <w:t xml:space="preserve">Hřiště může </w:t>
      </w:r>
      <w:proofErr w:type="gramStart"/>
      <w:r w:rsidR="000E0155">
        <w:rPr>
          <w:rFonts w:ascii="Arial" w:eastAsia="Times New Roman" w:hAnsi="Arial" w:cs="Arial"/>
          <w:bCs/>
          <w:lang w:eastAsia="cs-CZ"/>
        </w:rPr>
        <w:t>být  zatříděno</w:t>
      </w:r>
      <w:proofErr w:type="gramEnd"/>
      <w:r w:rsidR="000E0155">
        <w:rPr>
          <w:rFonts w:ascii="Arial" w:eastAsia="Times New Roman" w:hAnsi="Arial" w:cs="Arial"/>
          <w:bCs/>
          <w:lang w:eastAsia="cs-CZ"/>
        </w:rPr>
        <w:t xml:space="preserve"> do zóny E</w:t>
      </w:r>
      <w:r w:rsidR="00DA0CBA">
        <w:rPr>
          <w:rFonts w:ascii="Arial" w:eastAsia="Times New Roman" w:hAnsi="Arial" w:cs="Arial"/>
          <w:bCs/>
          <w:lang w:eastAsia="cs-CZ"/>
        </w:rPr>
        <w:t>3</w:t>
      </w:r>
      <w:r w:rsidR="000E0155">
        <w:rPr>
          <w:rFonts w:ascii="Arial" w:eastAsia="Times New Roman" w:hAnsi="Arial" w:cs="Arial"/>
          <w:bCs/>
          <w:lang w:eastAsia="cs-CZ"/>
        </w:rPr>
        <w:t xml:space="preserve">, což představuje </w:t>
      </w:r>
      <w:r w:rsidR="00DA0CBA">
        <w:rPr>
          <w:rFonts w:ascii="Arial" w:eastAsia="Times New Roman" w:hAnsi="Arial" w:cs="Arial"/>
          <w:bCs/>
          <w:lang w:eastAsia="cs-CZ"/>
        </w:rPr>
        <w:t>středně</w:t>
      </w:r>
      <w:r w:rsidR="000E0155">
        <w:rPr>
          <w:rFonts w:ascii="Arial" w:eastAsia="Times New Roman" w:hAnsi="Arial" w:cs="Arial"/>
          <w:bCs/>
          <w:lang w:eastAsia="cs-CZ"/>
        </w:rPr>
        <w:t xml:space="preserve"> světlé oblasti jako průmyslová a obytné </w:t>
      </w:r>
      <w:r w:rsidR="00DA0CBA">
        <w:rPr>
          <w:rFonts w:ascii="Arial" w:eastAsia="Times New Roman" w:hAnsi="Arial" w:cs="Arial"/>
          <w:bCs/>
          <w:lang w:eastAsia="cs-CZ"/>
        </w:rPr>
        <w:t>předměstí</w:t>
      </w:r>
      <w:r w:rsidR="000E0155">
        <w:rPr>
          <w:rFonts w:ascii="Arial" w:eastAsia="Times New Roman" w:hAnsi="Arial" w:cs="Arial"/>
          <w:bCs/>
          <w:lang w:eastAsia="cs-CZ"/>
        </w:rPr>
        <w:t xml:space="preserve">. Tzn. požadavek na minimalizaci světla na objektech (na fasádě s okny) do </w:t>
      </w:r>
      <w:r w:rsidR="00DA0CBA">
        <w:rPr>
          <w:rFonts w:ascii="Arial" w:eastAsia="Times New Roman" w:hAnsi="Arial" w:cs="Arial"/>
          <w:bCs/>
          <w:lang w:eastAsia="cs-CZ"/>
        </w:rPr>
        <w:t>10</w:t>
      </w:r>
      <w:r w:rsidR="000E0155">
        <w:rPr>
          <w:rFonts w:ascii="Arial" w:eastAsia="Times New Roman" w:hAnsi="Arial" w:cs="Arial"/>
          <w:bCs/>
          <w:lang w:eastAsia="cs-CZ"/>
        </w:rPr>
        <w:t>Lx (v době mimo nočního klidu)</w:t>
      </w:r>
      <w:r w:rsidR="00AA132C">
        <w:rPr>
          <w:rFonts w:ascii="Arial" w:eastAsia="Times New Roman" w:hAnsi="Arial" w:cs="Arial"/>
          <w:bCs/>
          <w:lang w:eastAsia="cs-CZ"/>
        </w:rPr>
        <w:t xml:space="preserve"> a pak svítivost svítidla v potencionálně obtěžujícím směru do </w:t>
      </w:r>
      <w:r w:rsidR="00DA0CBA">
        <w:rPr>
          <w:rFonts w:ascii="Arial" w:eastAsia="Times New Roman" w:hAnsi="Arial" w:cs="Arial"/>
          <w:bCs/>
          <w:lang w:eastAsia="cs-CZ"/>
        </w:rPr>
        <w:t xml:space="preserve">10 </w:t>
      </w:r>
      <w:proofErr w:type="gramStart"/>
      <w:r w:rsidR="00DA0CBA">
        <w:rPr>
          <w:rFonts w:ascii="Arial" w:eastAsia="Times New Roman" w:hAnsi="Arial" w:cs="Arial"/>
          <w:bCs/>
          <w:lang w:eastAsia="cs-CZ"/>
        </w:rPr>
        <w:t>0</w:t>
      </w:r>
      <w:r w:rsidR="00AA132C">
        <w:rPr>
          <w:rFonts w:ascii="Arial" w:eastAsia="Times New Roman" w:hAnsi="Arial" w:cs="Arial"/>
          <w:bCs/>
          <w:lang w:eastAsia="cs-CZ"/>
        </w:rPr>
        <w:t>00cd</w:t>
      </w:r>
      <w:proofErr w:type="gramEnd"/>
      <w:r w:rsidR="00AA132C">
        <w:rPr>
          <w:rFonts w:ascii="Arial" w:eastAsia="Times New Roman" w:hAnsi="Arial" w:cs="Arial"/>
          <w:bCs/>
          <w:lang w:eastAsia="cs-CZ"/>
        </w:rPr>
        <w:t xml:space="preserve"> (v době mimo nočního klidu).</w:t>
      </w:r>
    </w:p>
    <w:p w14:paraId="4B5FE9CA" w14:textId="22C3E1DF" w:rsidR="00AA132C" w:rsidRPr="00E83EF9" w:rsidRDefault="00AA132C" w:rsidP="00AA132C">
      <w:pPr>
        <w:spacing w:after="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Tento požadavek je </w:t>
      </w:r>
      <w:r w:rsidR="00DA0CBA">
        <w:rPr>
          <w:rFonts w:ascii="Arial" w:eastAsia="Times New Roman" w:hAnsi="Arial" w:cs="Arial"/>
          <w:bCs/>
          <w:lang w:eastAsia="cs-CZ"/>
        </w:rPr>
        <w:t xml:space="preserve">třeba ověřit výpočtem min. pro rodinné domy na ulici </w:t>
      </w:r>
      <w:r w:rsidR="00F01C48">
        <w:rPr>
          <w:rFonts w:ascii="Arial" w:eastAsia="Times New Roman" w:hAnsi="Arial" w:cs="Arial"/>
          <w:bCs/>
          <w:lang w:eastAsia="cs-CZ"/>
        </w:rPr>
        <w:t>Jana Palacha č.p. 1262/11; 1263/9; 3619/9</w:t>
      </w:r>
      <w:r>
        <w:rPr>
          <w:rFonts w:ascii="Arial" w:eastAsia="Times New Roman" w:hAnsi="Arial" w:cs="Arial"/>
          <w:bCs/>
          <w:lang w:eastAsia="cs-CZ"/>
        </w:rPr>
        <w:t xml:space="preserve">, pro které je třeba rušivé světlo omezit. Omezení se provádí nejčastěji vhodně zvolenou </w:t>
      </w:r>
      <w:r w:rsidR="00ED46E1">
        <w:rPr>
          <w:rFonts w:ascii="Arial" w:eastAsia="Times New Roman" w:hAnsi="Arial" w:cs="Arial"/>
          <w:bCs/>
          <w:lang w:eastAsia="cs-CZ"/>
        </w:rPr>
        <w:t xml:space="preserve">charakteristikou vyzařování a případně nasazením omezujících krytů, které světlo oříznou v nežádoucím směru. Výsledky výpočtu je znovu požadováno </w:t>
      </w:r>
      <w:proofErr w:type="gramStart"/>
      <w:r w:rsidR="00ED46E1">
        <w:rPr>
          <w:rFonts w:ascii="Arial" w:eastAsia="Times New Roman" w:hAnsi="Arial" w:cs="Arial"/>
          <w:bCs/>
          <w:lang w:eastAsia="cs-CZ"/>
        </w:rPr>
        <w:t>předložit</w:t>
      </w:r>
      <w:proofErr w:type="gramEnd"/>
      <w:r w:rsidR="00ED46E1">
        <w:rPr>
          <w:rFonts w:ascii="Arial" w:eastAsia="Times New Roman" w:hAnsi="Arial" w:cs="Arial"/>
          <w:bCs/>
          <w:lang w:eastAsia="cs-CZ"/>
        </w:rPr>
        <w:t xml:space="preserve"> a to simulací tvaru RD – vložením kvadratického objektu do výpočtu a s určením výpočtu pro přivrácené strany, což ukáže hodnoty intenzit na fasádě. Dále pak vložením výpočtového bodu svítivosti do stejného místa jako jsou okna přivrácené strany fasády – to ukáže svítivost svítidla v potencionálně obtěžujícím směru. </w:t>
      </w:r>
      <w:r w:rsidR="00ED46E1" w:rsidRPr="00E83EF9">
        <w:rPr>
          <w:rFonts w:ascii="Arial" w:eastAsia="Times New Roman" w:hAnsi="Arial" w:cs="Arial"/>
          <w:b/>
          <w:lang w:eastAsia="cs-CZ"/>
        </w:rPr>
        <w:t>Výpočtem rušivého světla je tedy třeba prokázat:</w:t>
      </w:r>
    </w:p>
    <w:p w14:paraId="7EA1A730" w14:textId="77777777" w:rsidR="00ED46E1" w:rsidRPr="00ED46E1" w:rsidRDefault="00ED46E1" w:rsidP="00ED46E1">
      <w:pPr>
        <w:spacing w:after="0"/>
        <w:rPr>
          <w:rFonts w:ascii="Arial" w:eastAsia="Times New Roman" w:hAnsi="Arial" w:cs="Arial"/>
          <w:bCs/>
          <w:lang w:eastAsia="cs-CZ"/>
        </w:rPr>
      </w:pPr>
      <w:r w:rsidRPr="00ED46E1">
        <w:rPr>
          <w:rFonts w:ascii="Arial" w:eastAsia="Times New Roman" w:hAnsi="Arial" w:cs="Arial"/>
          <w:bCs/>
          <w:lang w:eastAsia="cs-CZ"/>
        </w:rPr>
        <w:t>•</w:t>
      </w:r>
      <w:r w:rsidRPr="00ED46E1">
        <w:rPr>
          <w:rFonts w:ascii="Arial" w:eastAsia="Times New Roman" w:hAnsi="Arial" w:cs="Arial"/>
          <w:bCs/>
          <w:lang w:eastAsia="cs-CZ"/>
        </w:rPr>
        <w:tab/>
        <w:t xml:space="preserve">Nesvítit do horního </w:t>
      </w:r>
      <w:proofErr w:type="gramStart"/>
      <w:r w:rsidRPr="00ED46E1">
        <w:rPr>
          <w:rFonts w:ascii="Arial" w:eastAsia="Times New Roman" w:hAnsi="Arial" w:cs="Arial"/>
          <w:bCs/>
          <w:lang w:eastAsia="cs-CZ"/>
        </w:rPr>
        <w:t>poloprostoru - Podíl</w:t>
      </w:r>
      <w:proofErr w:type="gramEnd"/>
      <w:r w:rsidRPr="00ED46E1">
        <w:rPr>
          <w:rFonts w:ascii="Arial" w:eastAsia="Times New Roman" w:hAnsi="Arial" w:cs="Arial"/>
          <w:bCs/>
          <w:lang w:eastAsia="cs-CZ"/>
        </w:rPr>
        <w:t xml:space="preserve"> horního toku ULR = 0%</w:t>
      </w:r>
    </w:p>
    <w:p w14:paraId="1A97D8AC" w14:textId="652D3D5D" w:rsidR="00ED46E1" w:rsidRPr="00ED46E1" w:rsidRDefault="00ED46E1" w:rsidP="00ED46E1">
      <w:pPr>
        <w:spacing w:after="0"/>
        <w:ind w:left="708" w:hanging="708"/>
        <w:rPr>
          <w:rFonts w:ascii="Arial" w:eastAsia="Times New Roman" w:hAnsi="Arial" w:cs="Arial"/>
          <w:bCs/>
          <w:lang w:eastAsia="cs-CZ"/>
        </w:rPr>
      </w:pPr>
      <w:r w:rsidRPr="00ED46E1">
        <w:rPr>
          <w:rFonts w:ascii="Arial" w:eastAsia="Times New Roman" w:hAnsi="Arial" w:cs="Arial"/>
          <w:bCs/>
          <w:lang w:eastAsia="cs-CZ"/>
        </w:rPr>
        <w:lastRenderedPageBreak/>
        <w:t>•</w:t>
      </w:r>
      <w:r w:rsidRPr="00ED46E1">
        <w:rPr>
          <w:rFonts w:ascii="Arial" w:eastAsia="Times New Roman" w:hAnsi="Arial" w:cs="Arial"/>
          <w:bCs/>
          <w:lang w:eastAsia="cs-CZ"/>
        </w:rPr>
        <w:tab/>
        <w:t xml:space="preserve">Limitovat vertikální složku osvětlení mimo </w:t>
      </w:r>
      <w:r>
        <w:rPr>
          <w:rFonts w:ascii="Arial" w:eastAsia="Times New Roman" w:hAnsi="Arial" w:cs="Arial"/>
          <w:bCs/>
          <w:lang w:eastAsia="cs-CZ"/>
        </w:rPr>
        <w:t>hřiště</w:t>
      </w:r>
      <w:r w:rsidRPr="00ED46E1">
        <w:rPr>
          <w:rFonts w:ascii="Arial" w:eastAsia="Times New Roman" w:hAnsi="Arial" w:cs="Arial"/>
          <w:bCs/>
          <w:lang w:eastAsia="cs-CZ"/>
        </w:rPr>
        <w:t xml:space="preserve"> – </w:t>
      </w:r>
      <w:proofErr w:type="gramStart"/>
      <w:r w:rsidRPr="00ED46E1">
        <w:rPr>
          <w:rFonts w:ascii="Arial" w:eastAsia="Times New Roman" w:hAnsi="Arial" w:cs="Arial"/>
          <w:bCs/>
          <w:lang w:eastAsia="cs-CZ"/>
        </w:rPr>
        <w:t>v  kruhu</w:t>
      </w:r>
      <w:proofErr w:type="gramEnd"/>
      <w:r w:rsidRPr="00ED46E1">
        <w:rPr>
          <w:rFonts w:ascii="Arial" w:eastAsia="Times New Roman" w:hAnsi="Arial" w:cs="Arial"/>
          <w:bCs/>
          <w:lang w:eastAsia="cs-CZ"/>
        </w:rPr>
        <w:t xml:space="preserve"> od </w:t>
      </w:r>
      <w:r w:rsidR="00C32A0B">
        <w:rPr>
          <w:rFonts w:ascii="Arial" w:eastAsia="Times New Roman" w:hAnsi="Arial" w:cs="Arial"/>
          <w:bCs/>
          <w:lang w:eastAsia="cs-CZ"/>
        </w:rPr>
        <w:t>60</w:t>
      </w:r>
      <w:r w:rsidRPr="00ED46E1">
        <w:rPr>
          <w:rFonts w:ascii="Arial" w:eastAsia="Times New Roman" w:hAnsi="Arial" w:cs="Arial"/>
          <w:bCs/>
          <w:lang w:eastAsia="cs-CZ"/>
        </w:rPr>
        <w:t xml:space="preserve">m (od středu hřiště) je požadováno mít světlo na objektech max. do </w:t>
      </w:r>
      <w:r w:rsidR="00C32A0B">
        <w:rPr>
          <w:rFonts w:ascii="Arial" w:eastAsia="Times New Roman" w:hAnsi="Arial" w:cs="Arial"/>
          <w:bCs/>
          <w:lang w:eastAsia="cs-CZ"/>
        </w:rPr>
        <w:t>10</w:t>
      </w:r>
      <w:r w:rsidRPr="00ED46E1">
        <w:rPr>
          <w:rFonts w:ascii="Arial" w:eastAsia="Times New Roman" w:hAnsi="Arial" w:cs="Arial"/>
          <w:bCs/>
          <w:lang w:eastAsia="cs-CZ"/>
        </w:rPr>
        <w:t>Lx s rostoucí vzdáleností musí významně klesat.</w:t>
      </w:r>
      <w:r>
        <w:rPr>
          <w:rFonts w:ascii="Arial" w:eastAsia="Times New Roman" w:hAnsi="Arial" w:cs="Arial"/>
          <w:bCs/>
          <w:lang w:eastAsia="cs-CZ"/>
        </w:rPr>
        <w:tab/>
      </w:r>
    </w:p>
    <w:p w14:paraId="3E9DC57E" w14:textId="1CF27DBC" w:rsidR="00ED46E1" w:rsidRDefault="00ED46E1" w:rsidP="00ED46E1">
      <w:pPr>
        <w:spacing w:after="0"/>
        <w:ind w:left="708" w:hanging="708"/>
        <w:rPr>
          <w:rFonts w:ascii="Arial" w:eastAsia="Times New Roman" w:hAnsi="Arial" w:cs="Arial"/>
          <w:bCs/>
          <w:lang w:eastAsia="cs-CZ"/>
        </w:rPr>
      </w:pPr>
      <w:r w:rsidRPr="00ED46E1">
        <w:rPr>
          <w:rFonts w:ascii="Arial" w:eastAsia="Times New Roman" w:hAnsi="Arial" w:cs="Arial"/>
          <w:bCs/>
          <w:lang w:eastAsia="cs-CZ"/>
        </w:rPr>
        <w:t>•</w:t>
      </w:r>
      <w:r w:rsidRPr="00ED46E1">
        <w:rPr>
          <w:rFonts w:ascii="Arial" w:eastAsia="Times New Roman" w:hAnsi="Arial" w:cs="Arial"/>
          <w:bCs/>
          <w:lang w:eastAsia="cs-CZ"/>
        </w:rPr>
        <w:tab/>
        <w:t xml:space="preserve">Omezit jasy svítidel – tzn. omezit svítivost každého zdroje světla v potencionálně </w:t>
      </w:r>
      <w:r>
        <w:rPr>
          <w:rFonts w:ascii="Arial" w:eastAsia="Times New Roman" w:hAnsi="Arial" w:cs="Arial"/>
          <w:bCs/>
          <w:lang w:eastAsia="cs-CZ"/>
        </w:rPr>
        <w:t xml:space="preserve">   </w:t>
      </w:r>
      <w:r w:rsidRPr="00ED46E1">
        <w:rPr>
          <w:rFonts w:ascii="Arial" w:eastAsia="Times New Roman" w:hAnsi="Arial" w:cs="Arial"/>
          <w:bCs/>
          <w:lang w:eastAsia="cs-CZ"/>
        </w:rPr>
        <w:t xml:space="preserve">obtěžujícím směru na hodnotu do </w:t>
      </w:r>
      <w:proofErr w:type="gramStart"/>
      <w:r w:rsidR="00C32A0B">
        <w:rPr>
          <w:rFonts w:ascii="Arial" w:eastAsia="Times New Roman" w:hAnsi="Arial" w:cs="Arial"/>
          <w:bCs/>
          <w:lang w:eastAsia="cs-CZ"/>
        </w:rPr>
        <w:t>100</w:t>
      </w:r>
      <w:r w:rsidRPr="00ED46E1">
        <w:rPr>
          <w:rFonts w:ascii="Arial" w:eastAsia="Times New Roman" w:hAnsi="Arial" w:cs="Arial"/>
          <w:bCs/>
          <w:lang w:eastAsia="cs-CZ"/>
        </w:rPr>
        <w:t>00cd</w:t>
      </w:r>
      <w:proofErr w:type="gramEnd"/>
    </w:p>
    <w:p w14:paraId="278B6BC2" w14:textId="77777777" w:rsidR="002A3062" w:rsidRDefault="002A3062" w:rsidP="002A3062">
      <w:pPr>
        <w:pStyle w:val="Odstavecseseznamem"/>
        <w:spacing w:after="240"/>
        <w:ind w:left="1134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2AB1BDFB" w14:textId="7FD20B1D" w:rsidR="002A3062" w:rsidRDefault="002A3062" w:rsidP="002A3062">
      <w:pPr>
        <w:pStyle w:val="Odstavecseseznamem"/>
        <w:spacing w:after="240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Po instalaci osvětlení dodá dodavatel písemnou zprávu o provedeném kontrolním měření osvětlenosti (na základě předložených světelně technických výpočtů ve výběrovém řízení) a to od nezávislé společnosti, která je pro tato měření certifikována.</w:t>
      </w:r>
    </w:p>
    <w:p w14:paraId="3BE31337" w14:textId="77777777" w:rsidR="00ED46E1" w:rsidRPr="00497B54" w:rsidRDefault="00ED46E1" w:rsidP="00ED46E1">
      <w:pPr>
        <w:spacing w:after="0"/>
        <w:ind w:left="708" w:hanging="708"/>
        <w:rPr>
          <w:rFonts w:ascii="Arial" w:eastAsia="Times New Roman" w:hAnsi="Arial" w:cs="Arial"/>
          <w:bCs/>
          <w:lang w:eastAsia="cs-CZ"/>
        </w:rPr>
      </w:pPr>
    </w:p>
    <w:p w14:paraId="1D36EFDE" w14:textId="6170B6BF" w:rsidR="00ED46E1" w:rsidRPr="00ED46E1" w:rsidRDefault="00ED46E1" w:rsidP="00ED46E1">
      <w:pPr>
        <w:pStyle w:val="Odstavecseseznamem"/>
        <w:numPr>
          <w:ilvl w:val="0"/>
          <w:numId w:val="36"/>
        </w:numPr>
        <w:spacing w:after="0"/>
        <w:rPr>
          <w:rFonts w:ascii="Arial" w:eastAsia="Times New Roman" w:hAnsi="Arial" w:cs="Arial"/>
          <w:b/>
          <w:lang w:eastAsia="cs-CZ"/>
        </w:rPr>
      </w:pPr>
      <w:r w:rsidRPr="00ED46E1">
        <w:rPr>
          <w:rFonts w:ascii="Arial" w:eastAsia="Times New Roman" w:hAnsi="Arial" w:cs="Arial"/>
          <w:b/>
          <w:lang w:eastAsia="cs-CZ"/>
        </w:rPr>
        <w:t xml:space="preserve">Požadavky </w:t>
      </w:r>
      <w:r>
        <w:rPr>
          <w:rFonts w:ascii="Arial" w:eastAsia="Times New Roman" w:hAnsi="Arial" w:cs="Arial"/>
          <w:b/>
          <w:lang w:eastAsia="cs-CZ"/>
        </w:rPr>
        <w:t>řešení osvětlení</w:t>
      </w:r>
    </w:p>
    <w:p w14:paraId="7F01AABF" w14:textId="2EA0C66B" w:rsidR="00E8027A" w:rsidRPr="00E8027A" w:rsidRDefault="00E8027A" w:rsidP="00E8027A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Osvětlení hřiště je navrženo provést ze čtyř </w:t>
      </w:r>
      <w:r w:rsidR="00C32A0B">
        <w:rPr>
          <w:rFonts w:ascii="Arial" w:eastAsia="Times New Roman" w:hAnsi="Arial" w:cs="Arial"/>
          <w:bCs/>
          <w:lang w:eastAsia="cs-CZ"/>
        </w:rPr>
        <w:t xml:space="preserve">stávajících </w:t>
      </w:r>
      <w:r>
        <w:rPr>
          <w:rFonts w:ascii="Arial" w:eastAsia="Times New Roman" w:hAnsi="Arial" w:cs="Arial"/>
          <w:bCs/>
          <w:lang w:eastAsia="cs-CZ"/>
        </w:rPr>
        <w:t xml:space="preserve">stožárů s nadzemní výškou </w:t>
      </w:r>
      <w:proofErr w:type="gramStart"/>
      <w:r>
        <w:rPr>
          <w:rFonts w:ascii="Arial" w:eastAsia="Times New Roman" w:hAnsi="Arial" w:cs="Arial"/>
          <w:bCs/>
          <w:lang w:eastAsia="cs-CZ"/>
        </w:rPr>
        <w:t>1</w:t>
      </w:r>
      <w:r w:rsidR="00C32A0B">
        <w:rPr>
          <w:rFonts w:ascii="Arial" w:eastAsia="Times New Roman" w:hAnsi="Arial" w:cs="Arial"/>
          <w:bCs/>
          <w:lang w:eastAsia="cs-CZ"/>
        </w:rPr>
        <w:t>2</w:t>
      </w:r>
      <w:r>
        <w:rPr>
          <w:rFonts w:ascii="Arial" w:eastAsia="Times New Roman" w:hAnsi="Arial" w:cs="Arial"/>
          <w:bCs/>
          <w:lang w:eastAsia="cs-CZ"/>
        </w:rPr>
        <w:t>m</w:t>
      </w:r>
      <w:proofErr w:type="gramEnd"/>
      <w:r>
        <w:rPr>
          <w:rFonts w:ascii="Arial" w:eastAsia="Times New Roman" w:hAnsi="Arial" w:cs="Arial"/>
          <w:bCs/>
          <w:lang w:eastAsia="cs-CZ"/>
        </w:rPr>
        <w:t xml:space="preserve">. Stožáry jsou umístěny </w:t>
      </w:r>
      <w:r w:rsidR="00C32A0B">
        <w:rPr>
          <w:rFonts w:ascii="Arial" w:eastAsia="Times New Roman" w:hAnsi="Arial" w:cs="Arial"/>
          <w:bCs/>
          <w:lang w:eastAsia="cs-CZ"/>
        </w:rPr>
        <w:t>v rozích hřiště</w:t>
      </w:r>
      <w:r>
        <w:rPr>
          <w:rFonts w:ascii="Arial" w:eastAsia="Times New Roman" w:hAnsi="Arial" w:cs="Arial"/>
          <w:bCs/>
          <w:lang w:eastAsia="cs-CZ"/>
        </w:rPr>
        <w:t xml:space="preserve">. </w:t>
      </w:r>
      <w:r w:rsidR="00C97046">
        <w:rPr>
          <w:rFonts w:ascii="Arial" w:eastAsia="Times New Roman" w:hAnsi="Arial" w:cs="Arial"/>
          <w:bCs/>
          <w:lang w:eastAsia="cs-CZ"/>
        </w:rPr>
        <w:t>Na každém stožáru je uvažován</w:t>
      </w:r>
      <w:r w:rsidR="00C32A0B">
        <w:rPr>
          <w:rFonts w:ascii="Arial" w:eastAsia="Times New Roman" w:hAnsi="Arial" w:cs="Arial"/>
          <w:bCs/>
          <w:lang w:eastAsia="cs-CZ"/>
        </w:rPr>
        <w:t xml:space="preserve"> kvůli nosnosti jen jeden </w:t>
      </w:r>
      <w:r w:rsidR="00C97046">
        <w:rPr>
          <w:rFonts w:ascii="Arial" w:eastAsia="Times New Roman" w:hAnsi="Arial" w:cs="Arial"/>
          <w:bCs/>
          <w:lang w:eastAsia="cs-CZ"/>
        </w:rPr>
        <w:t>LED světlomet</w:t>
      </w:r>
      <w:r w:rsidR="00C32A0B">
        <w:rPr>
          <w:rFonts w:ascii="Arial" w:eastAsia="Times New Roman" w:hAnsi="Arial" w:cs="Arial"/>
          <w:bCs/>
          <w:lang w:eastAsia="cs-CZ"/>
        </w:rPr>
        <w:t xml:space="preserve"> </w:t>
      </w:r>
      <w:proofErr w:type="gramStart"/>
      <w:r w:rsidR="00C32A0B">
        <w:rPr>
          <w:rFonts w:ascii="Arial" w:eastAsia="Times New Roman" w:hAnsi="Arial" w:cs="Arial"/>
          <w:bCs/>
          <w:lang w:eastAsia="cs-CZ"/>
        </w:rPr>
        <w:t>1550W</w:t>
      </w:r>
      <w:proofErr w:type="gramEnd"/>
      <w:r w:rsidR="00C97046">
        <w:rPr>
          <w:rFonts w:ascii="Arial" w:eastAsia="Times New Roman" w:hAnsi="Arial" w:cs="Arial"/>
          <w:bCs/>
          <w:lang w:eastAsia="cs-CZ"/>
        </w:rPr>
        <w:t xml:space="preserve">. </w:t>
      </w:r>
      <w:r>
        <w:rPr>
          <w:rFonts w:ascii="Arial" w:eastAsia="Times New Roman" w:hAnsi="Arial" w:cs="Arial"/>
          <w:bCs/>
          <w:lang w:eastAsia="cs-CZ"/>
        </w:rPr>
        <w:t xml:space="preserve">Osvětlení musí splňovat zvýšené požadavky (viz výše) </w:t>
      </w:r>
      <w:r w:rsidRPr="00E8027A">
        <w:rPr>
          <w:rFonts w:ascii="Arial" w:eastAsia="Times New Roman" w:hAnsi="Arial" w:cs="Arial"/>
          <w:bCs/>
          <w:lang w:eastAsia="cs-CZ"/>
        </w:rPr>
        <w:t xml:space="preserve">normy ČSN EN 12193 – osvětlovaní sportovišť, a to na </w:t>
      </w:r>
      <w:r w:rsidR="00C32A0B">
        <w:rPr>
          <w:rFonts w:ascii="Arial" w:eastAsia="Times New Roman" w:hAnsi="Arial" w:cs="Arial"/>
          <w:bCs/>
          <w:lang w:eastAsia="cs-CZ"/>
        </w:rPr>
        <w:t>I</w:t>
      </w:r>
      <w:r w:rsidRPr="00E8027A">
        <w:rPr>
          <w:rFonts w:ascii="Arial" w:eastAsia="Times New Roman" w:hAnsi="Arial" w:cs="Arial"/>
          <w:bCs/>
          <w:lang w:eastAsia="cs-CZ"/>
        </w:rPr>
        <w:t xml:space="preserve">II. třídu – </w:t>
      </w:r>
      <w:r w:rsidR="00C32A0B">
        <w:rPr>
          <w:rFonts w:ascii="Arial" w:eastAsia="Times New Roman" w:hAnsi="Arial" w:cs="Arial"/>
          <w:bCs/>
          <w:lang w:eastAsia="cs-CZ"/>
        </w:rPr>
        <w:t xml:space="preserve">s požadavkem na </w:t>
      </w:r>
      <w:r w:rsidRPr="00E8027A">
        <w:rPr>
          <w:rFonts w:ascii="Arial" w:eastAsia="Times New Roman" w:hAnsi="Arial" w:cs="Arial"/>
          <w:bCs/>
          <w:lang w:eastAsia="cs-CZ"/>
        </w:rPr>
        <w:t>průměrn</w:t>
      </w:r>
      <w:r w:rsidR="00C32A0B">
        <w:rPr>
          <w:rFonts w:ascii="Arial" w:eastAsia="Times New Roman" w:hAnsi="Arial" w:cs="Arial"/>
          <w:bCs/>
          <w:lang w:eastAsia="cs-CZ"/>
        </w:rPr>
        <w:t>ou</w:t>
      </w:r>
      <w:r w:rsidRPr="00E8027A">
        <w:rPr>
          <w:rFonts w:ascii="Arial" w:eastAsia="Times New Roman" w:hAnsi="Arial" w:cs="Arial"/>
          <w:bCs/>
          <w:lang w:eastAsia="cs-CZ"/>
        </w:rPr>
        <w:t xml:space="preserve"> konečná intenzit</w:t>
      </w:r>
      <w:r w:rsidR="00C32A0B">
        <w:rPr>
          <w:rFonts w:ascii="Arial" w:eastAsia="Times New Roman" w:hAnsi="Arial" w:cs="Arial"/>
          <w:bCs/>
          <w:lang w:eastAsia="cs-CZ"/>
        </w:rPr>
        <w:t>u</w:t>
      </w:r>
      <w:r w:rsidRPr="00E8027A">
        <w:rPr>
          <w:rFonts w:ascii="Arial" w:eastAsia="Times New Roman" w:hAnsi="Arial" w:cs="Arial"/>
          <w:bCs/>
          <w:lang w:eastAsia="cs-CZ"/>
        </w:rPr>
        <w:t xml:space="preserve"> min </w:t>
      </w:r>
      <w:r w:rsidR="00C32A0B">
        <w:rPr>
          <w:rFonts w:ascii="Arial" w:eastAsia="Times New Roman" w:hAnsi="Arial" w:cs="Arial"/>
          <w:bCs/>
          <w:lang w:eastAsia="cs-CZ"/>
        </w:rPr>
        <w:t>25</w:t>
      </w:r>
      <w:r w:rsidRPr="00E8027A">
        <w:rPr>
          <w:rFonts w:ascii="Arial" w:eastAsia="Times New Roman" w:hAnsi="Arial" w:cs="Arial"/>
          <w:bCs/>
          <w:lang w:eastAsia="cs-CZ"/>
        </w:rPr>
        <w:t>0Lx</w:t>
      </w:r>
      <w:r>
        <w:rPr>
          <w:rFonts w:ascii="Arial" w:eastAsia="Times New Roman" w:hAnsi="Arial" w:cs="Arial"/>
          <w:bCs/>
          <w:lang w:eastAsia="cs-CZ"/>
        </w:rPr>
        <w:t xml:space="preserve">. </w:t>
      </w:r>
    </w:p>
    <w:p w14:paraId="71BAB802" w14:textId="4B3CCBEA" w:rsidR="00E8027A" w:rsidRPr="00E8027A" w:rsidRDefault="00E8027A" w:rsidP="00E8027A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E8027A">
        <w:rPr>
          <w:rFonts w:ascii="Arial" w:eastAsia="Times New Roman" w:hAnsi="Arial" w:cs="Arial"/>
          <w:bCs/>
          <w:lang w:eastAsia="cs-CZ"/>
        </w:rPr>
        <w:t xml:space="preserve">Maximální celkový příkon soustavy hlavního osvětlení samotného hřiště nesmí překročit </w:t>
      </w:r>
      <w:r w:rsidR="00C32A0B">
        <w:rPr>
          <w:rFonts w:ascii="Arial" w:eastAsia="Times New Roman" w:hAnsi="Arial" w:cs="Arial"/>
          <w:bCs/>
          <w:lang w:eastAsia="cs-CZ"/>
        </w:rPr>
        <w:t>6,2</w:t>
      </w:r>
      <w:r w:rsidRPr="00E8027A">
        <w:rPr>
          <w:rFonts w:ascii="Arial" w:eastAsia="Times New Roman" w:hAnsi="Arial" w:cs="Arial"/>
          <w:bCs/>
          <w:lang w:eastAsia="cs-CZ"/>
        </w:rPr>
        <w:t>kW (100% provoz)</w:t>
      </w:r>
      <w:r>
        <w:rPr>
          <w:rFonts w:ascii="Arial" w:eastAsia="Times New Roman" w:hAnsi="Arial" w:cs="Arial"/>
          <w:bCs/>
          <w:lang w:eastAsia="cs-CZ"/>
        </w:rPr>
        <w:t xml:space="preserve"> a požadavek na jistič pro osvětlení nesmí překročit </w:t>
      </w:r>
      <w:proofErr w:type="gramStart"/>
      <w:r w:rsidR="00C32A0B">
        <w:rPr>
          <w:rFonts w:ascii="Arial" w:eastAsia="Times New Roman" w:hAnsi="Arial" w:cs="Arial"/>
          <w:bCs/>
          <w:lang w:eastAsia="cs-CZ"/>
        </w:rPr>
        <w:t>16</w:t>
      </w:r>
      <w:r>
        <w:rPr>
          <w:rFonts w:ascii="Arial" w:eastAsia="Times New Roman" w:hAnsi="Arial" w:cs="Arial"/>
          <w:bCs/>
          <w:lang w:eastAsia="cs-CZ"/>
        </w:rPr>
        <w:t>A</w:t>
      </w:r>
      <w:proofErr w:type="gramEnd"/>
      <w:r>
        <w:rPr>
          <w:rFonts w:ascii="Arial" w:eastAsia="Times New Roman" w:hAnsi="Arial" w:cs="Arial"/>
          <w:bCs/>
          <w:lang w:eastAsia="cs-CZ"/>
        </w:rPr>
        <w:t>/400V</w:t>
      </w:r>
      <w:r w:rsidRPr="00E8027A">
        <w:rPr>
          <w:rFonts w:ascii="Arial" w:eastAsia="Times New Roman" w:hAnsi="Arial" w:cs="Arial"/>
          <w:bCs/>
          <w:lang w:eastAsia="cs-CZ"/>
        </w:rPr>
        <w:t>.</w:t>
      </w:r>
    </w:p>
    <w:p w14:paraId="36E4F590" w14:textId="77777777" w:rsidR="00ED46E1" w:rsidRDefault="00ED46E1" w:rsidP="00ED46E1">
      <w:pPr>
        <w:pStyle w:val="Odstavecseseznamem"/>
        <w:spacing w:after="0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79D61A02" w14:textId="49929E77" w:rsidR="00ED46E1" w:rsidRPr="00ED46E1" w:rsidRDefault="00ED46E1" w:rsidP="00ED46E1">
      <w:pPr>
        <w:pStyle w:val="Odstavecseseznamem"/>
        <w:numPr>
          <w:ilvl w:val="0"/>
          <w:numId w:val="36"/>
        </w:numPr>
        <w:spacing w:after="0"/>
        <w:rPr>
          <w:rFonts w:ascii="Arial" w:eastAsia="Times New Roman" w:hAnsi="Arial" w:cs="Arial"/>
          <w:b/>
          <w:lang w:eastAsia="cs-CZ"/>
        </w:rPr>
      </w:pPr>
      <w:r w:rsidRPr="00ED46E1">
        <w:rPr>
          <w:rFonts w:ascii="Arial" w:eastAsia="Times New Roman" w:hAnsi="Arial" w:cs="Arial"/>
          <w:b/>
          <w:lang w:eastAsia="cs-CZ"/>
        </w:rPr>
        <w:t xml:space="preserve">Požadavky </w:t>
      </w:r>
      <w:r>
        <w:rPr>
          <w:rFonts w:ascii="Arial" w:eastAsia="Times New Roman" w:hAnsi="Arial" w:cs="Arial"/>
          <w:b/>
          <w:lang w:eastAsia="cs-CZ"/>
        </w:rPr>
        <w:t>LED svítidla</w:t>
      </w:r>
    </w:p>
    <w:p w14:paraId="5F3CF335" w14:textId="77777777" w:rsidR="00E83EF9" w:rsidRPr="00E83EF9" w:rsidRDefault="00E83EF9" w:rsidP="00E83EF9">
      <w:pPr>
        <w:pStyle w:val="Odstavecseseznamem"/>
        <w:spacing w:after="0"/>
        <w:rPr>
          <w:rFonts w:ascii="Arial" w:eastAsia="Times New Roman" w:hAnsi="Arial" w:cs="Arial"/>
          <w:bCs/>
          <w:lang w:eastAsia="cs-CZ"/>
        </w:rPr>
      </w:pPr>
    </w:p>
    <w:p w14:paraId="404B22BA" w14:textId="77777777" w:rsidR="00E83EF9" w:rsidRPr="00E83EF9" w:rsidRDefault="00E83EF9" w:rsidP="00E83EF9">
      <w:pPr>
        <w:pStyle w:val="Odstavecseseznamem"/>
        <w:spacing w:after="0"/>
        <w:rPr>
          <w:rFonts w:ascii="Arial" w:eastAsia="Times New Roman" w:hAnsi="Arial" w:cs="Arial"/>
          <w:bCs/>
          <w:lang w:eastAsia="cs-CZ"/>
        </w:rPr>
      </w:pPr>
    </w:p>
    <w:p w14:paraId="1D8017AF" w14:textId="1A3EA12F" w:rsidR="00E83EF9" w:rsidRDefault="00E83EF9" w:rsidP="00E83EF9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>Svítidlo musí splňovat požadavky na design, světelný výkon, příkon, chlazení a další materiálové požadavky. Celkový design svítidla podléhá schválení investora</w:t>
      </w:r>
    </w:p>
    <w:p w14:paraId="4C95BE07" w14:textId="77777777" w:rsidR="00E83EF9" w:rsidRDefault="00E83EF9" w:rsidP="0048639C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 xml:space="preserve">Svítidlo musí být originálně vybaveno pouze světelnými zdroji LED. Nesmí se jednat o tzv. </w:t>
      </w:r>
      <w:proofErr w:type="spellStart"/>
      <w:proofErr w:type="gramStart"/>
      <w:r w:rsidRPr="00E83EF9">
        <w:rPr>
          <w:rFonts w:ascii="Arial" w:eastAsia="Times New Roman" w:hAnsi="Arial" w:cs="Arial"/>
          <w:bCs/>
          <w:lang w:eastAsia="cs-CZ"/>
        </w:rPr>
        <w:t>retrofit</w:t>
      </w:r>
      <w:proofErr w:type="spellEnd"/>
      <w:r w:rsidRPr="00E83EF9">
        <w:rPr>
          <w:rFonts w:ascii="Arial" w:eastAsia="Times New Roman" w:hAnsi="Arial" w:cs="Arial"/>
          <w:bCs/>
          <w:lang w:eastAsia="cs-CZ"/>
        </w:rPr>
        <w:t>,  tj</w:t>
      </w:r>
      <w:proofErr w:type="gramEnd"/>
      <w:r w:rsidRPr="00E83EF9">
        <w:rPr>
          <w:rFonts w:ascii="Arial" w:eastAsia="Times New Roman" w:hAnsi="Arial" w:cs="Arial"/>
          <w:bCs/>
          <w:lang w:eastAsia="cs-CZ"/>
        </w:rPr>
        <w:t xml:space="preserve"> .svítidlo, které lze osadit jak konvenčními zdroji, tak zdroji LED</w:t>
      </w:r>
    </w:p>
    <w:p w14:paraId="46B6BBE4" w14:textId="4EB19C10" w:rsidR="00E83EF9" w:rsidRDefault="00E83EF9" w:rsidP="00D93071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>Svítidlo musí být chlazeno pouze pasivně, nikoliv aktivně za použití ventilátorů nebo podobných zařízení</w:t>
      </w:r>
    </w:p>
    <w:p w14:paraId="3153823D" w14:textId="77777777" w:rsidR="00E83EF9" w:rsidRDefault="00E83EF9" w:rsidP="00173998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 xml:space="preserve">Svítidlo se musí ve stejném designu vyrábět jak se </w:t>
      </w:r>
      <w:proofErr w:type="gramStart"/>
      <w:r w:rsidRPr="00E83EF9">
        <w:rPr>
          <w:rFonts w:ascii="Arial" w:eastAsia="Times New Roman" w:hAnsi="Arial" w:cs="Arial"/>
          <w:bCs/>
          <w:lang w:eastAsia="cs-CZ"/>
        </w:rPr>
        <w:t>symetrickými</w:t>
      </w:r>
      <w:proofErr w:type="gramEnd"/>
      <w:r w:rsidRPr="00E83EF9">
        <w:rPr>
          <w:rFonts w:ascii="Arial" w:eastAsia="Times New Roman" w:hAnsi="Arial" w:cs="Arial"/>
          <w:bCs/>
          <w:lang w:eastAsia="cs-CZ"/>
        </w:rPr>
        <w:t xml:space="preserve"> tak i asymetrickými optikami</w:t>
      </w:r>
    </w:p>
    <w:p w14:paraId="7438D23D" w14:textId="77777777" w:rsidR="00E83EF9" w:rsidRDefault="00E83EF9" w:rsidP="009D6A3E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>Svítidlo musí mít omezené vyzařování do horního poloprostoru a zjistit nulovou emisi do noční oblohy</w:t>
      </w:r>
    </w:p>
    <w:p w14:paraId="2077D0CD" w14:textId="721A641C" w:rsidR="00E83EF9" w:rsidRDefault="00E83EF9" w:rsidP="00556707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 xml:space="preserve">Korpus svítidla musí být vyroben </w:t>
      </w:r>
      <w:r>
        <w:rPr>
          <w:rFonts w:ascii="Arial" w:eastAsia="Times New Roman" w:hAnsi="Arial" w:cs="Arial"/>
          <w:bCs/>
          <w:lang w:eastAsia="cs-CZ"/>
        </w:rPr>
        <w:t xml:space="preserve">z </w:t>
      </w:r>
      <w:r w:rsidRPr="00E83EF9">
        <w:rPr>
          <w:rFonts w:ascii="Arial" w:eastAsia="Times New Roman" w:hAnsi="Arial" w:cs="Arial"/>
          <w:bCs/>
          <w:lang w:eastAsia="cs-CZ"/>
        </w:rPr>
        <w:t>hliníku</w:t>
      </w:r>
    </w:p>
    <w:p w14:paraId="58E74CC5" w14:textId="77777777" w:rsidR="00E83EF9" w:rsidRDefault="00E83EF9" w:rsidP="00E83EF9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H</w:t>
      </w:r>
      <w:r w:rsidRPr="00E83EF9">
        <w:rPr>
          <w:rFonts w:ascii="Arial" w:eastAsia="Times New Roman" w:hAnsi="Arial" w:cs="Arial"/>
          <w:bCs/>
          <w:lang w:eastAsia="cs-CZ"/>
        </w:rPr>
        <w:t xml:space="preserve">motnost 1 svítidla včetně napájecího </w:t>
      </w:r>
      <w:proofErr w:type="gramStart"/>
      <w:r w:rsidRPr="00E83EF9">
        <w:rPr>
          <w:rFonts w:ascii="Arial" w:eastAsia="Times New Roman" w:hAnsi="Arial" w:cs="Arial"/>
          <w:bCs/>
          <w:lang w:eastAsia="cs-CZ"/>
        </w:rPr>
        <w:t>zdroje  max.</w:t>
      </w:r>
      <w:proofErr w:type="gramEnd"/>
      <w:r w:rsidRPr="00E83EF9">
        <w:rPr>
          <w:rFonts w:ascii="Arial" w:eastAsia="Times New Roman" w:hAnsi="Arial" w:cs="Arial"/>
          <w:bCs/>
          <w:lang w:eastAsia="cs-CZ"/>
        </w:rPr>
        <w:t xml:space="preserve"> 23 kg</w:t>
      </w:r>
    </w:p>
    <w:p w14:paraId="0C6C9F48" w14:textId="07FEB391" w:rsidR="00E83EF9" w:rsidRDefault="00E83EF9" w:rsidP="000C10EF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 xml:space="preserve">Návětrná plocha svítidla </w:t>
      </w:r>
      <w:r>
        <w:rPr>
          <w:rFonts w:ascii="Arial" w:eastAsia="Times New Roman" w:hAnsi="Arial" w:cs="Arial"/>
          <w:bCs/>
          <w:lang w:eastAsia="cs-CZ"/>
        </w:rPr>
        <w:t xml:space="preserve">vč. napájecího zdroje </w:t>
      </w:r>
      <w:r w:rsidRPr="00E83EF9">
        <w:rPr>
          <w:rFonts w:ascii="Arial" w:eastAsia="Times New Roman" w:hAnsi="Arial" w:cs="Arial"/>
          <w:bCs/>
          <w:lang w:eastAsia="cs-CZ"/>
        </w:rPr>
        <w:t>při vyklonění do 60° max. 0,26 m2</w:t>
      </w:r>
    </w:p>
    <w:p w14:paraId="1F769120" w14:textId="40494039" w:rsidR="00E83EF9" w:rsidRDefault="00E83EF9" w:rsidP="00E83EF9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>Svítidlo musí zaručovat stupeň ochrany proti vniknutí cizích pevných těles a vody do optické části svítidla nejméně IP 66</w:t>
      </w:r>
    </w:p>
    <w:p w14:paraId="02B770E3" w14:textId="77777777" w:rsidR="00E83EF9" w:rsidRDefault="00E83EF9" w:rsidP="00D04D3D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>Optická část svítidla musí být konstrukčně těsná, tzn. že svítidlo nebude po celou dobu jeho životnosti uvnitř čištěno</w:t>
      </w:r>
    </w:p>
    <w:p w14:paraId="229400B2" w14:textId="77777777" w:rsidR="00E83EF9" w:rsidRDefault="00E83EF9" w:rsidP="009E0BC9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>Stupeň ochrany svítidla proti škodlivým mechanickým nárazům musí být nejméně IK 08</w:t>
      </w:r>
    </w:p>
    <w:p w14:paraId="2C1BB9EB" w14:textId="77777777" w:rsidR="00E83EF9" w:rsidRDefault="00E83EF9" w:rsidP="00503E5F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>Elektronický předřadník a optická část svítidla s LED zdroji musejí být odděleny, aby ne-docházelo ke vzájemné tepelné výměně</w:t>
      </w:r>
    </w:p>
    <w:p w14:paraId="311D9D9B" w14:textId="77777777" w:rsidR="00E83EF9" w:rsidRDefault="00E83EF9" w:rsidP="00E83EF9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 xml:space="preserve">Pro </w:t>
      </w:r>
      <w:proofErr w:type="gramStart"/>
      <w:r w:rsidRPr="00E83EF9">
        <w:rPr>
          <w:rFonts w:ascii="Arial" w:eastAsia="Times New Roman" w:hAnsi="Arial" w:cs="Arial"/>
          <w:bCs/>
          <w:lang w:eastAsia="cs-CZ"/>
        </w:rPr>
        <w:t>snadnější  instalaci</w:t>
      </w:r>
      <w:proofErr w:type="gramEnd"/>
      <w:r w:rsidRPr="00E83EF9">
        <w:rPr>
          <w:rFonts w:ascii="Arial" w:eastAsia="Times New Roman" w:hAnsi="Arial" w:cs="Arial"/>
          <w:bCs/>
          <w:lang w:eastAsia="cs-CZ"/>
        </w:rPr>
        <w:t xml:space="preserve"> a využití běžné kabeláže ke svítidlům musí být předřadníky součástí konstrukce svítidla, avšak konstrukčně odděleno od optické čás</w:t>
      </w:r>
      <w:r>
        <w:rPr>
          <w:rFonts w:ascii="Arial" w:eastAsia="Times New Roman" w:hAnsi="Arial" w:cs="Arial"/>
          <w:bCs/>
          <w:lang w:eastAsia="cs-CZ"/>
        </w:rPr>
        <w:t>t</w:t>
      </w:r>
      <w:r w:rsidRPr="00E83EF9">
        <w:rPr>
          <w:rFonts w:ascii="Arial" w:eastAsia="Times New Roman" w:hAnsi="Arial" w:cs="Arial"/>
          <w:bCs/>
          <w:lang w:eastAsia="cs-CZ"/>
        </w:rPr>
        <w:t>i</w:t>
      </w:r>
    </w:p>
    <w:p w14:paraId="0DC1C6A4" w14:textId="77777777" w:rsidR="00E83EF9" w:rsidRDefault="00E83EF9" w:rsidP="0067625B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lastRenderedPageBreak/>
        <w:t xml:space="preserve">Kvůli menší proudové zátěži se doporučuje mít svítidlo napájeno na dvě fáze </w:t>
      </w:r>
      <w:proofErr w:type="gramStart"/>
      <w:r w:rsidRPr="00E83EF9">
        <w:rPr>
          <w:rFonts w:ascii="Arial" w:eastAsia="Times New Roman" w:hAnsi="Arial" w:cs="Arial"/>
          <w:bCs/>
          <w:lang w:eastAsia="cs-CZ"/>
        </w:rPr>
        <w:t>400V</w:t>
      </w:r>
      <w:proofErr w:type="gramEnd"/>
      <w:r w:rsidRPr="00E83EF9">
        <w:rPr>
          <w:rFonts w:ascii="Arial" w:eastAsia="Times New Roman" w:hAnsi="Arial" w:cs="Arial"/>
          <w:bCs/>
          <w:lang w:eastAsia="cs-CZ"/>
        </w:rPr>
        <w:t>. Svítidlo musí být ve třídě ochrany I.</w:t>
      </w:r>
    </w:p>
    <w:p w14:paraId="3F3C1BFC" w14:textId="77777777" w:rsidR="00E83EF9" w:rsidRDefault="00E83EF9" w:rsidP="005D2B88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 xml:space="preserve">Elektronický předřadník musí v sobě mít integrovanou přepěťovou ochranu minimálně 10 </w:t>
      </w:r>
      <w:proofErr w:type="spellStart"/>
      <w:r w:rsidRPr="00E83EF9">
        <w:rPr>
          <w:rFonts w:ascii="Arial" w:eastAsia="Times New Roman" w:hAnsi="Arial" w:cs="Arial"/>
          <w:bCs/>
          <w:lang w:eastAsia="cs-CZ"/>
        </w:rPr>
        <w:t>kV</w:t>
      </w:r>
      <w:proofErr w:type="spellEnd"/>
    </w:p>
    <w:p w14:paraId="4B5BF7E5" w14:textId="77777777" w:rsidR="00E83EF9" w:rsidRDefault="00E83EF9" w:rsidP="00502D53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 xml:space="preserve">Účiník svítidla by měl být nejhůře 0,95 (při </w:t>
      </w:r>
      <w:proofErr w:type="gramStart"/>
      <w:r w:rsidRPr="00E83EF9">
        <w:rPr>
          <w:rFonts w:ascii="Arial" w:eastAsia="Times New Roman" w:hAnsi="Arial" w:cs="Arial"/>
          <w:bCs/>
          <w:lang w:eastAsia="cs-CZ"/>
        </w:rPr>
        <w:t>100%</w:t>
      </w:r>
      <w:proofErr w:type="gramEnd"/>
      <w:r w:rsidRPr="00E83EF9">
        <w:rPr>
          <w:rFonts w:ascii="Arial" w:eastAsia="Times New Roman" w:hAnsi="Arial" w:cs="Arial"/>
          <w:bCs/>
          <w:lang w:eastAsia="cs-CZ"/>
        </w:rPr>
        <w:t xml:space="preserve"> provozu)</w:t>
      </w:r>
    </w:p>
    <w:p w14:paraId="37C223DD" w14:textId="6CCB94C3" w:rsidR="00E83EF9" w:rsidRDefault="00E83EF9" w:rsidP="00AB40B6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 xml:space="preserve">Elektronický předřadník </w:t>
      </w:r>
      <w:r>
        <w:rPr>
          <w:rFonts w:ascii="Arial" w:eastAsia="Times New Roman" w:hAnsi="Arial" w:cs="Arial"/>
          <w:bCs/>
          <w:lang w:eastAsia="cs-CZ"/>
        </w:rPr>
        <w:t xml:space="preserve">a tím světelný výkon svítidla </w:t>
      </w:r>
      <w:r w:rsidRPr="00E83EF9">
        <w:rPr>
          <w:rFonts w:ascii="Arial" w:eastAsia="Times New Roman" w:hAnsi="Arial" w:cs="Arial"/>
          <w:bCs/>
          <w:lang w:eastAsia="cs-CZ"/>
        </w:rPr>
        <w:t xml:space="preserve">musí být možné řídit pomocí bezdrátového systému </w:t>
      </w:r>
    </w:p>
    <w:p w14:paraId="7D0477DB" w14:textId="57376A8E" w:rsidR="00E83EF9" w:rsidRDefault="00E83EF9" w:rsidP="005F7236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>Elektronický předřadník musí být postupně spínaný s naprostou eliminací náběhového proudu – důležité p</w:t>
      </w:r>
      <w:r>
        <w:rPr>
          <w:rFonts w:ascii="Arial" w:eastAsia="Times New Roman" w:hAnsi="Arial" w:cs="Arial"/>
          <w:bCs/>
          <w:lang w:eastAsia="cs-CZ"/>
        </w:rPr>
        <w:t>ro nepřetížení hlavního jističe a ovlivnění stykačů</w:t>
      </w:r>
    </w:p>
    <w:p w14:paraId="69711E50" w14:textId="77777777" w:rsidR="00E83EF9" w:rsidRDefault="00E83EF9" w:rsidP="008630B5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>Životnost světelných zdrojů LED garantovaná výrobcem musí být minimálně 60 000 ho-din provozu, přičemž pokles světelného toku zdrojů LED nebude vyšší než 10 %</w:t>
      </w:r>
    </w:p>
    <w:p w14:paraId="2B4B02B7" w14:textId="03FFBAA8" w:rsidR="00E83EF9" w:rsidRPr="00E83EF9" w:rsidRDefault="00E83EF9" w:rsidP="007F56B6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 xml:space="preserve">Vlastnosti svítidla musí být doloženy certifikovanou zkušebnou a to certifikátem od autorizované zkušebny např. DEKRA nebo </w:t>
      </w:r>
      <w:proofErr w:type="gramStart"/>
      <w:r w:rsidRPr="00E83EF9">
        <w:rPr>
          <w:rFonts w:ascii="Arial" w:eastAsia="Times New Roman" w:hAnsi="Arial" w:cs="Arial"/>
          <w:bCs/>
          <w:lang w:eastAsia="cs-CZ"/>
        </w:rPr>
        <w:t>podobné ,</w:t>
      </w:r>
      <w:proofErr w:type="gramEnd"/>
      <w:r w:rsidRPr="00E83EF9">
        <w:rPr>
          <w:rFonts w:ascii="Arial" w:eastAsia="Times New Roman" w:hAnsi="Arial" w:cs="Arial"/>
          <w:bCs/>
          <w:lang w:eastAsia="cs-CZ"/>
        </w:rPr>
        <w:t xml:space="preserve"> a to na provedení zkoušek zejména: na CE prohlášení o shodě, na krytí IP66,  bezpečnost výrobku, bezpečnost na úder míčem DIN18032 a na měření účinnosti dle IES LM79-08</w:t>
      </w:r>
    </w:p>
    <w:p w14:paraId="004BDFD2" w14:textId="3201AC5E" w:rsidR="00ED46E1" w:rsidRPr="00726D11" w:rsidRDefault="00E83EF9" w:rsidP="007F56B6">
      <w:pPr>
        <w:pStyle w:val="Odstavecseseznamem"/>
        <w:numPr>
          <w:ilvl w:val="1"/>
          <w:numId w:val="36"/>
        </w:numPr>
        <w:spacing w:after="0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E83EF9">
        <w:rPr>
          <w:rFonts w:ascii="Arial" w:eastAsia="Times New Roman" w:hAnsi="Arial" w:cs="Arial"/>
          <w:bCs/>
          <w:lang w:eastAsia="cs-CZ"/>
        </w:rPr>
        <w:t>Je požadován minimální index podání barev CRI =&gt;7</w:t>
      </w:r>
      <w:r>
        <w:rPr>
          <w:rFonts w:ascii="Arial" w:eastAsia="Times New Roman" w:hAnsi="Arial" w:cs="Arial"/>
          <w:bCs/>
          <w:lang w:eastAsia="cs-CZ"/>
        </w:rPr>
        <w:t>0</w:t>
      </w:r>
    </w:p>
    <w:p w14:paraId="16337066" w14:textId="77777777" w:rsidR="00726D11" w:rsidRPr="00726D11" w:rsidRDefault="00726D11" w:rsidP="00726D11">
      <w:pPr>
        <w:pStyle w:val="Odstavecseseznamem"/>
        <w:numPr>
          <w:ilvl w:val="1"/>
          <w:numId w:val="36"/>
        </w:numPr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726D11">
        <w:rPr>
          <w:rFonts w:ascii="Arial" w:eastAsia="Times New Roman" w:hAnsi="Arial" w:cs="Arial"/>
          <w:bCs/>
          <w:sz w:val="24"/>
          <w:szCs w:val="24"/>
          <w:lang w:eastAsia="cs-CZ"/>
        </w:rPr>
        <w:t>Minimální záruka na celou osvětlovací soustavu bude 5 let.</w:t>
      </w:r>
    </w:p>
    <w:p w14:paraId="053E67B8" w14:textId="77777777" w:rsidR="00726D11" w:rsidRPr="00E83EF9" w:rsidRDefault="00726D11" w:rsidP="00726D11">
      <w:pPr>
        <w:pStyle w:val="Odstavecseseznamem"/>
        <w:spacing w:after="0"/>
        <w:ind w:left="1092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376D1C7B" w14:textId="77777777" w:rsidR="0087340D" w:rsidRPr="00ED46E1" w:rsidRDefault="0087340D" w:rsidP="00ED46E1">
      <w:pPr>
        <w:spacing w:after="0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sectPr w:rsidR="0087340D" w:rsidRPr="00ED46E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D09E" w14:textId="77777777" w:rsidR="00DE0288" w:rsidRDefault="00DE0288" w:rsidP="007966B6">
      <w:pPr>
        <w:spacing w:after="0" w:line="240" w:lineRule="auto"/>
      </w:pPr>
      <w:r>
        <w:separator/>
      </w:r>
    </w:p>
  </w:endnote>
  <w:endnote w:type="continuationSeparator" w:id="0">
    <w:p w14:paraId="31AB34E6" w14:textId="77777777" w:rsidR="00DE0288" w:rsidRDefault="00DE0288" w:rsidP="0079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602A" w14:textId="77777777" w:rsidR="00DE0288" w:rsidRDefault="00DE0288" w:rsidP="007966B6">
      <w:pPr>
        <w:spacing w:after="0" w:line="240" w:lineRule="auto"/>
      </w:pPr>
      <w:r>
        <w:separator/>
      </w:r>
    </w:p>
  </w:footnote>
  <w:footnote w:type="continuationSeparator" w:id="0">
    <w:p w14:paraId="4EF0143B" w14:textId="77777777" w:rsidR="00DE0288" w:rsidRDefault="00DE0288" w:rsidP="0079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EC3B" w14:textId="2D27EB34" w:rsidR="00DC1D85" w:rsidRDefault="00DC1D8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76FBDC" wp14:editId="17F712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3e34d008af69fe1b7ec2ec6" descr="{&quot;HashCode&quot;:-11279572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2CAB84" w14:textId="0D0BC473" w:rsidR="00DC1D85" w:rsidRPr="00DC1D85" w:rsidRDefault="00DC1D85" w:rsidP="00DC1D8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F76FBDC" id="_x0000_t202" coordsize="21600,21600" o:spt="202" path="m,l,21600r21600,l21600,xe">
              <v:stroke joinstyle="miter"/>
              <v:path gradientshapeok="t" o:connecttype="rect"/>
            </v:shapetype>
            <v:shape id="MSIPCMc3e34d008af69fe1b7ec2ec6" o:spid="_x0000_s1026" type="#_x0000_t202" alt="{&quot;HashCode&quot;:-1127957265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162CAB84" w14:textId="0D0BC473" w:rsidR="00DC1D85" w:rsidRPr="00DC1D85" w:rsidRDefault="00DC1D85" w:rsidP="00DC1D8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808"/>
    <w:multiLevelType w:val="hybridMultilevel"/>
    <w:tmpl w:val="F5B49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609B"/>
    <w:multiLevelType w:val="hybridMultilevel"/>
    <w:tmpl w:val="38D2454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59074B"/>
    <w:multiLevelType w:val="hybridMultilevel"/>
    <w:tmpl w:val="5D4235E0"/>
    <w:lvl w:ilvl="0" w:tplc="272AF84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6E9B"/>
    <w:multiLevelType w:val="hybridMultilevel"/>
    <w:tmpl w:val="07B8A15A"/>
    <w:lvl w:ilvl="0" w:tplc="51C4201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B658F4"/>
    <w:multiLevelType w:val="hybridMultilevel"/>
    <w:tmpl w:val="99EED114"/>
    <w:lvl w:ilvl="0" w:tplc="3FA05948">
      <w:start w:val="1"/>
      <w:numFmt w:val="lowerLetter"/>
      <w:lvlText w:val="%1."/>
      <w:lvlJc w:val="left"/>
      <w:pPr>
        <w:ind w:left="153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58" w:hanging="360"/>
      </w:pPr>
    </w:lvl>
    <w:lvl w:ilvl="2" w:tplc="0809001B" w:tentative="1">
      <w:start w:val="1"/>
      <w:numFmt w:val="lowerRoman"/>
      <w:lvlText w:val="%3."/>
      <w:lvlJc w:val="right"/>
      <w:pPr>
        <w:ind w:left="2978" w:hanging="180"/>
      </w:pPr>
    </w:lvl>
    <w:lvl w:ilvl="3" w:tplc="0809000F" w:tentative="1">
      <w:start w:val="1"/>
      <w:numFmt w:val="decimal"/>
      <w:lvlText w:val="%4."/>
      <w:lvlJc w:val="left"/>
      <w:pPr>
        <w:ind w:left="3698" w:hanging="360"/>
      </w:pPr>
    </w:lvl>
    <w:lvl w:ilvl="4" w:tplc="08090019" w:tentative="1">
      <w:start w:val="1"/>
      <w:numFmt w:val="lowerLetter"/>
      <w:lvlText w:val="%5."/>
      <w:lvlJc w:val="left"/>
      <w:pPr>
        <w:ind w:left="4418" w:hanging="360"/>
      </w:pPr>
    </w:lvl>
    <w:lvl w:ilvl="5" w:tplc="0809001B" w:tentative="1">
      <w:start w:val="1"/>
      <w:numFmt w:val="lowerRoman"/>
      <w:lvlText w:val="%6."/>
      <w:lvlJc w:val="right"/>
      <w:pPr>
        <w:ind w:left="5138" w:hanging="180"/>
      </w:pPr>
    </w:lvl>
    <w:lvl w:ilvl="6" w:tplc="0809000F" w:tentative="1">
      <w:start w:val="1"/>
      <w:numFmt w:val="decimal"/>
      <w:lvlText w:val="%7."/>
      <w:lvlJc w:val="left"/>
      <w:pPr>
        <w:ind w:left="5858" w:hanging="360"/>
      </w:pPr>
    </w:lvl>
    <w:lvl w:ilvl="7" w:tplc="08090019" w:tentative="1">
      <w:start w:val="1"/>
      <w:numFmt w:val="lowerLetter"/>
      <w:lvlText w:val="%8."/>
      <w:lvlJc w:val="left"/>
      <w:pPr>
        <w:ind w:left="6578" w:hanging="360"/>
      </w:pPr>
    </w:lvl>
    <w:lvl w:ilvl="8" w:tplc="08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5" w15:restartNumberingAfterBreak="0">
    <w:nsid w:val="0D465BEE"/>
    <w:multiLevelType w:val="hybridMultilevel"/>
    <w:tmpl w:val="F5B49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388B"/>
    <w:multiLevelType w:val="hybridMultilevel"/>
    <w:tmpl w:val="38D2454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737472"/>
    <w:multiLevelType w:val="hybridMultilevel"/>
    <w:tmpl w:val="7B26C06A"/>
    <w:lvl w:ilvl="0" w:tplc="02CA43DE">
      <w:start w:val="1"/>
      <w:numFmt w:val="lowerLetter"/>
      <w:lvlText w:val="%1."/>
      <w:lvlJc w:val="left"/>
      <w:pPr>
        <w:ind w:left="153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58" w:hanging="360"/>
      </w:pPr>
    </w:lvl>
    <w:lvl w:ilvl="2" w:tplc="0809001B" w:tentative="1">
      <w:start w:val="1"/>
      <w:numFmt w:val="lowerRoman"/>
      <w:lvlText w:val="%3."/>
      <w:lvlJc w:val="right"/>
      <w:pPr>
        <w:ind w:left="2978" w:hanging="180"/>
      </w:pPr>
    </w:lvl>
    <w:lvl w:ilvl="3" w:tplc="0809000F" w:tentative="1">
      <w:start w:val="1"/>
      <w:numFmt w:val="decimal"/>
      <w:lvlText w:val="%4."/>
      <w:lvlJc w:val="left"/>
      <w:pPr>
        <w:ind w:left="3698" w:hanging="360"/>
      </w:pPr>
    </w:lvl>
    <w:lvl w:ilvl="4" w:tplc="08090019" w:tentative="1">
      <w:start w:val="1"/>
      <w:numFmt w:val="lowerLetter"/>
      <w:lvlText w:val="%5."/>
      <w:lvlJc w:val="left"/>
      <w:pPr>
        <w:ind w:left="4418" w:hanging="360"/>
      </w:pPr>
    </w:lvl>
    <w:lvl w:ilvl="5" w:tplc="0809001B" w:tentative="1">
      <w:start w:val="1"/>
      <w:numFmt w:val="lowerRoman"/>
      <w:lvlText w:val="%6."/>
      <w:lvlJc w:val="right"/>
      <w:pPr>
        <w:ind w:left="5138" w:hanging="180"/>
      </w:pPr>
    </w:lvl>
    <w:lvl w:ilvl="6" w:tplc="0809000F" w:tentative="1">
      <w:start w:val="1"/>
      <w:numFmt w:val="decimal"/>
      <w:lvlText w:val="%7."/>
      <w:lvlJc w:val="left"/>
      <w:pPr>
        <w:ind w:left="5858" w:hanging="360"/>
      </w:pPr>
    </w:lvl>
    <w:lvl w:ilvl="7" w:tplc="08090019" w:tentative="1">
      <w:start w:val="1"/>
      <w:numFmt w:val="lowerLetter"/>
      <w:lvlText w:val="%8."/>
      <w:lvlJc w:val="left"/>
      <w:pPr>
        <w:ind w:left="6578" w:hanging="360"/>
      </w:pPr>
    </w:lvl>
    <w:lvl w:ilvl="8" w:tplc="08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8" w15:restartNumberingAfterBreak="0">
    <w:nsid w:val="13402A92"/>
    <w:multiLevelType w:val="hybridMultilevel"/>
    <w:tmpl w:val="4246DA1C"/>
    <w:lvl w:ilvl="0" w:tplc="7C204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D449BB"/>
    <w:multiLevelType w:val="hybridMultilevel"/>
    <w:tmpl w:val="A1C699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0849C9"/>
    <w:multiLevelType w:val="hybridMultilevel"/>
    <w:tmpl w:val="3F948760"/>
    <w:lvl w:ilvl="0" w:tplc="FA762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2287C"/>
    <w:multiLevelType w:val="hybridMultilevel"/>
    <w:tmpl w:val="8D0CA212"/>
    <w:lvl w:ilvl="0" w:tplc="FAA2C208">
      <w:start w:val="1"/>
      <w:numFmt w:val="bullet"/>
      <w:lvlText w:val="−"/>
      <w:lvlJc w:val="left"/>
      <w:pPr>
        <w:ind w:left="100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82311"/>
    <w:multiLevelType w:val="hybridMultilevel"/>
    <w:tmpl w:val="C79C5C1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724" w:hanging="360"/>
      </w:p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F12AFC"/>
    <w:multiLevelType w:val="hybridMultilevel"/>
    <w:tmpl w:val="F5B49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610D7"/>
    <w:multiLevelType w:val="hybridMultilevel"/>
    <w:tmpl w:val="99EED114"/>
    <w:lvl w:ilvl="0" w:tplc="3FA0594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0072D04"/>
    <w:multiLevelType w:val="hybridMultilevel"/>
    <w:tmpl w:val="AF2E1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F2824"/>
    <w:multiLevelType w:val="hybridMultilevel"/>
    <w:tmpl w:val="767AC95E"/>
    <w:lvl w:ilvl="0" w:tplc="685C16F8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A5D21"/>
    <w:multiLevelType w:val="hybridMultilevel"/>
    <w:tmpl w:val="E92AA364"/>
    <w:lvl w:ilvl="0" w:tplc="08090019">
      <w:start w:val="1"/>
      <w:numFmt w:val="lowerLetter"/>
      <w:lvlText w:val="%1."/>
      <w:lvlJc w:val="left"/>
      <w:pPr>
        <w:ind w:left="1178" w:hanging="360"/>
      </w:pPr>
    </w:lvl>
    <w:lvl w:ilvl="1" w:tplc="08090019" w:tentative="1">
      <w:start w:val="1"/>
      <w:numFmt w:val="lowerLetter"/>
      <w:lvlText w:val="%2."/>
      <w:lvlJc w:val="left"/>
      <w:pPr>
        <w:ind w:left="1898" w:hanging="360"/>
      </w:pPr>
    </w:lvl>
    <w:lvl w:ilvl="2" w:tplc="0809001B" w:tentative="1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8" w15:restartNumberingAfterBreak="0">
    <w:nsid w:val="3C7B6AE9"/>
    <w:multiLevelType w:val="hybridMultilevel"/>
    <w:tmpl w:val="F266EB42"/>
    <w:lvl w:ilvl="0" w:tplc="02CA43DE">
      <w:start w:val="1"/>
      <w:numFmt w:val="lowerLetter"/>
      <w:lvlText w:val="%1."/>
      <w:lvlJc w:val="left"/>
      <w:pPr>
        <w:ind w:left="153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58" w:hanging="360"/>
      </w:pPr>
    </w:lvl>
    <w:lvl w:ilvl="2" w:tplc="0809001B" w:tentative="1">
      <w:start w:val="1"/>
      <w:numFmt w:val="lowerRoman"/>
      <w:lvlText w:val="%3."/>
      <w:lvlJc w:val="right"/>
      <w:pPr>
        <w:ind w:left="2978" w:hanging="180"/>
      </w:pPr>
    </w:lvl>
    <w:lvl w:ilvl="3" w:tplc="0809000F" w:tentative="1">
      <w:start w:val="1"/>
      <w:numFmt w:val="decimal"/>
      <w:lvlText w:val="%4."/>
      <w:lvlJc w:val="left"/>
      <w:pPr>
        <w:ind w:left="3698" w:hanging="360"/>
      </w:pPr>
    </w:lvl>
    <w:lvl w:ilvl="4" w:tplc="08090019" w:tentative="1">
      <w:start w:val="1"/>
      <w:numFmt w:val="lowerLetter"/>
      <w:lvlText w:val="%5."/>
      <w:lvlJc w:val="left"/>
      <w:pPr>
        <w:ind w:left="4418" w:hanging="360"/>
      </w:pPr>
    </w:lvl>
    <w:lvl w:ilvl="5" w:tplc="0809001B" w:tentative="1">
      <w:start w:val="1"/>
      <w:numFmt w:val="lowerRoman"/>
      <w:lvlText w:val="%6."/>
      <w:lvlJc w:val="right"/>
      <w:pPr>
        <w:ind w:left="5138" w:hanging="180"/>
      </w:pPr>
    </w:lvl>
    <w:lvl w:ilvl="6" w:tplc="0809000F" w:tentative="1">
      <w:start w:val="1"/>
      <w:numFmt w:val="decimal"/>
      <w:lvlText w:val="%7."/>
      <w:lvlJc w:val="left"/>
      <w:pPr>
        <w:ind w:left="5858" w:hanging="360"/>
      </w:pPr>
    </w:lvl>
    <w:lvl w:ilvl="7" w:tplc="08090019" w:tentative="1">
      <w:start w:val="1"/>
      <w:numFmt w:val="lowerLetter"/>
      <w:lvlText w:val="%8."/>
      <w:lvlJc w:val="left"/>
      <w:pPr>
        <w:ind w:left="6578" w:hanging="360"/>
      </w:pPr>
    </w:lvl>
    <w:lvl w:ilvl="8" w:tplc="08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9" w15:restartNumberingAfterBreak="0">
    <w:nsid w:val="3FEE54FD"/>
    <w:multiLevelType w:val="hybridMultilevel"/>
    <w:tmpl w:val="F5B49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005AF"/>
    <w:multiLevelType w:val="hybridMultilevel"/>
    <w:tmpl w:val="F5B49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14E4"/>
    <w:multiLevelType w:val="hybridMultilevel"/>
    <w:tmpl w:val="F350E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088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277C2"/>
    <w:multiLevelType w:val="hybridMultilevel"/>
    <w:tmpl w:val="4EB83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779E8"/>
    <w:multiLevelType w:val="hybridMultilevel"/>
    <w:tmpl w:val="F0A6B61A"/>
    <w:lvl w:ilvl="0" w:tplc="292E4E0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14DA4"/>
    <w:multiLevelType w:val="hybridMultilevel"/>
    <w:tmpl w:val="99EED114"/>
    <w:lvl w:ilvl="0" w:tplc="3FA0594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F75005A"/>
    <w:multiLevelType w:val="hybridMultilevel"/>
    <w:tmpl w:val="7354C850"/>
    <w:lvl w:ilvl="0" w:tplc="6DB6731E">
      <w:start w:val="1"/>
      <w:numFmt w:val="lowerLetter"/>
      <w:lvlText w:val="%1."/>
      <w:lvlJc w:val="left"/>
      <w:pPr>
        <w:ind w:left="153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58" w:hanging="360"/>
      </w:pPr>
    </w:lvl>
    <w:lvl w:ilvl="2" w:tplc="0809001B" w:tentative="1">
      <w:start w:val="1"/>
      <w:numFmt w:val="lowerRoman"/>
      <w:lvlText w:val="%3."/>
      <w:lvlJc w:val="right"/>
      <w:pPr>
        <w:ind w:left="2978" w:hanging="180"/>
      </w:pPr>
    </w:lvl>
    <w:lvl w:ilvl="3" w:tplc="0809000F" w:tentative="1">
      <w:start w:val="1"/>
      <w:numFmt w:val="decimal"/>
      <w:lvlText w:val="%4."/>
      <w:lvlJc w:val="left"/>
      <w:pPr>
        <w:ind w:left="3698" w:hanging="360"/>
      </w:pPr>
    </w:lvl>
    <w:lvl w:ilvl="4" w:tplc="08090019" w:tentative="1">
      <w:start w:val="1"/>
      <w:numFmt w:val="lowerLetter"/>
      <w:lvlText w:val="%5."/>
      <w:lvlJc w:val="left"/>
      <w:pPr>
        <w:ind w:left="4418" w:hanging="360"/>
      </w:pPr>
    </w:lvl>
    <w:lvl w:ilvl="5" w:tplc="0809001B" w:tentative="1">
      <w:start w:val="1"/>
      <w:numFmt w:val="lowerRoman"/>
      <w:lvlText w:val="%6."/>
      <w:lvlJc w:val="right"/>
      <w:pPr>
        <w:ind w:left="5138" w:hanging="180"/>
      </w:pPr>
    </w:lvl>
    <w:lvl w:ilvl="6" w:tplc="0809000F" w:tentative="1">
      <w:start w:val="1"/>
      <w:numFmt w:val="decimal"/>
      <w:lvlText w:val="%7."/>
      <w:lvlJc w:val="left"/>
      <w:pPr>
        <w:ind w:left="5858" w:hanging="360"/>
      </w:pPr>
    </w:lvl>
    <w:lvl w:ilvl="7" w:tplc="08090019" w:tentative="1">
      <w:start w:val="1"/>
      <w:numFmt w:val="lowerLetter"/>
      <w:lvlText w:val="%8."/>
      <w:lvlJc w:val="left"/>
      <w:pPr>
        <w:ind w:left="6578" w:hanging="360"/>
      </w:pPr>
    </w:lvl>
    <w:lvl w:ilvl="8" w:tplc="08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6" w15:restartNumberingAfterBreak="0">
    <w:nsid w:val="550C6990"/>
    <w:multiLevelType w:val="multilevel"/>
    <w:tmpl w:val="DF72B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5C65829"/>
    <w:multiLevelType w:val="hybridMultilevel"/>
    <w:tmpl w:val="2992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215E9"/>
    <w:multiLevelType w:val="hybridMultilevel"/>
    <w:tmpl w:val="6D027EF8"/>
    <w:lvl w:ilvl="0" w:tplc="269EE22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27CCB"/>
    <w:multiLevelType w:val="hybridMultilevel"/>
    <w:tmpl w:val="B930DFE6"/>
    <w:lvl w:ilvl="0" w:tplc="9934D21A">
      <w:start w:val="1"/>
      <w:numFmt w:val="lowerLetter"/>
      <w:lvlText w:val="%1."/>
      <w:lvlJc w:val="left"/>
      <w:pPr>
        <w:ind w:left="153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58" w:hanging="360"/>
      </w:pPr>
    </w:lvl>
    <w:lvl w:ilvl="2" w:tplc="0809001B" w:tentative="1">
      <w:start w:val="1"/>
      <w:numFmt w:val="lowerRoman"/>
      <w:lvlText w:val="%3."/>
      <w:lvlJc w:val="right"/>
      <w:pPr>
        <w:ind w:left="2978" w:hanging="180"/>
      </w:pPr>
    </w:lvl>
    <w:lvl w:ilvl="3" w:tplc="0809000F" w:tentative="1">
      <w:start w:val="1"/>
      <w:numFmt w:val="decimal"/>
      <w:lvlText w:val="%4."/>
      <w:lvlJc w:val="left"/>
      <w:pPr>
        <w:ind w:left="3698" w:hanging="360"/>
      </w:pPr>
    </w:lvl>
    <w:lvl w:ilvl="4" w:tplc="08090019" w:tentative="1">
      <w:start w:val="1"/>
      <w:numFmt w:val="lowerLetter"/>
      <w:lvlText w:val="%5."/>
      <w:lvlJc w:val="left"/>
      <w:pPr>
        <w:ind w:left="4418" w:hanging="360"/>
      </w:pPr>
    </w:lvl>
    <w:lvl w:ilvl="5" w:tplc="0809001B" w:tentative="1">
      <w:start w:val="1"/>
      <w:numFmt w:val="lowerRoman"/>
      <w:lvlText w:val="%6."/>
      <w:lvlJc w:val="right"/>
      <w:pPr>
        <w:ind w:left="5138" w:hanging="180"/>
      </w:pPr>
    </w:lvl>
    <w:lvl w:ilvl="6" w:tplc="0809000F" w:tentative="1">
      <w:start w:val="1"/>
      <w:numFmt w:val="decimal"/>
      <w:lvlText w:val="%7."/>
      <w:lvlJc w:val="left"/>
      <w:pPr>
        <w:ind w:left="5858" w:hanging="360"/>
      </w:pPr>
    </w:lvl>
    <w:lvl w:ilvl="7" w:tplc="08090019" w:tentative="1">
      <w:start w:val="1"/>
      <w:numFmt w:val="lowerLetter"/>
      <w:lvlText w:val="%8."/>
      <w:lvlJc w:val="left"/>
      <w:pPr>
        <w:ind w:left="6578" w:hanging="360"/>
      </w:pPr>
    </w:lvl>
    <w:lvl w:ilvl="8" w:tplc="08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30" w15:restartNumberingAfterBreak="0">
    <w:nsid w:val="60DD4C1F"/>
    <w:multiLevelType w:val="hybridMultilevel"/>
    <w:tmpl w:val="C4D472FC"/>
    <w:lvl w:ilvl="0" w:tplc="22E8676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E42ADE"/>
    <w:multiLevelType w:val="hybridMultilevel"/>
    <w:tmpl w:val="C2CE15FE"/>
    <w:lvl w:ilvl="0" w:tplc="BCBE8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3805FD1"/>
    <w:multiLevelType w:val="hybridMultilevel"/>
    <w:tmpl w:val="4322DC40"/>
    <w:lvl w:ilvl="0" w:tplc="5374142C">
      <w:start w:val="1"/>
      <w:numFmt w:val="decimal"/>
      <w:lvlText w:val="%1."/>
      <w:lvlJc w:val="left"/>
      <w:pPr>
        <w:ind w:left="577" w:hanging="555"/>
      </w:pPr>
      <w:rPr>
        <w:rFonts w:ascii="Arial" w:hAnsi="Arial"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178" w:hanging="360"/>
      </w:pPr>
    </w:lvl>
    <w:lvl w:ilvl="2" w:tplc="0809001B" w:tentative="1">
      <w:start w:val="1"/>
      <w:numFmt w:val="lowerRoman"/>
      <w:lvlText w:val="%3."/>
      <w:lvlJc w:val="right"/>
      <w:pPr>
        <w:ind w:left="1898" w:hanging="180"/>
      </w:pPr>
    </w:lvl>
    <w:lvl w:ilvl="3" w:tplc="0809000F" w:tentative="1">
      <w:start w:val="1"/>
      <w:numFmt w:val="decimal"/>
      <w:lvlText w:val="%4."/>
      <w:lvlJc w:val="left"/>
      <w:pPr>
        <w:ind w:left="2618" w:hanging="360"/>
      </w:pPr>
    </w:lvl>
    <w:lvl w:ilvl="4" w:tplc="08090019" w:tentative="1">
      <w:start w:val="1"/>
      <w:numFmt w:val="lowerLetter"/>
      <w:lvlText w:val="%5."/>
      <w:lvlJc w:val="left"/>
      <w:pPr>
        <w:ind w:left="3338" w:hanging="360"/>
      </w:pPr>
    </w:lvl>
    <w:lvl w:ilvl="5" w:tplc="0809001B" w:tentative="1">
      <w:start w:val="1"/>
      <w:numFmt w:val="lowerRoman"/>
      <w:lvlText w:val="%6."/>
      <w:lvlJc w:val="right"/>
      <w:pPr>
        <w:ind w:left="4058" w:hanging="180"/>
      </w:pPr>
    </w:lvl>
    <w:lvl w:ilvl="6" w:tplc="0809000F" w:tentative="1">
      <w:start w:val="1"/>
      <w:numFmt w:val="decimal"/>
      <w:lvlText w:val="%7."/>
      <w:lvlJc w:val="left"/>
      <w:pPr>
        <w:ind w:left="4778" w:hanging="360"/>
      </w:pPr>
    </w:lvl>
    <w:lvl w:ilvl="7" w:tplc="08090019" w:tentative="1">
      <w:start w:val="1"/>
      <w:numFmt w:val="lowerLetter"/>
      <w:lvlText w:val="%8."/>
      <w:lvlJc w:val="left"/>
      <w:pPr>
        <w:ind w:left="5498" w:hanging="360"/>
      </w:pPr>
    </w:lvl>
    <w:lvl w:ilvl="8" w:tplc="08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3" w15:restartNumberingAfterBreak="0">
    <w:nsid w:val="6BBA7C17"/>
    <w:multiLevelType w:val="hybridMultilevel"/>
    <w:tmpl w:val="38D2454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A74A6A"/>
    <w:multiLevelType w:val="hybridMultilevel"/>
    <w:tmpl w:val="5FE68976"/>
    <w:lvl w:ilvl="0" w:tplc="398635B8">
      <w:start w:val="12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A1FAF"/>
    <w:multiLevelType w:val="hybridMultilevel"/>
    <w:tmpl w:val="B6FC8CF6"/>
    <w:lvl w:ilvl="0" w:tplc="98B002CC">
      <w:start w:val="1"/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1868"/>
    <w:multiLevelType w:val="hybridMultilevel"/>
    <w:tmpl w:val="10B8BC66"/>
    <w:lvl w:ilvl="0" w:tplc="FBCEAA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82719"/>
    <w:multiLevelType w:val="hybridMultilevel"/>
    <w:tmpl w:val="5F56CBCE"/>
    <w:lvl w:ilvl="0" w:tplc="BAD873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F1326"/>
    <w:multiLevelType w:val="hybridMultilevel"/>
    <w:tmpl w:val="99EED114"/>
    <w:lvl w:ilvl="0" w:tplc="3FA0594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8342724"/>
    <w:multiLevelType w:val="hybridMultilevel"/>
    <w:tmpl w:val="B57CE4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104B8F"/>
    <w:multiLevelType w:val="hybridMultilevel"/>
    <w:tmpl w:val="CB88D802"/>
    <w:lvl w:ilvl="0" w:tplc="269EE22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081735">
    <w:abstractNumId w:val="21"/>
  </w:num>
  <w:num w:numId="2" w16cid:durableId="114179491">
    <w:abstractNumId w:val="31"/>
  </w:num>
  <w:num w:numId="3" w16cid:durableId="1866400908">
    <w:abstractNumId w:val="40"/>
  </w:num>
  <w:num w:numId="4" w16cid:durableId="224881126">
    <w:abstractNumId w:val="28"/>
  </w:num>
  <w:num w:numId="5" w16cid:durableId="280573530">
    <w:abstractNumId w:val="32"/>
  </w:num>
  <w:num w:numId="6" w16cid:durableId="1234513238">
    <w:abstractNumId w:val="17"/>
  </w:num>
  <w:num w:numId="7" w16cid:durableId="191765589">
    <w:abstractNumId w:val="32"/>
    <w:lvlOverride w:ilvl="0">
      <w:lvl w:ilvl="0" w:tplc="5374142C">
        <w:start w:val="1"/>
        <w:numFmt w:val="lowerLetter"/>
        <w:lvlText w:val="%1."/>
        <w:lvlJc w:val="left"/>
        <w:pPr>
          <w:ind w:left="1178" w:hanging="360"/>
        </w:pPr>
        <w:rPr>
          <w:rFonts w:hint="default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818061818">
    <w:abstractNumId w:val="4"/>
  </w:num>
  <w:num w:numId="9" w16cid:durableId="1072312497">
    <w:abstractNumId w:val="7"/>
  </w:num>
  <w:num w:numId="10" w16cid:durableId="1881672545">
    <w:abstractNumId w:val="18"/>
  </w:num>
  <w:num w:numId="11" w16cid:durableId="1893542060">
    <w:abstractNumId w:val="29"/>
  </w:num>
  <w:num w:numId="12" w16cid:durableId="923535670">
    <w:abstractNumId w:val="25"/>
  </w:num>
  <w:num w:numId="13" w16cid:durableId="1072629205">
    <w:abstractNumId w:val="38"/>
  </w:num>
  <w:num w:numId="14" w16cid:durableId="1921402453">
    <w:abstractNumId w:val="14"/>
  </w:num>
  <w:num w:numId="15" w16cid:durableId="295184437">
    <w:abstractNumId w:val="24"/>
  </w:num>
  <w:num w:numId="16" w16cid:durableId="1155999410">
    <w:abstractNumId w:val="3"/>
  </w:num>
  <w:num w:numId="17" w16cid:durableId="34504555">
    <w:abstractNumId w:val="11"/>
  </w:num>
  <w:num w:numId="18" w16cid:durableId="1803844911">
    <w:abstractNumId w:val="15"/>
  </w:num>
  <w:num w:numId="19" w16cid:durableId="89087497">
    <w:abstractNumId w:val="12"/>
  </w:num>
  <w:num w:numId="20" w16cid:durableId="1540362449">
    <w:abstractNumId w:val="16"/>
  </w:num>
  <w:num w:numId="21" w16cid:durableId="512113842">
    <w:abstractNumId w:val="2"/>
  </w:num>
  <w:num w:numId="22" w16cid:durableId="1325745470">
    <w:abstractNumId w:val="35"/>
  </w:num>
  <w:num w:numId="23" w16cid:durableId="994331992">
    <w:abstractNumId w:val="33"/>
  </w:num>
  <w:num w:numId="24" w16cid:durableId="1950231872">
    <w:abstractNumId w:val="23"/>
  </w:num>
  <w:num w:numId="25" w16cid:durableId="1759132787">
    <w:abstractNumId w:val="27"/>
  </w:num>
  <w:num w:numId="26" w16cid:durableId="1581332384">
    <w:abstractNumId w:val="34"/>
  </w:num>
  <w:num w:numId="27" w16cid:durableId="1927613974">
    <w:abstractNumId w:val="10"/>
  </w:num>
  <w:num w:numId="28" w16cid:durableId="1689597923">
    <w:abstractNumId w:val="36"/>
  </w:num>
  <w:num w:numId="29" w16cid:durableId="1117413647">
    <w:abstractNumId w:val="6"/>
  </w:num>
  <w:num w:numId="30" w16cid:durableId="856699640">
    <w:abstractNumId w:val="1"/>
  </w:num>
  <w:num w:numId="31" w16cid:durableId="1931355199">
    <w:abstractNumId w:val="8"/>
  </w:num>
  <w:num w:numId="32" w16cid:durableId="1055009816">
    <w:abstractNumId w:val="39"/>
  </w:num>
  <w:num w:numId="33" w16cid:durableId="916011269">
    <w:abstractNumId w:val="9"/>
  </w:num>
  <w:num w:numId="34" w16cid:durableId="971599545">
    <w:abstractNumId w:val="22"/>
  </w:num>
  <w:num w:numId="35" w16cid:durableId="1541553082">
    <w:abstractNumId w:val="30"/>
  </w:num>
  <w:num w:numId="36" w16cid:durableId="1939095757">
    <w:abstractNumId w:val="26"/>
  </w:num>
  <w:num w:numId="37" w16cid:durableId="1954903094">
    <w:abstractNumId w:val="37"/>
  </w:num>
  <w:num w:numId="38" w16cid:durableId="1208952256">
    <w:abstractNumId w:val="5"/>
  </w:num>
  <w:num w:numId="39" w16cid:durableId="36124591">
    <w:abstractNumId w:val="13"/>
  </w:num>
  <w:num w:numId="40" w16cid:durableId="185557666">
    <w:abstractNumId w:val="0"/>
  </w:num>
  <w:num w:numId="41" w16cid:durableId="1536305117">
    <w:abstractNumId w:val="20"/>
  </w:num>
  <w:num w:numId="42" w16cid:durableId="1780291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CE1"/>
    <w:rsid w:val="000229D6"/>
    <w:rsid w:val="000466A3"/>
    <w:rsid w:val="000511CC"/>
    <w:rsid w:val="00063A35"/>
    <w:rsid w:val="00064ABE"/>
    <w:rsid w:val="00091B55"/>
    <w:rsid w:val="000A304A"/>
    <w:rsid w:val="000B7F6E"/>
    <w:rsid w:val="000C2A17"/>
    <w:rsid w:val="000D3D61"/>
    <w:rsid w:val="000E0155"/>
    <w:rsid w:val="00102CFB"/>
    <w:rsid w:val="00104211"/>
    <w:rsid w:val="00143B32"/>
    <w:rsid w:val="0016169B"/>
    <w:rsid w:val="00164AA3"/>
    <w:rsid w:val="00176F7E"/>
    <w:rsid w:val="001903C1"/>
    <w:rsid w:val="00193730"/>
    <w:rsid w:val="001A1E0A"/>
    <w:rsid w:val="001A2501"/>
    <w:rsid w:val="001B7D33"/>
    <w:rsid w:val="001C697E"/>
    <w:rsid w:val="001F2629"/>
    <w:rsid w:val="001F788A"/>
    <w:rsid w:val="0020777A"/>
    <w:rsid w:val="00211551"/>
    <w:rsid w:val="00233462"/>
    <w:rsid w:val="00253898"/>
    <w:rsid w:val="002546CA"/>
    <w:rsid w:val="002579D2"/>
    <w:rsid w:val="0026306C"/>
    <w:rsid w:val="00270742"/>
    <w:rsid w:val="00272D39"/>
    <w:rsid w:val="00273A3A"/>
    <w:rsid w:val="00276D0C"/>
    <w:rsid w:val="00286B69"/>
    <w:rsid w:val="0029721F"/>
    <w:rsid w:val="002A3062"/>
    <w:rsid w:val="002A74CE"/>
    <w:rsid w:val="002B4036"/>
    <w:rsid w:val="002B714A"/>
    <w:rsid w:val="002F1BF1"/>
    <w:rsid w:val="002F2A15"/>
    <w:rsid w:val="002F7EA6"/>
    <w:rsid w:val="00311CC7"/>
    <w:rsid w:val="00323690"/>
    <w:rsid w:val="003277A0"/>
    <w:rsid w:val="003305D5"/>
    <w:rsid w:val="00336439"/>
    <w:rsid w:val="00347BA7"/>
    <w:rsid w:val="003517C7"/>
    <w:rsid w:val="00364C3B"/>
    <w:rsid w:val="0037673A"/>
    <w:rsid w:val="00376DBA"/>
    <w:rsid w:val="003A2BAC"/>
    <w:rsid w:val="003A5E99"/>
    <w:rsid w:val="003A5FB9"/>
    <w:rsid w:val="003A600E"/>
    <w:rsid w:val="003B564A"/>
    <w:rsid w:val="003B5930"/>
    <w:rsid w:val="003B60DE"/>
    <w:rsid w:val="003C5B73"/>
    <w:rsid w:val="003F0C94"/>
    <w:rsid w:val="004106B8"/>
    <w:rsid w:val="00420188"/>
    <w:rsid w:val="004375EA"/>
    <w:rsid w:val="00446BDF"/>
    <w:rsid w:val="004521DE"/>
    <w:rsid w:val="00471396"/>
    <w:rsid w:val="00477E56"/>
    <w:rsid w:val="00477F93"/>
    <w:rsid w:val="004841D2"/>
    <w:rsid w:val="004928AB"/>
    <w:rsid w:val="00494FCB"/>
    <w:rsid w:val="00497B54"/>
    <w:rsid w:val="004B7D0B"/>
    <w:rsid w:val="004C27FE"/>
    <w:rsid w:val="004D09FF"/>
    <w:rsid w:val="004D24EF"/>
    <w:rsid w:val="004F2E6A"/>
    <w:rsid w:val="00502AE1"/>
    <w:rsid w:val="00503A7D"/>
    <w:rsid w:val="0050463F"/>
    <w:rsid w:val="00505072"/>
    <w:rsid w:val="00510F60"/>
    <w:rsid w:val="00525734"/>
    <w:rsid w:val="00535474"/>
    <w:rsid w:val="00540023"/>
    <w:rsid w:val="00541BAA"/>
    <w:rsid w:val="005719D0"/>
    <w:rsid w:val="00595527"/>
    <w:rsid w:val="005A16F7"/>
    <w:rsid w:val="005A4B83"/>
    <w:rsid w:val="005B6B48"/>
    <w:rsid w:val="005D4095"/>
    <w:rsid w:val="005E094C"/>
    <w:rsid w:val="005E25D2"/>
    <w:rsid w:val="005F206D"/>
    <w:rsid w:val="005F27DD"/>
    <w:rsid w:val="005F6985"/>
    <w:rsid w:val="00602E7D"/>
    <w:rsid w:val="0060734C"/>
    <w:rsid w:val="00650E29"/>
    <w:rsid w:val="006527F8"/>
    <w:rsid w:val="006535F9"/>
    <w:rsid w:val="00653EB7"/>
    <w:rsid w:val="006807B6"/>
    <w:rsid w:val="006B1D1F"/>
    <w:rsid w:val="006B70FA"/>
    <w:rsid w:val="006E4270"/>
    <w:rsid w:val="006E7445"/>
    <w:rsid w:val="0070282A"/>
    <w:rsid w:val="007123E6"/>
    <w:rsid w:val="00714110"/>
    <w:rsid w:val="00714C93"/>
    <w:rsid w:val="00726D11"/>
    <w:rsid w:val="00733994"/>
    <w:rsid w:val="00740589"/>
    <w:rsid w:val="00744313"/>
    <w:rsid w:val="00747634"/>
    <w:rsid w:val="0075175F"/>
    <w:rsid w:val="00751791"/>
    <w:rsid w:val="00755EAD"/>
    <w:rsid w:val="00756BE7"/>
    <w:rsid w:val="007615F9"/>
    <w:rsid w:val="007706D1"/>
    <w:rsid w:val="0077178B"/>
    <w:rsid w:val="00773747"/>
    <w:rsid w:val="0079476C"/>
    <w:rsid w:val="00795CE1"/>
    <w:rsid w:val="00795D96"/>
    <w:rsid w:val="007966B6"/>
    <w:rsid w:val="00796FBF"/>
    <w:rsid w:val="007C1483"/>
    <w:rsid w:val="007C2363"/>
    <w:rsid w:val="007C4496"/>
    <w:rsid w:val="007D4404"/>
    <w:rsid w:val="007D64CF"/>
    <w:rsid w:val="007F2235"/>
    <w:rsid w:val="007F4217"/>
    <w:rsid w:val="00802405"/>
    <w:rsid w:val="00827B4A"/>
    <w:rsid w:val="00833E49"/>
    <w:rsid w:val="00834384"/>
    <w:rsid w:val="00834C23"/>
    <w:rsid w:val="0084733B"/>
    <w:rsid w:val="0085063B"/>
    <w:rsid w:val="0087340D"/>
    <w:rsid w:val="00876791"/>
    <w:rsid w:val="008802D4"/>
    <w:rsid w:val="00880980"/>
    <w:rsid w:val="00887A2C"/>
    <w:rsid w:val="00894579"/>
    <w:rsid w:val="00895227"/>
    <w:rsid w:val="008A008D"/>
    <w:rsid w:val="008A71B1"/>
    <w:rsid w:val="008A75A7"/>
    <w:rsid w:val="008C02D7"/>
    <w:rsid w:val="008E5B81"/>
    <w:rsid w:val="00903F42"/>
    <w:rsid w:val="00910E83"/>
    <w:rsid w:val="009173D4"/>
    <w:rsid w:val="00920B9E"/>
    <w:rsid w:val="00923B1F"/>
    <w:rsid w:val="00925732"/>
    <w:rsid w:val="00930B43"/>
    <w:rsid w:val="0093397C"/>
    <w:rsid w:val="00950868"/>
    <w:rsid w:val="00953611"/>
    <w:rsid w:val="009548AE"/>
    <w:rsid w:val="00964B55"/>
    <w:rsid w:val="00964D52"/>
    <w:rsid w:val="00977280"/>
    <w:rsid w:val="009807B5"/>
    <w:rsid w:val="00983480"/>
    <w:rsid w:val="009860D0"/>
    <w:rsid w:val="009A056F"/>
    <w:rsid w:val="009A3754"/>
    <w:rsid w:val="009A5E51"/>
    <w:rsid w:val="009A6B2F"/>
    <w:rsid w:val="009B192A"/>
    <w:rsid w:val="009B2CFF"/>
    <w:rsid w:val="009D2DAE"/>
    <w:rsid w:val="009D3090"/>
    <w:rsid w:val="009E0DF2"/>
    <w:rsid w:val="009E1266"/>
    <w:rsid w:val="009E7142"/>
    <w:rsid w:val="009E7EBC"/>
    <w:rsid w:val="00A03108"/>
    <w:rsid w:val="00A2411F"/>
    <w:rsid w:val="00A50370"/>
    <w:rsid w:val="00A81229"/>
    <w:rsid w:val="00A813E2"/>
    <w:rsid w:val="00A83CFF"/>
    <w:rsid w:val="00A84131"/>
    <w:rsid w:val="00A854B0"/>
    <w:rsid w:val="00AA132C"/>
    <w:rsid w:val="00AA1EB4"/>
    <w:rsid w:val="00AC23A7"/>
    <w:rsid w:val="00AD1770"/>
    <w:rsid w:val="00AD7313"/>
    <w:rsid w:val="00B01215"/>
    <w:rsid w:val="00B3052A"/>
    <w:rsid w:val="00B352E8"/>
    <w:rsid w:val="00B364B1"/>
    <w:rsid w:val="00B4155D"/>
    <w:rsid w:val="00B43288"/>
    <w:rsid w:val="00B47632"/>
    <w:rsid w:val="00B5274A"/>
    <w:rsid w:val="00B7078A"/>
    <w:rsid w:val="00B707C6"/>
    <w:rsid w:val="00B72EDE"/>
    <w:rsid w:val="00B75175"/>
    <w:rsid w:val="00B80124"/>
    <w:rsid w:val="00B82F90"/>
    <w:rsid w:val="00BA3747"/>
    <w:rsid w:val="00BA6303"/>
    <w:rsid w:val="00BB3B82"/>
    <w:rsid w:val="00BD0BA9"/>
    <w:rsid w:val="00BD485A"/>
    <w:rsid w:val="00BD65A6"/>
    <w:rsid w:val="00BE04CD"/>
    <w:rsid w:val="00BE77FC"/>
    <w:rsid w:val="00BF1506"/>
    <w:rsid w:val="00C20CB0"/>
    <w:rsid w:val="00C2479D"/>
    <w:rsid w:val="00C32A0B"/>
    <w:rsid w:val="00C457AF"/>
    <w:rsid w:val="00C54D1F"/>
    <w:rsid w:val="00C70D0E"/>
    <w:rsid w:val="00C713BF"/>
    <w:rsid w:val="00C71C6E"/>
    <w:rsid w:val="00C90B88"/>
    <w:rsid w:val="00C97046"/>
    <w:rsid w:val="00CA379E"/>
    <w:rsid w:val="00CA7050"/>
    <w:rsid w:val="00CB22B7"/>
    <w:rsid w:val="00CC5FFE"/>
    <w:rsid w:val="00CD2E52"/>
    <w:rsid w:val="00CF2BFE"/>
    <w:rsid w:val="00D10C8A"/>
    <w:rsid w:val="00D320D6"/>
    <w:rsid w:val="00D37145"/>
    <w:rsid w:val="00D405F2"/>
    <w:rsid w:val="00D42837"/>
    <w:rsid w:val="00D43825"/>
    <w:rsid w:val="00D6363B"/>
    <w:rsid w:val="00D70EFD"/>
    <w:rsid w:val="00D83DC4"/>
    <w:rsid w:val="00DA0CBA"/>
    <w:rsid w:val="00DB6683"/>
    <w:rsid w:val="00DC1C2F"/>
    <w:rsid w:val="00DC1D85"/>
    <w:rsid w:val="00DD673B"/>
    <w:rsid w:val="00DE0288"/>
    <w:rsid w:val="00DF07A0"/>
    <w:rsid w:val="00DF5B3D"/>
    <w:rsid w:val="00E01A35"/>
    <w:rsid w:val="00E1022A"/>
    <w:rsid w:val="00E164E6"/>
    <w:rsid w:val="00E2227B"/>
    <w:rsid w:val="00E242EB"/>
    <w:rsid w:val="00E37B5B"/>
    <w:rsid w:val="00E37C2E"/>
    <w:rsid w:val="00E41F59"/>
    <w:rsid w:val="00E475AD"/>
    <w:rsid w:val="00E520E0"/>
    <w:rsid w:val="00E55AF8"/>
    <w:rsid w:val="00E6351A"/>
    <w:rsid w:val="00E73537"/>
    <w:rsid w:val="00E8027A"/>
    <w:rsid w:val="00E8154A"/>
    <w:rsid w:val="00E83EF9"/>
    <w:rsid w:val="00E902F0"/>
    <w:rsid w:val="00EA3B39"/>
    <w:rsid w:val="00EA423D"/>
    <w:rsid w:val="00EA5EA5"/>
    <w:rsid w:val="00EA6E61"/>
    <w:rsid w:val="00EB37F5"/>
    <w:rsid w:val="00ED46E1"/>
    <w:rsid w:val="00ED7F8C"/>
    <w:rsid w:val="00EE68C4"/>
    <w:rsid w:val="00EE7F5D"/>
    <w:rsid w:val="00EF0EED"/>
    <w:rsid w:val="00F01C48"/>
    <w:rsid w:val="00F0231C"/>
    <w:rsid w:val="00F045BF"/>
    <w:rsid w:val="00F11D02"/>
    <w:rsid w:val="00F23486"/>
    <w:rsid w:val="00F23DFF"/>
    <w:rsid w:val="00F42FD6"/>
    <w:rsid w:val="00F43BE3"/>
    <w:rsid w:val="00F5277E"/>
    <w:rsid w:val="00F54651"/>
    <w:rsid w:val="00F6057E"/>
    <w:rsid w:val="00F772ED"/>
    <w:rsid w:val="00F84D12"/>
    <w:rsid w:val="00F9643B"/>
    <w:rsid w:val="00F9682C"/>
    <w:rsid w:val="00F96EA7"/>
    <w:rsid w:val="00FA7542"/>
    <w:rsid w:val="00FA7D82"/>
    <w:rsid w:val="00FB2897"/>
    <w:rsid w:val="00FD5213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A2A67"/>
  <w15:docId w15:val="{DF850A19-85D7-4AA7-9607-866E1FEC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C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DF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C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9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6B6"/>
  </w:style>
  <w:style w:type="paragraph" w:styleId="Zpat">
    <w:name w:val="footer"/>
    <w:basedOn w:val="Normln"/>
    <w:link w:val="ZpatChar"/>
    <w:uiPriority w:val="99"/>
    <w:unhideWhenUsed/>
    <w:rsid w:val="0079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dokulilova</dc:creator>
  <cp:lastModifiedBy>admin</cp:lastModifiedBy>
  <cp:revision>2</cp:revision>
  <dcterms:created xsi:type="dcterms:W3CDTF">2023-03-09T09:48:00Z</dcterms:created>
  <dcterms:modified xsi:type="dcterms:W3CDTF">2023-03-09T09:48:00Z</dcterms:modified>
</cp:coreProperties>
</file>