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330DA6" w:rsidRDefault="00D32ADB" w:rsidP="00D32ADB">
      <w:pPr>
        <w:spacing w:after="0" w:line="259" w:lineRule="auto"/>
        <w:ind w:right="286"/>
        <w:jc w:val="center"/>
        <w:rPr>
          <w:sz w:val="36"/>
          <w:szCs w:val="36"/>
        </w:rPr>
      </w:pPr>
      <w:r w:rsidRPr="00330DA6">
        <w:rPr>
          <w:b/>
          <w:sz w:val="36"/>
          <w:szCs w:val="36"/>
        </w:rPr>
        <w:t>„</w:t>
      </w:r>
      <w:r w:rsidR="00152A63">
        <w:rPr>
          <w:b/>
          <w:sz w:val="36"/>
          <w:szCs w:val="36"/>
        </w:rPr>
        <w:t>Dodanie c</w:t>
      </w:r>
      <w:r w:rsidR="003F2619">
        <w:rPr>
          <w:b/>
          <w:sz w:val="36"/>
          <w:szCs w:val="36"/>
        </w:rPr>
        <w:t>hrbtov</w:t>
      </w:r>
      <w:r w:rsidR="00152A63">
        <w:rPr>
          <w:b/>
          <w:sz w:val="36"/>
          <w:szCs w:val="36"/>
        </w:rPr>
        <w:t>ých</w:t>
      </w:r>
      <w:r w:rsidR="003F2619">
        <w:rPr>
          <w:b/>
          <w:sz w:val="36"/>
          <w:szCs w:val="36"/>
        </w:rPr>
        <w:t xml:space="preserve"> lítiovo – iónov</w:t>
      </w:r>
      <w:r w:rsidR="00152A63">
        <w:rPr>
          <w:b/>
          <w:sz w:val="36"/>
          <w:szCs w:val="36"/>
        </w:rPr>
        <w:t>ých</w:t>
      </w:r>
      <w:r w:rsidR="003F2619">
        <w:rPr>
          <w:b/>
          <w:sz w:val="36"/>
          <w:szCs w:val="36"/>
        </w:rPr>
        <w:t xml:space="preserve"> batéri</w:t>
      </w:r>
      <w:r w:rsidR="00152A63">
        <w:rPr>
          <w:b/>
          <w:sz w:val="36"/>
          <w:szCs w:val="36"/>
        </w:rPr>
        <w:t>í</w:t>
      </w:r>
      <w:r w:rsidRPr="00330DA6">
        <w:rPr>
          <w:b/>
          <w:sz w:val="36"/>
          <w:szCs w:val="36"/>
        </w:rPr>
        <w:t>“</w:t>
      </w:r>
      <w:r w:rsidRPr="00330DA6">
        <w:rPr>
          <w:sz w:val="36"/>
          <w:szCs w:val="36"/>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3F2619">
        <w:t>jún</w:t>
      </w:r>
      <w:r w:rsidR="00802287">
        <w:t xml:space="preserve"> 2019</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A107E2" w:rsidRDefault="00A107E2" w:rsidP="00AC4394">
      <w:pPr>
        <w:pStyle w:val="Odsekzoznamu"/>
        <w:numPr>
          <w:ilvl w:val="0"/>
          <w:numId w:val="22"/>
        </w:numPr>
        <w:spacing w:after="40" w:line="259" w:lineRule="auto"/>
        <w:ind w:left="1276" w:right="0" w:hanging="567"/>
        <w:jc w:val="left"/>
      </w:pPr>
      <w:r>
        <w:t>Lehota viazanosti ponuky</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DB7459">
        <w:rPr>
          <w:rFonts w:asciiTheme="minorHAnsi" w:hAnsiTheme="minorHAnsi"/>
          <w:color w:val="auto"/>
        </w:rPr>
        <w:t xml:space="preserve">Ing. Peter </w:t>
      </w:r>
      <w:proofErr w:type="spellStart"/>
      <w:r w:rsidR="00DB7459">
        <w:rPr>
          <w:rFonts w:asciiTheme="minorHAnsi" w:hAnsiTheme="minorHAnsi"/>
          <w:color w:val="auto"/>
        </w:rPr>
        <w:t>Iglár</w:t>
      </w:r>
      <w:proofErr w:type="spellEnd"/>
      <w:r w:rsidRPr="00A42C60">
        <w:rPr>
          <w:rFonts w:asciiTheme="minorHAnsi" w:hAnsiTheme="minorHAnsi"/>
          <w:color w:val="auto"/>
        </w:rPr>
        <w:t xml:space="preserve"> – </w:t>
      </w:r>
      <w:r w:rsidR="00DB7459">
        <w:rPr>
          <w:rFonts w:asciiTheme="minorHAnsi" w:hAnsiTheme="minorHAnsi"/>
          <w:color w:val="auto"/>
        </w:rPr>
        <w:t>kontrolný špecialista</w:t>
      </w:r>
      <w:r w:rsidRPr="00A42C60">
        <w:rPr>
          <w:rFonts w:asciiTheme="minorHAnsi" w:hAnsiTheme="minorHAnsi"/>
          <w:color w:val="auto"/>
        </w:rPr>
        <w:t xml:space="preserve">, </w:t>
      </w:r>
      <w:hyperlink r:id="rId8" w:history="1">
        <w:r w:rsidR="00DB7459" w:rsidRPr="00907F78">
          <w:rPr>
            <w:rStyle w:val="Hypertextovprepojenie"/>
            <w:rFonts w:asciiTheme="minorHAnsi" w:hAnsiTheme="minorHAnsi"/>
          </w:rPr>
          <w:t>peter.iglar@bbrsc.sk</w:t>
        </w:r>
      </w:hyperlink>
      <w:r w:rsidRPr="00A42C60">
        <w:rPr>
          <w:rFonts w:asciiTheme="minorHAnsi" w:hAnsiTheme="minorHAnsi"/>
          <w:color w:val="auto"/>
        </w:rPr>
        <w:t>,</w:t>
      </w:r>
      <w:r w:rsidR="00DB7459">
        <w:rPr>
          <w:rFonts w:asciiTheme="minorHAnsi" w:hAnsiTheme="minorHAnsi"/>
          <w:color w:val="auto"/>
        </w:rPr>
        <w:t xml:space="preserve"> </w:t>
      </w:r>
      <w:r w:rsidRPr="00A42C60">
        <w:rPr>
          <w:rFonts w:asciiTheme="minorHAnsi" w:hAnsiTheme="minorHAnsi"/>
          <w:color w:val="auto"/>
        </w:rPr>
        <w:t xml:space="preserve"> </w:t>
      </w:r>
      <w:r>
        <w:rPr>
          <w:rFonts w:asciiTheme="minorHAnsi" w:hAnsiTheme="minorHAnsi" w:cs="Times New Roman"/>
          <w:color w:val="auto"/>
        </w:rPr>
        <w:t>+421(48)</w:t>
      </w:r>
      <w:r w:rsidR="00DB7459">
        <w:rPr>
          <w:rFonts w:asciiTheme="minorHAnsi" w:hAnsiTheme="minorHAnsi" w:cs="Times New Roman"/>
          <w:color w:val="auto"/>
        </w:rPr>
        <w:t>472 73 83</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C543A7">
        <w:rPr>
          <w:rFonts w:asciiTheme="minorHAnsi" w:hAnsiTheme="minorHAnsi"/>
          <w:color w:val="auto"/>
        </w:rPr>
        <w:t>Ing. Pavel Pisár – prevádzkový riaditeľ</w:t>
      </w:r>
      <w:r w:rsidR="00DB7459">
        <w:rPr>
          <w:rFonts w:asciiTheme="minorHAnsi" w:hAnsiTheme="minorHAnsi"/>
          <w:color w:val="auto"/>
        </w:rPr>
        <w:t xml:space="preserve">, </w:t>
      </w:r>
      <w:hyperlink r:id="rId9" w:history="1">
        <w:r w:rsidR="00C543A7" w:rsidRPr="0094015E">
          <w:rPr>
            <w:rStyle w:val="Hypertextovprepojenie"/>
            <w:rFonts w:asciiTheme="minorHAnsi" w:hAnsiTheme="minorHAnsi"/>
          </w:rPr>
          <w:t>pavel.pisar@bbrsc.sk</w:t>
        </w:r>
      </w:hyperlink>
      <w:r w:rsidR="00DB7459">
        <w:rPr>
          <w:rFonts w:asciiTheme="minorHAnsi" w:hAnsiTheme="minorHAnsi"/>
          <w:color w:val="auto"/>
        </w:rPr>
        <w:t xml:space="preserve">, </w:t>
      </w:r>
      <w:r w:rsidR="00FA5161">
        <w:rPr>
          <w:rFonts w:asciiTheme="minorHAnsi" w:hAnsiTheme="minorHAnsi" w:cs="Times New Roman"/>
          <w:color w:val="auto"/>
        </w:rPr>
        <w:t xml:space="preserve">+421(48)472 </w:t>
      </w:r>
      <w:r w:rsidR="00C543A7">
        <w:rPr>
          <w:rFonts w:asciiTheme="minorHAnsi" w:hAnsiTheme="minorHAnsi" w:cs="Times New Roman"/>
          <w:color w:val="auto"/>
        </w:rPr>
        <w:t>7</w:t>
      </w:r>
      <w:r w:rsidR="00621C9A">
        <w:rPr>
          <w:rFonts w:asciiTheme="minorHAnsi" w:hAnsiTheme="minorHAnsi" w:cs="Times New Roman"/>
          <w:color w:val="auto"/>
        </w:rPr>
        <w:t>3</w:t>
      </w:r>
      <w:r w:rsidR="00DB7459">
        <w:rPr>
          <w:rFonts w:asciiTheme="minorHAnsi" w:hAnsiTheme="minorHAnsi" w:cs="Times New Roman"/>
          <w:color w:val="auto"/>
        </w:rPr>
        <w:t xml:space="preserve"> </w:t>
      </w:r>
      <w:r w:rsidR="00C543A7">
        <w:rPr>
          <w:rFonts w:asciiTheme="minorHAnsi" w:hAnsiTheme="minorHAnsi" w:cs="Times New Roman"/>
          <w:color w:val="auto"/>
        </w:rPr>
        <w:t>53</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3E509F" w:rsidRDefault="00D75D18" w:rsidP="007D21A3">
      <w:pPr>
        <w:ind w:left="993" w:right="0" w:hanging="796"/>
      </w:pPr>
      <w:r>
        <w:t>2.1</w:t>
      </w:r>
      <w:r>
        <w:tab/>
      </w:r>
      <w:r w:rsidR="00DB7459" w:rsidRPr="00DB7459">
        <w:rPr>
          <w:rFonts w:asciiTheme="minorHAnsi" w:hAnsiTheme="minorHAnsi" w:cstheme="minorHAnsi"/>
        </w:rPr>
        <w:t xml:space="preserve">Predmetom zákazky </w:t>
      </w:r>
      <w:r w:rsidR="00621C9A">
        <w:t xml:space="preserve">je nákup a dodanie </w:t>
      </w:r>
      <w:r w:rsidR="007D21A3">
        <w:t>nov</w:t>
      </w:r>
      <w:r w:rsidR="00C543A7">
        <w:t xml:space="preserve">ých </w:t>
      </w:r>
      <w:r w:rsidR="003F2619">
        <w:t xml:space="preserve">vysokokapacitných chrbtových lítiovo – iónových batérií zaručujúcich najvyššiu možnú produktivitu a najdlhšiu dobu prevádzky </w:t>
      </w:r>
      <w:r w:rsidR="007615AA">
        <w:t xml:space="preserve">profesionálnych </w:t>
      </w:r>
      <w:r w:rsidR="00C543A7">
        <w:t>akumulátorových zariadení</w:t>
      </w:r>
      <w:r w:rsidR="003F2619">
        <w:t xml:space="preserve">. </w:t>
      </w:r>
      <w:r w:rsidR="007615AA">
        <w:t xml:space="preserve">Súčasťou </w:t>
      </w:r>
      <w:r w:rsidR="007615AA" w:rsidRPr="00330DA6">
        <w:rPr>
          <w:color w:val="auto"/>
        </w:rPr>
        <w:t>dodania predmetu zákazky sú n</w:t>
      </w:r>
      <w:r w:rsidR="00621C9A" w:rsidRPr="00330DA6">
        <w:rPr>
          <w:color w:val="auto"/>
        </w:rPr>
        <w:t>áklady na dopravu</w:t>
      </w:r>
      <w:r w:rsidR="007615AA" w:rsidRPr="00330DA6">
        <w:rPr>
          <w:color w:val="auto"/>
        </w:rPr>
        <w:t xml:space="preserve"> a</w:t>
      </w:r>
      <w:r w:rsidR="00F70AEE" w:rsidRPr="00330DA6">
        <w:rPr>
          <w:color w:val="auto"/>
        </w:rPr>
        <w:t> za</w:t>
      </w:r>
      <w:r w:rsidR="007615AA" w:rsidRPr="00330DA6">
        <w:rPr>
          <w:color w:val="auto"/>
        </w:rPr>
        <w:t>školenie</w:t>
      </w:r>
      <w:r w:rsidR="00F70AEE" w:rsidRPr="00330DA6">
        <w:rPr>
          <w:color w:val="auto"/>
        </w:rPr>
        <w:t xml:space="preserve"> obsluhy</w:t>
      </w:r>
      <w:r w:rsidR="007615AA" w:rsidRPr="00330DA6">
        <w:rPr>
          <w:color w:val="auto"/>
        </w:rPr>
        <w:t xml:space="preserve"> k práci s predmetom zákazky</w:t>
      </w:r>
      <w:r w:rsidR="00F70AEE" w:rsidRPr="00330DA6">
        <w:rPr>
          <w:color w:val="auto"/>
        </w:rPr>
        <w:t xml:space="preserve">. </w:t>
      </w:r>
      <w:r w:rsidR="00621C9A" w:rsidRPr="00330DA6">
        <w:rPr>
          <w:color w:val="auto"/>
        </w:rPr>
        <w:t>Úspešný uchádzač dodá verejnému obstarávateľovi v</w:t>
      </w:r>
      <w:r w:rsidR="007D21A3" w:rsidRPr="00330DA6">
        <w:rPr>
          <w:color w:val="auto"/>
        </w:rPr>
        <w:t> </w:t>
      </w:r>
      <w:r w:rsidR="00621C9A" w:rsidRPr="00330DA6">
        <w:rPr>
          <w:color w:val="auto"/>
        </w:rPr>
        <w:t>čase</w:t>
      </w:r>
      <w:r w:rsidR="007D21A3" w:rsidRPr="00330DA6">
        <w:rPr>
          <w:color w:val="auto"/>
        </w:rPr>
        <w:t xml:space="preserve"> predloženia ponuky predmet zákazky v minimálne požadovaných parametroch</w:t>
      </w:r>
      <w:r w:rsidR="00621C9A" w:rsidRPr="00330DA6">
        <w:rPr>
          <w:color w:val="auto"/>
        </w:rPr>
        <w:t>, ktoré sú uvedené v</w:t>
      </w:r>
      <w:r w:rsidR="00B226E0" w:rsidRPr="00330DA6">
        <w:rPr>
          <w:color w:val="auto"/>
        </w:rPr>
        <w:t> Opise predmetu zákazky</w:t>
      </w:r>
      <w:r w:rsidR="007D21A3" w:rsidRPr="00330DA6">
        <w:rPr>
          <w:color w:val="auto"/>
        </w:rPr>
        <w:t xml:space="preserve"> </w:t>
      </w:r>
      <w:r w:rsidR="00FA5161" w:rsidRPr="00330DA6">
        <w:rPr>
          <w:rFonts w:asciiTheme="minorHAnsi" w:hAnsiTheme="minorHAnsi" w:cstheme="minorHAnsi"/>
          <w:color w:val="auto"/>
        </w:rPr>
        <w:t xml:space="preserve">podľa prílohy č. 3 </w:t>
      </w:r>
      <w:r w:rsidR="00DB7459" w:rsidRPr="00330DA6">
        <w:rPr>
          <w:rFonts w:asciiTheme="minorHAnsi" w:hAnsiTheme="minorHAnsi" w:cstheme="minorHAnsi"/>
          <w:color w:val="auto"/>
        </w:rPr>
        <w:t>Výzvy</w:t>
      </w:r>
      <w:r w:rsidR="00FA5161" w:rsidRPr="00330DA6">
        <w:rPr>
          <w:rFonts w:asciiTheme="minorHAnsi" w:hAnsiTheme="minorHAnsi" w:cstheme="minorHAnsi"/>
          <w:color w:val="auto"/>
        </w:rPr>
        <w:t xml:space="preserve"> </w:t>
      </w:r>
      <w:r w:rsidR="00B226E0" w:rsidRPr="00330DA6">
        <w:rPr>
          <w:rFonts w:asciiTheme="minorHAnsi" w:hAnsiTheme="minorHAnsi" w:cstheme="minorHAnsi"/>
          <w:color w:val="auto"/>
        </w:rPr>
        <w:t>–</w:t>
      </w:r>
      <w:r w:rsidR="00FA5161" w:rsidRPr="00330DA6">
        <w:rPr>
          <w:rFonts w:asciiTheme="minorHAnsi" w:hAnsiTheme="minorHAnsi" w:cstheme="minorHAnsi"/>
          <w:color w:val="auto"/>
        </w:rPr>
        <w:t xml:space="preserve"> </w:t>
      </w:r>
      <w:r w:rsidR="00B226E0" w:rsidRPr="00330DA6">
        <w:rPr>
          <w:rFonts w:asciiTheme="minorHAnsi" w:hAnsiTheme="minorHAnsi" w:cstheme="minorHAnsi"/>
          <w:color w:val="auto"/>
        </w:rPr>
        <w:t>Opis predmetu zákazky</w:t>
      </w:r>
      <w:r w:rsidR="00DB7459" w:rsidRPr="00330DA6">
        <w:rPr>
          <w:rFonts w:asciiTheme="minorHAnsi" w:hAnsiTheme="minorHAnsi" w:cstheme="minorHAnsi"/>
          <w:color w:val="auto"/>
        </w:rPr>
        <w:t xml:space="preserve">. Dodávka tovarov v dohodnutom čase, mieste a podľa ostatných podmienok je súčasťou </w:t>
      </w:r>
      <w:r w:rsidR="007D21A3" w:rsidRPr="00330DA6">
        <w:rPr>
          <w:rFonts w:asciiTheme="minorHAnsi" w:hAnsiTheme="minorHAnsi" w:cstheme="minorHAnsi"/>
          <w:color w:val="auto"/>
        </w:rPr>
        <w:t>K</w:t>
      </w:r>
      <w:r w:rsidR="00FA5161" w:rsidRPr="00330DA6">
        <w:rPr>
          <w:rFonts w:asciiTheme="minorHAnsi" w:hAnsiTheme="minorHAnsi" w:cstheme="minorHAnsi"/>
          <w:color w:val="auto"/>
        </w:rPr>
        <w:t xml:space="preserve">úpnej </w:t>
      </w:r>
      <w:r w:rsidR="00DB7459" w:rsidRPr="00330DA6">
        <w:rPr>
          <w:rFonts w:asciiTheme="minorHAnsi" w:hAnsiTheme="minorHAnsi" w:cstheme="minorHAnsi"/>
          <w:color w:val="auto"/>
        </w:rPr>
        <w:t xml:space="preserve">zmluvy (Príloha č. 2 tejto Výzvy) v rozsahu dodávok uvedených </w:t>
      </w:r>
      <w:r w:rsidR="00523F5B" w:rsidRPr="00330DA6">
        <w:rPr>
          <w:color w:val="auto"/>
        </w:rPr>
        <w:t xml:space="preserve">v Opise predmetu zákazky </w:t>
      </w:r>
      <w:r w:rsidR="00523F5B" w:rsidRPr="00330DA6">
        <w:rPr>
          <w:rFonts w:asciiTheme="minorHAnsi" w:hAnsiTheme="minorHAnsi" w:cstheme="minorHAnsi"/>
          <w:color w:val="auto"/>
        </w:rPr>
        <w:t>podľa prílohy č. 3 Výzvy</w:t>
      </w:r>
      <w:r w:rsidR="00F70AEE" w:rsidRPr="00330DA6">
        <w:rPr>
          <w:rFonts w:asciiTheme="minorHAnsi" w:hAnsiTheme="minorHAnsi" w:cstheme="minorHAnsi"/>
          <w:color w:val="auto"/>
        </w:rPr>
        <w:t xml:space="preserve"> </w:t>
      </w:r>
      <w:r w:rsidR="00DB7459" w:rsidRPr="00330DA6">
        <w:rPr>
          <w:rFonts w:asciiTheme="minorHAnsi" w:hAnsiTheme="minorHAnsi" w:cstheme="minorHAnsi"/>
          <w:color w:val="auto"/>
        </w:rPr>
        <w:t>a v</w:t>
      </w:r>
      <w:r w:rsidR="007D21A3" w:rsidRPr="00330DA6">
        <w:rPr>
          <w:rFonts w:asciiTheme="minorHAnsi" w:hAnsiTheme="minorHAnsi" w:cstheme="minorHAnsi"/>
          <w:color w:val="auto"/>
        </w:rPr>
        <w:t> Kúpnej zmluve</w:t>
      </w:r>
      <w:r w:rsidR="00DB7459" w:rsidRPr="00330DA6">
        <w:rPr>
          <w:rFonts w:asciiTheme="minorHAnsi" w:hAnsiTheme="minorHAnsi" w:cstheme="minorHAnsi"/>
          <w:color w:val="auto"/>
        </w:rPr>
        <w:t xml:space="preserve"> (Príloha č. 2 tejto Výzvy</w:t>
      </w:r>
      <w:r w:rsidR="00DB7459" w:rsidRPr="00DB7459">
        <w:rPr>
          <w:rFonts w:asciiTheme="minorHAnsi" w:hAnsiTheme="minorHAnsi" w:cstheme="minorHAnsi"/>
        </w:rPr>
        <w:t>)</w:t>
      </w:r>
      <w:r w:rsidR="00330DA6">
        <w:rPr>
          <w:rFonts w:asciiTheme="minorHAnsi" w:hAnsiTheme="minorHAnsi" w:cstheme="minorHAnsi"/>
        </w:rPr>
        <w:t>.</w:t>
      </w:r>
    </w:p>
    <w:p w:rsidR="002F4419" w:rsidRDefault="002F4419" w:rsidP="002F4419">
      <w:pPr>
        <w:pStyle w:val="Odsekzoznamu"/>
        <w:spacing w:after="7" w:line="247" w:lineRule="auto"/>
        <w:ind w:left="1080" w:right="0" w:firstLine="0"/>
      </w:pPr>
    </w:p>
    <w:p w:rsidR="002F4419" w:rsidRDefault="00D75D18" w:rsidP="00EC4E68">
      <w:pPr>
        <w:spacing w:after="7" w:line="247" w:lineRule="auto"/>
        <w:ind w:left="360" w:right="0" w:hanging="218"/>
      </w:pPr>
      <w:r>
        <w:t>2.2</w:t>
      </w:r>
      <w:r>
        <w:tab/>
        <w:t xml:space="preserve">       </w:t>
      </w:r>
      <w:r w:rsidR="002F4419">
        <w:t>Spoločný slovník obstarávania (CPV):</w:t>
      </w:r>
    </w:p>
    <w:p w:rsidR="007D21A3" w:rsidRPr="007D21A3" w:rsidRDefault="00E5594A" w:rsidP="00763557">
      <w:pPr>
        <w:spacing w:before="84" w:after="0" w:line="240" w:lineRule="auto"/>
        <w:ind w:right="-20"/>
        <w:rPr>
          <w:rFonts w:asciiTheme="minorHAnsi" w:eastAsia="Microsoft Sans Serif" w:hAnsiTheme="minorHAnsi" w:cstheme="minorHAnsi"/>
        </w:rPr>
      </w:pPr>
      <w:r>
        <w:t xml:space="preserve">              </w:t>
      </w:r>
      <w:r w:rsidR="00763557">
        <w:t xml:space="preserve">       </w:t>
      </w:r>
      <w:r w:rsidR="002F4419">
        <w:t xml:space="preserve">Hlavný predmet: </w:t>
      </w:r>
      <w:r w:rsidR="002F4419">
        <w:tab/>
      </w:r>
      <w:r w:rsidR="002F4419">
        <w:tab/>
      </w:r>
      <w:r w:rsidR="00330DA6">
        <w:rPr>
          <w:rFonts w:asciiTheme="minorHAnsi" w:eastAsia="Microsoft Sans Serif" w:hAnsiTheme="minorHAnsi" w:cstheme="minorHAnsi"/>
        </w:rPr>
        <w:t>3</w:t>
      </w:r>
      <w:r w:rsidR="00823A9E">
        <w:rPr>
          <w:rFonts w:asciiTheme="minorHAnsi" w:eastAsia="Microsoft Sans Serif" w:hAnsiTheme="minorHAnsi" w:cstheme="minorHAnsi"/>
        </w:rPr>
        <w:t>1434000</w:t>
      </w:r>
      <w:r w:rsidR="00330DA6">
        <w:rPr>
          <w:rFonts w:asciiTheme="minorHAnsi" w:eastAsia="Microsoft Sans Serif" w:hAnsiTheme="minorHAnsi" w:cstheme="minorHAnsi"/>
        </w:rPr>
        <w:t>-</w:t>
      </w:r>
      <w:r w:rsidR="00823A9E">
        <w:rPr>
          <w:rFonts w:asciiTheme="minorHAnsi" w:eastAsia="Microsoft Sans Serif" w:hAnsiTheme="minorHAnsi" w:cstheme="minorHAnsi"/>
        </w:rPr>
        <w:t>7</w:t>
      </w:r>
      <w:r w:rsidR="007D21A3" w:rsidRPr="007D21A3">
        <w:rPr>
          <w:rFonts w:asciiTheme="minorHAnsi" w:eastAsia="Microsoft Sans Serif" w:hAnsiTheme="minorHAnsi" w:cstheme="minorHAnsi"/>
        </w:rPr>
        <w:t xml:space="preserve">  </w:t>
      </w:r>
      <w:r w:rsidR="00763557">
        <w:rPr>
          <w:rFonts w:asciiTheme="minorHAnsi" w:eastAsia="Microsoft Sans Serif" w:hAnsiTheme="minorHAnsi" w:cstheme="minorHAnsi"/>
        </w:rPr>
        <w:t xml:space="preserve">    </w:t>
      </w:r>
      <w:r w:rsidR="00823A9E">
        <w:rPr>
          <w:rFonts w:asciiTheme="minorHAnsi" w:eastAsia="Microsoft Sans Serif" w:hAnsiTheme="minorHAnsi" w:cstheme="minorHAnsi"/>
        </w:rPr>
        <w:t>Lítiové akumulátory</w:t>
      </w:r>
    </w:p>
    <w:p w:rsidR="00E5594A" w:rsidRPr="00E5594A" w:rsidRDefault="00B937F6" w:rsidP="00E5594A">
      <w:pPr>
        <w:shd w:val="clear" w:color="auto" w:fill="FFFFFF"/>
        <w:spacing w:after="0" w:line="240" w:lineRule="auto"/>
        <w:ind w:left="357"/>
        <w:rPr>
          <w:rFonts w:asciiTheme="minorHAnsi" w:eastAsia="Times New Roman" w:hAnsiTheme="minorHAnsi" w:cstheme="minorHAnsi"/>
          <w:color w:val="333333"/>
        </w:rPr>
      </w:pPr>
      <w:r>
        <w:rPr>
          <w:rFonts w:asciiTheme="minorHAnsi" w:eastAsia="Times New Roman" w:hAnsiTheme="minorHAnsi" w:cstheme="minorHAnsi"/>
          <w:bCs/>
          <w:color w:val="333333"/>
        </w:rPr>
        <w:t xml:space="preserve">                                                              </w:t>
      </w:r>
      <w:r w:rsidR="00E5594A" w:rsidRPr="00E5594A">
        <w:rPr>
          <w:rFonts w:asciiTheme="minorHAnsi" w:eastAsia="Times New Roman" w:hAnsiTheme="minorHAnsi" w:cstheme="minorHAnsi"/>
          <w:color w:val="333333"/>
        </w:rPr>
        <w:t xml:space="preserve">                                       </w:t>
      </w:r>
    </w:p>
    <w:p w:rsidR="00763557" w:rsidRPr="00763557" w:rsidRDefault="00E5594A" w:rsidP="00823A9E">
      <w:pPr>
        <w:shd w:val="clear" w:color="auto" w:fill="FFFFFF"/>
        <w:spacing w:after="0" w:line="240" w:lineRule="auto"/>
        <w:ind w:left="357"/>
        <w:rPr>
          <w:rFonts w:asciiTheme="minorHAnsi" w:eastAsia="Times New Roman" w:hAnsiTheme="minorHAnsi" w:cstheme="minorHAnsi"/>
          <w:color w:val="auto"/>
        </w:rPr>
      </w:pPr>
      <w:r>
        <w:rPr>
          <w:rFonts w:asciiTheme="minorHAnsi" w:hAnsiTheme="minorHAnsi"/>
        </w:rPr>
        <w:t xml:space="preserve">              </w:t>
      </w:r>
      <w:r w:rsidRPr="00E5594A">
        <w:rPr>
          <w:rFonts w:asciiTheme="minorHAnsi" w:hAnsiTheme="minorHAnsi"/>
        </w:rPr>
        <w:t xml:space="preserve">Doplňujúci CPV kód:   </w:t>
      </w:r>
      <w:r>
        <w:rPr>
          <w:rFonts w:asciiTheme="minorHAnsi" w:hAnsiTheme="minorHAnsi"/>
        </w:rPr>
        <w:t xml:space="preserve">           </w:t>
      </w:r>
      <w:r w:rsidR="00763557" w:rsidRPr="00763557">
        <w:rPr>
          <w:rFonts w:asciiTheme="minorHAnsi" w:eastAsia="Times New Roman" w:hAnsiTheme="minorHAnsi" w:cstheme="minorHAnsi"/>
          <w:color w:val="auto"/>
        </w:rPr>
        <w:t>60000000-8      Dopravné služby (bez prepravy odpadu)</w:t>
      </w:r>
    </w:p>
    <w:p w:rsidR="00D32ADB" w:rsidRDefault="00D32ADB" w:rsidP="002F4419">
      <w:pPr>
        <w:spacing w:after="0" w:line="259" w:lineRule="auto"/>
        <w:ind w:left="0" w:right="0" w:firstLine="0"/>
      </w:pPr>
      <w:r>
        <w:tab/>
      </w: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B226E0" w:rsidRDefault="00EC4E68" w:rsidP="00B226E0">
      <w:pPr>
        <w:tabs>
          <w:tab w:val="left" w:pos="1418"/>
        </w:tabs>
        <w:spacing w:after="0" w:line="240" w:lineRule="auto"/>
        <w:ind w:left="750" w:right="-20" w:hanging="608"/>
        <w:rPr>
          <w:rFonts w:asciiTheme="minorHAnsi" w:hAnsiTheme="minorHAnsi" w:cstheme="minorHAnsi"/>
        </w:rPr>
      </w:pPr>
      <w:r>
        <w:t xml:space="preserve">3.1. </w:t>
      </w:r>
      <w:r w:rsidR="00330DA6">
        <w:t xml:space="preserve"> </w:t>
      </w:r>
      <w:r w:rsidR="00E5594A" w:rsidRPr="00EC4E68">
        <w:t xml:space="preserve">Dodávka </w:t>
      </w:r>
      <w:r w:rsidR="00330DA6">
        <w:t>predmetu zákazky</w:t>
      </w:r>
      <w:r w:rsidR="00E5594A" w:rsidRPr="00EC4E68">
        <w:t xml:space="preserve"> s</w:t>
      </w:r>
      <w:r w:rsidR="00763557">
        <w:t> </w:t>
      </w:r>
      <w:r w:rsidR="00E5594A" w:rsidRPr="00EC4E68">
        <w:t>dovozom</w:t>
      </w:r>
      <w:r w:rsidR="00763557">
        <w:t xml:space="preserve"> do sídla verejného obstarávateľa, a to </w:t>
      </w:r>
      <w:r w:rsidR="00763557" w:rsidRPr="00B226E0">
        <w:rPr>
          <w:rFonts w:asciiTheme="minorHAnsi" w:hAnsiTheme="minorHAnsi" w:cstheme="minorHAnsi"/>
        </w:rPr>
        <w:t>Banskobystrická regionálna správa ciest, a.s., Majerská cesta 94, 974 96  Banská Bystrica v predpokladanom množstve</w:t>
      </w:r>
      <w:r w:rsidR="00823A9E">
        <w:rPr>
          <w:rFonts w:asciiTheme="minorHAnsi" w:hAnsiTheme="minorHAnsi" w:cstheme="minorHAnsi"/>
        </w:rPr>
        <w:t xml:space="preserve"> </w:t>
      </w:r>
      <w:r w:rsidR="00823A9E" w:rsidRPr="00042031">
        <w:rPr>
          <w:rFonts w:asciiTheme="minorHAnsi" w:hAnsiTheme="minorHAnsi" w:cstheme="minorHAnsi"/>
          <w:b/>
        </w:rPr>
        <w:t>60 ks</w:t>
      </w:r>
      <w:r w:rsidR="00823A9E">
        <w:rPr>
          <w:rFonts w:asciiTheme="minorHAnsi" w:hAnsiTheme="minorHAnsi" w:cstheme="minorHAnsi"/>
        </w:rPr>
        <w:t xml:space="preserve"> </w:t>
      </w:r>
      <w:r w:rsidR="00823A9E">
        <w:t>chrbtových lítiovo – iónových batérií.</w:t>
      </w:r>
      <w:r w:rsidR="00B226E0" w:rsidRPr="00B226E0">
        <w:rPr>
          <w:rFonts w:asciiTheme="minorHAnsi" w:hAnsiTheme="minorHAnsi" w:cstheme="minorHAnsi"/>
        </w:rPr>
        <w:t xml:space="preserve"> </w:t>
      </w:r>
    </w:p>
    <w:p w:rsidR="00370DC1" w:rsidRPr="00EC4E68" w:rsidRDefault="00190B6A" w:rsidP="00B226E0">
      <w:pPr>
        <w:tabs>
          <w:tab w:val="left" w:pos="9072"/>
        </w:tabs>
        <w:spacing w:after="0" w:line="240" w:lineRule="auto"/>
        <w:ind w:left="993" w:right="0" w:hanging="851"/>
      </w:pPr>
      <w:r>
        <w:t xml:space="preserve">                 </w:t>
      </w:r>
      <w:bookmarkStart w:id="1" w:name="_GoBack"/>
      <w:bookmarkEnd w:id="1"/>
    </w:p>
    <w:p w:rsidR="00D32ADB" w:rsidRDefault="00D32ADB" w:rsidP="00E51840">
      <w:pPr>
        <w:pStyle w:val="Nadpis1"/>
        <w:numPr>
          <w:ilvl w:val="0"/>
          <w:numId w:val="3"/>
        </w:numPr>
        <w:spacing w:after="120" w:line="240" w:lineRule="auto"/>
        <w:ind w:left="425" w:right="272" w:hanging="357"/>
      </w:pPr>
      <w:bookmarkStart w:id="2" w:name="_Toc12162"/>
      <w:r>
        <w:t>Typ zmluvy</w:t>
      </w:r>
      <w:r>
        <w:rPr>
          <w:b w:val="0"/>
        </w:rPr>
        <w:t xml:space="preserve"> </w:t>
      </w:r>
      <w:bookmarkEnd w:id="2"/>
    </w:p>
    <w:p w:rsidR="00D32ADB" w:rsidRPr="0059403F" w:rsidRDefault="00B226E0" w:rsidP="004B7C4A">
      <w:pPr>
        <w:pStyle w:val="Odsekzoznamu"/>
        <w:numPr>
          <w:ilvl w:val="1"/>
          <w:numId w:val="3"/>
        </w:numPr>
        <w:ind w:left="851" w:right="274"/>
      </w:pPr>
      <w:r>
        <w:rPr>
          <w:color w:val="000000" w:themeColor="text1"/>
        </w:rPr>
        <w:t>K</w:t>
      </w:r>
      <w:r w:rsidR="004B7C4A">
        <w:rPr>
          <w:color w:val="000000" w:themeColor="text1"/>
        </w:rPr>
        <w:t>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Default="004B7C4A" w:rsidP="004B7C4A">
      <w:pPr>
        <w:pStyle w:val="Odsekzoznamu"/>
        <w:numPr>
          <w:ilvl w:val="1"/>
          <w:numId w:val="3"/>
        </w:numPr>
        <w:ind w:left="851" w:right="274"/>
      </w:pPr>
      <w:r>
        <w:t>Neuvádza sa</w:t>
      </w:r>
      <w:r w:rsidR="00D32ADB">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D32ADB" w:rsidRDefault="00B226E0" w:rsidP="00823A9E">
      <w:pPr>
        <w:pStyle w:val="Odsekzoznamu"/>
        <w:numPr>
          <w:ilvl w:val="1"/>
          <w:numId w:val="3"/>
        </w:numPr>
        <w:spacing w:after="0" w:line="240" w:lineRule="auto"/>
        <w:ind w:left="850" w:right="0"/>
      </w:pPr>
      <w:r>
        <w:rPr>
          <w:rFonts w:asciiTheme="minorHAnsi" w:hAnsiTheme="minorHAnsi" w:cs="Arial"/>
        </w:rPr>
        <w:t>K</w:t>
      </w:r>
      <w:r w:rsidR="00E616D0">
        <w:rPr>
          <w:rFonts w:asciiTheme="minorHAnsi" w:hAnsiTheme="minorHAnsi" w:cs="Arial"/>
        </w:rPr>
        <w:t xml:space="preserve">úpna </w:t>
      </w:r>
      <w:r w:rsidR="004B7C4A">
        <w:rPr>
          <w:rFonts w:asciiTheme="minorHAnsi" w:hAnsiTheme="minorHAnsi" w:cs="Arial"/>
        </w:rPr>
        <w:t>z</w:t>
      </w:r>
      <w:r w:rsidR="004B7C4A" w:rsidRPr="00BC25E1">
        <w:rPr>
          <w:rFonts w:asciiTheme="minorHAnsi" w:hAnsiTheme="minorHAnsi" w:cs="Arial"/>
        </w:rPr>
        <w:t xml:space="preserve">mluva sa uzatvára na dobu </w:t>
      </w:r>
      <w:r w:rsidR="004B7C4A">
        <w:rPr>
          <w:rFonts w:asciiTheme="minorHAnsi" w:hAnsiTheme="minorHAnsi" w:cs="Arial"/>
        </w:rPr>
        <w:t xml:space="preserve">určitú, </w:t>
      </w:r>
      <w:r w:rsidR="000362D7" w:rsidRPr="00A046A1">
        <w:rPr>
          <w:rFonts w:asciiTheme="minorHAnsi" w:hAnsiTheme="minorHAnsi" w:cstheme="minorHAnsi"/>
        </w:rPr>
        <w:t>na dobu splnenia všetkých záväzkov zmluvných strán vyplývajúcich z</w:t>
      </w:r>
      <w:r w:rsidR="000362D7">
        <w:rPr>
          <w:rFonts w:asciiTheme="minorHAnsi" w:hAnsiTheme="minorHAnsi" w:cstheme="minorHAnsi"/>
        </w:rPr>
        <w:t> kúpnej zmluvy</w:t>
      </w:r>
      <w:r w:rsidR="000362D7" w:rsidRPr="00A046A1">
        <w:rPr>
          <w:rFonts w:asciiTheme="minorHAnsi" w:hAnsiTheme="minorHAnsi" w:cstheme="minorHAnsi"/>
        </w:rPr>
        <w:t xml:space="preserve">. Po uvedenú dobu je pre plnenie </w:t>
      </w:r>
      <w:r w:rsidR="000362D7">
        <w:rPr>
          <w:rFonts w:asciiTheme="minorHAnsi" w:hAnsiTheme="minorHAnsi" w:cstheme="minorHAnsi"/>
        </w:rPr>
        <w:t>kúpnej z</w:t>
      </w:r>
      <w:r w:rsidR="000362D7" w:rsidRPr="00A046A1">
        <w:rPr>
          <w:rFonts w:asciiTheme="minorHAnsi" w:hAnsiTheme="minorHAnsi" w:cstheme="minorHAnsi"/>
        </w:rPr>
        <w:t xml:space="preserve">mluvy zachovaná záväzná viazanosť ponuky </w:t>
      </w:r>
      <w:r w:rsidR="000362D7">
        <w:rPr>
          <w:rFonts w:asciiTheme="minorHAnsi" w:hAnsiTheme="minorHAnsi" w:cstheme="minorHAnsi"/>
        </w:rPr>
        <w:t>uchádzača</w:t>
      </w:r>
      <w:r>
        <w:rPr>
          <w:rFonts w:asciiTheme="minorHAnsi" w:hAnsiTheme="minorHAnsi" w:cs="Arial"/>
        </w:rPr>
        <w:t xml:space="preserve">. </w:t>
      </w:r>
      <w:r w:rsidR="004B7C4A">
        <w:rPr>
          <w:rFonts w:asciiTheme="minorHAnsi" w:hAnsiTheme="minorHAnsi" w:cs="Arial"/>
        </w:rPr>
        <w:t xml:space="preserve"> </w:t>
      </w:r>
      <w:r w:rsidR="001A1A79">
        <w:rPr>
          <w:rFonts w:asciiTheme="minorHAnsi" w:hAnsiTheme="minorHAnsi" w:cs="Arial"/>
        </w:rPr>
        <w:t xml:space="preserve">Maximálna doba dodania predmetu zákazky je 30 kalendárnych dní. </w:t>
      </w:r>
      <w:r>
        <w:rPr>
          <w:rFonts w:asciiTheme="minorHAnsi" w:hAnsiTheme="minorHAnsi" w:cs="Arial"/>
        </w:rPr>
        <w:t>K</w:t>
      </w:r>
      <w:r w:rsidR="00E616D0">
        <w:rPr>
          <w:rFonts w:asciiTheme="minorHAnsi" w:hAnsiTheme="minorHAnsi" w:cs="Arial"/>
        </w:rPr>
        <w:t xml:space="preserve">úpna </w:t>
      </w:r>
      <w:r w:rsidR="004B7C4A">
        <w:rPr>
          <w:rFonts w:asciiTheme="minorHAnsi" w:hAnsiTheme="minorHAnsi" w:cs="Arial"/>
        </w:rPr>
        <w:t>z</w:t>
      </w:r>
      <w:r w:rsidR="004B7C4A" w:rsidRPr="00BC25E1">
        <w:rPr>
          <w:rFonts w:asciiTheme="minorHAnsi" w:hAnsiTheme="minorHAnsi" w:cs="Arial"/>
        </w:rPr>
        <w:t>mluva nadobúda platnosť dňom podpísania obidvomi zmluvnými stranami a účinnosť dňom nasledujúcim po dni jej zverejnenia na webovom sídle obstarávateľa</w:t>
      </w:r>
      <w:r w:rsidR="00D32ADB">
        <w:t xml:space="preserve">. </w:t>
      </w:r>
    </w:p>
    <w:p w:rsidR="00D32ADB" w:rsidRDefault="00D32ADB" w:rsidP="00E51840">
      <w:pPr>
        <w:pStyle w:val="Nadpis1"/>
        <w:numPr>
          <w:ilvl w:val="0"/>
          <w:numId w:val="3"/>
        </w:numPr>
        <w:spacing w:after="120" w:line="240" w:lineRule="auto"/>
        <w:ind w:left="425" w:right="272" w:hanging="357"/>
      </w:pPr>
      <w:r>
        <w:lastRenderedPageBreak/>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3" w:name="_Toc12164"/>
      <w:r>
        <w:t xml:space="preserve"> Zdroj finančných prostriedkov</w:t>
      </w:r>
    </w:p>
    <w:p w:rsidR="00287B7C" w:rsidRDefault="00287B7C" w:rsidP="00287B7C">
      <w:pPr>
        <w:ind w:left="851"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(Rámcovej</w:t>
      </w:r>
      <w:r w:rsidR="00E616D0">
        <w:rPr>
          <w:rFonts w:asciiTheme="minorHAnsi" w:hAnsiTheme="minorHAnsi"/>
        </w:rPr>
        <w:t xml:space="preserve"> kúpnej </w:t>
      </w:r>
      <w:r w:rsidRPr="00287B7C">
        <w:rPr>
          <w:rFonts w:asciiTheme="minorHAnsi" w:hAnsiTheme="minorHAnsi"/>
        </w:rPr>
        <w:t>zmluvy)</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3A3874">
      <w:pPr>
        <w:ind w:left="851"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3"/>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w:t>
      </w:r>
      <w:r w:rsidRPr="005625E3">
        <w:rPr>
          <w:color w:val="auto"/>
        </w:rPr>
        <w:lastRenderedPageBreak/>
        <w:t xml:space="preserve">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proofErr w:type="spellStart"/>
      <w:r w:rsidR="00531FD8" w:rsidRPr="00531FD8">
        <w:t>t.j</w:t>
      </w:r>
      <w:proofErr w:type="spellEnd"/>
      <w:r w:rsidR="00531FD8" w:rsidRPr="00531FD8">
        <w:t xml:space="preserve">. uchádzač </w:t>
      </w:r>
      <w:r w:rsidR="0059403F">
        <w:rPr>
          <w:b/>
        </w:rPr>
        <w:t>je oprávnený</w:t>
      </w:r>
      <w:r w:rsidR="00531FD8" w:rsidRPr="00531FD8">
        <w:rPr>
          <w:b/>
        </w:rPr>
        <w:t xml:space="preserve"> </w:t>
      </w:r>
      <w:r w:rsidR="0059403F">
        <w:rPr>
          <w:b/>
        </w:rPr>
        <w:t>poskytovať služby</w:t>
      </w:r>
      <w:r w:rsidR="0059403F">
        <w:t>, ktoré zodpovedajú</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E616D0">
        <w:rPr>
          <w:b/>
          <w:color w:val="auto"/>
          <w:shd w:val="clear" w:color="auto" w:fill="FFFFFF"/>
        </w:rPr>
        <w:t xml:space="preserve"> </w:t>
      </w:r>
      <w:r w:rsidR="00E616D0" w:rsidRPr="00E616D0">
        <w:rPr>
          <w:color w:val="auto"/>
          <w:shd w:val="clear" w:color="auto" w:fill="FFFFFF"/>
        </w:rPr>
        <w:t>(Príloha č. 4 Výzvy)</w:t>
      </w:r>
      <w:r w:rsidR="00531FD8" w:rsidRPr="00E616D0">
        <w:rPr>
          <w:color w:val="auto"/>
          <w:shd w:val="clear" w:color="auto" w:fill="FFFFFF"/>
        </w:rPr>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4F09BF" w:rsidRPr="0026376D" w:rsidRDefault="004F09BF" w:rsidP="004F09BF">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4F09BF" w:rsidRPr="00220B32" w:rsidRDefault="004F09BF" w:rsidP="004F09BF">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proofErr w:type="spellStart"/>
      <w:r w:rsidRPr="00220B32">
        <w:rPr>
          <w:rFonts w:asciiTheme="minorHAnsi" w:hAnsiTheme="minorHAnsi" w:cstheme="minorHAnsi"/>
          <w:sz w:val="22"/>
          <w:szCs w:val="22"/>
        </w:rPr>
        <w:t>t.j</w:t>
      </w:r>
      <w:proofErr w:type="spellEnd"/>
      <w:r w:rsidRPr="00220B32">
        <w:rPr>
          <w:rFonts w:asciiTheme="minorHAnsi" w:hAnsiTheme="minorHAnsi" w:cstheme="minorHAnsi"/>
          <w:sz w:val="22"/>
          <w:szCs w:val="22"/>
        </w:rPr>
        <w:t>.</w:t>
      </w:r>
      <w:r>
        <w:t xml:space="preserve"> </w:t>
      </w:r>
      <w:r w:rsidRPr="00220B32">
        <w:rPr>
          <w:rFonts w:ascii="Calibri" w:hAnsi="Calibri" w:cs="Calibri"/>
          <w:sz w:val="22"/>
          <w:szCs w:val="22"/>
        </w:rPr>
        <w:t xml:space="preserve">dokladovať zoznam dodaných tovarov za predchádzajúce tri roky od vyhlásenia verejného obstarávania s uvedením cien, lehôt dodania a odberateľov s kontaktnou osobou a telefonickým kontaktom, ktorý musí obsahovať dodávku tovarov rovnakého alebo podobného charakteru ako je predmet zákazky, ktorých cena kumulatívne (spolu) za všetky tri predchádzajúce roky od vyhlásenia verejného obstarávania </w:t>
      </w:r>
      <w:r w:rsidRPr="00220B32">
        <w:rPr>
          <w:rFonts w:asciiTheme="minorHAnsi" w:hAnsiTheme="minorHAnsi" w:cstheme="minorHAnsi"/>
          <w:sz w:val="22"/>
          <w:szCs w:val="22"/>
        </w:rPr>
        <w:t xml:space="preserve">dosiahla úroveň </w:t>
      </w:r>
      <w:r w:rsidRPr="00220B32">
        <w:rPr>
          <w:rFonts w:asciiTheme="minorHAnsi" w:hAnsiTheme="minorHAnsi" w:cstheme="minorHAnsi"/>
          <w:b/>
          <w:bCs/>
          <w:sz w:val="22"/>
          <w:szCs w:val="22"/>
        </w:rPr>
        <w:t xml:space="preserve">minimálne </w:t>
      </w:r>
      <w:r>
        <w:rPr>
          <w:rFonts w:asciiTheme="minorHAnsi" w:hAnsiTheme="minorHAnsi" w:cstheme="minorHAnsi"/>
          <w:b/>
          <w:bCs/>
          <w:sz w:val="22"/>
          <w:szCs w:val="22"/>
        </w:rPr>
        <w:t>50</w:t>
      </w:r>
      <w:r w:rsidRPr="00220B32">
        <w:rPr>
          <w:rFonts w:asciiTheme="minorHAnsi" w:hAnsiTheme="minorHAnsi" w:cstheme="minorHAnsi"/>
          <w:b/>
          <w:bCs/>
          <w:sz w:val="22"/>
          <w:szCs w:val="22"/>
        </w:rPr>
        <w:t> 000,- EUR.</w:t>
      </w:r>
      <w:r w:rsidRPr="00220B32">
        <w:rPr>
          <w:rFonts w:asciiTheme="minorHAnsi" w:hAnsiTheme="minorHAnsi" w:cstheme="minorHAnsi"/>
          <w:bCs/>
          <w:sz w:val="22"/>
          <w:szCs w:val="22"/>
        </w:rPr>
        <w:t xml:space="preserve"> </w:t>
      </w:r>
      <w:r w:rsidRPr="00220B32">
        <w:rPr>
          <w:rFonts w:asciiTheme="minorHAnsi" w:hAnsiTheme="minorHAnsi" w:cstheme="minorHAnsi"/>
          <w:sz w:val="22"/>
          <w:szCs w:val="22"/>
        </w:rPr>
        <w:t xml:space="preserve">Za tovary rovnakého alebo podobného charakteru sa považuje dodávka </w:t>
      </w:r>
      <w:r w:rsidR="0063294F">
        <w:rPr>
          <w:rFonts w:asciiTheme="minorHAnsi" w:hAnsiTheme="minorHAnsi" w:cstheme="minorHAnsi"/>
          <w:sz w:val="22"/>
          <w:szCs w:val="22"/>
        </w:rPr>
        <w:t>Lítiovo – iónových batérií</w:t>
      </w:r>
      <w:r w:rsidRPr="00220B32">
        <w:rPr>
          <w:rFonts w:asciiTheme="minorHAnsi" w:hAnsiTheme="minorHAnsi" w:cstheme="minorHAnsi"/>
          <w:sz w:val="22"/>
          <w:szCs w:val="22"/>
        </w:rPr>
        <w:t>.</w:t>
      </w:r>
    </w:p>
    <w:p w:rsidR="00D32ADB" w:rsidRDefault="004F09BF" w:rsidP="004F09BF">
      <w:pPr>
        <w:pStyle w:val="Odsekzoznamu"/>
        <w:spacing w:after="93" w:line="252" w:lineRule="auto"/>
        <w:ind w:left="1418" w:right="0" w:firstLine="0"/>
      </w:pPr>
      <w:r w:rsidRPr="00220B32">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r w:rsidR="000F2534">
        <w:t>.</w:t>
      </w:r>
    </w:p>
    <w:p w:rsidR="000F2534" w:rsidRPr="0026376D" w:rsidRDefault="000F2534" w:rsidP="000F2534">
      <w:pPr>
        <w:pStyle w:val="Odsekzoznamu"/>
        <w:numPr>
          <w:ilvl w:val="0"/>
          <w:numId w:val="31"/>
        </w:numPr>
        <w:spacing w:after="93" w:line="252" w:lineRule="auto"/>
        <w:ind w:left="1418" w:right="0" w:hanging="284"/>
        <w:rPr>
          <w:rFonts w:eastAsia="Times New Roman" w:cs="Times New Roman"/>
          <w:color w:val="auto"/>
        </w:rPr>
      </w:pPr>
      <w:r w:rsidRPr="00B96925">
        <w:rPr>
          <w:rFonts w:asciiTheme="minorHAnsi" w:hAnsiTheme="minorHAnsi" w:cstheme="minorHAnsi"/>
          <w:b/>
          <w:u w:val="single"/>
        </w:rPr>
        <w:t>§ 34 ods. 1 písm. </w:t>
      </w:r>
      <w:r w:rsidRPr="006E6C96">
        <w:rPr>
          <w:rFonts w:asciiTheme="minorHAnsi" w:hAnsiTheme="minorHAnsi" w:cstheme="minorHAnsi"/>
          <w:b/>
          <w:u w:val="single"/>
        </w:rPr>
        <w:t>m) bod 2</w:t>
      </w:r>
      <w:r w:rsidRPr="00B96925">
        <w:rPr>
          <w:rFonts w:asciiTheme="minorHAnsi" w:hAnsiTheme="minorHAnsi" w:cstheme="minorHAnsi"/>
          <w:b/>
          <w:u w:val="single"/>
        </w:rPr>
        <w:t> </w:t>
      </w:r>
      <w:r>
        <w:rPr>
          <w:rFonts w:asciiTheme="minorHAnsi" w:hAnsiTheme="minorHAnsi" w:cstheme="minorHAnsi"/>
          <w:b/>
          <w:u w:val="single"/>
        </w:rPr>
        <w:t xml:space="preserve"> </w:t>
      </w:r>
      <w:r w:rsidRPr="00B96925">
        <w:rPr>
          <w:rFonts w:asciiTheme="minorHAnsi" w:hAnsiTheme="minorHAnsi" w:cstheme="minorHAnsi"/>
          <w:b/>
          <w:u w:val="single"/>
        </w:rPr>
        <w:t>ZVO,</w:t>
      </w:r>
      <w:r w:rsidRPr="00B96925">
        <w:rPr>
          <w:rFonts w:asciiTheme="minorHAnsi" w:hAnsiTheme="minorHAnsi" w:cstheme="minorHAnsi"/>
          <w:b/>
        </w:rPr>
        <w:t xml:space="preserve"> </w:t>
      </w:r>
      <w:proofErr w:type="spellStart"/>
      <w:r w:rsidRPr="00B96925">
        <w:rPr>
          <w:rFonts w:asciiTheme="minorHAnsi" w:hAnsiTheme="minorHAnsi" w:cstheme="minorHAnsi"/>
        </w:rPr>
        <w:t>t.j</w:t>
      </w:r>
      <w:proofErr w:type="spellEnd"/>
      <w:r w:rsidRPr="00B96925">
        <w:rPr>
          <w:rFonts w:asciiTheme="minorHAnsi" w:hAnsiTheme="minorHAnsi" w:cstheme="minorHAnsi"/>
        </w:rPr>
        <w:t xml:space="preserve">. dokladovať </w:t>
      </w:r>
      <w:r>
        <w:rPr>
          <w:rFonts w:asciiTheme="minorHAnsi" w:hAnsiTheme="minorHAnsi" w:cstheme="minorHAnsi"/>
        </w:rPr>
        <w:t xml:space="preserve">certifikáty preukázania zhody vydané </w:t>
      </w:r>
      <w:r w:rsidRPr="00B96925">
        <w:rPr>
          <w:rFonts w:asciiTheme="minorHAnsi" w:hAnsiTheme="minorHAnsi" w:cstheme="minorHAnsi"/>
        </w:rPr>
        <w:t>autorizovanými osobami alebo notifikovanými osobami Európskymi spoločenstvami, ktoré majú oprávnenie na posudzovanie zhody výrobkov s technickými špecifikáciami</w:t>
      </w:r>
      <w:r>
        <w:rPr>
          <w:rFonts w:asciiTheme="minorHAnsi" w:hAnsiTheme="minorHAnsi" w:cstheme="minorHAnsi"/>
        </w:rPr>
        <w:t>, resp. vyhlásenia zhody výrobcu</w:t>
      </w:r>
      <w:r w:rsidRPr="00B96925">
        <w:rPr>
          <w:rFonts w:asciiTheme="minorHAnsi" w:hAnsiTheme="minorHAnsi" w:cstheme="minorHAnsi"/>
        </w:rPr>
        <w:t xml:space="preserve"> – predložiť kópiu</w:t>
      </w:r>
      <w:r>
        <w:rPr>
          <w:rFonts w:asciiTheme="minorHAnsi" w:hAnsiTheme="minorHAnsi" w:cstheme="minorHAnsi"/>
        </w:rPr>
        <w:t xml:space="preserve"> (originál alebo úradne overenú kópiu predloží víťazný uchádzač pri podpise zmluvy)</w:t>
      </w:r>
      <w:r w:rsidR="00796B35">
        <w:rPr>
          <w:rFonts w:asciiTheme="minorHAnsi" w:hAnsiTheme="minorHAnsi" w:cstheme="minorHAnsi"/>
        </w:rPr>
        <w:t xml:space="preserve"> a </w:t>
      </w:r>
      <w:r w:rsidR="00796B35">
        <w:t>a</w:t>
      </w:r>
      <w:r w:rsidR="00796B35" w:rsidRPr="00AF0664">
        <w:t>ktuálny prospektový materiál ponúkan</w:t>
      </w:r>
      <w:r w:rsidR="00796B35">
        <w:t>ých</w:t>
      </w:r>
      <w:r w:rsidR="00796B35" w:rsidRPr="00AF0664">
        <w:t xml:space="preserve"> </w:t>
      </w:r>
      <w:r w:rsidR="00796B35">
        <w:t>zariadení</w:t>
      </w:r>
      <w:r w:rsidR="00796B35" w:rsidRPr="00AF0664">
        <w:t xml:space="preserve"> spolu s technickými údajmi</w:t>
      </w:r>
      <w:r w:rsidR="00C352DA">
        <w:rPr>
          <w:rFonts w:asciiTheme="minorHAnsi" w:hAnsiTheme="minorHAnsi" w:cstheme="minorHAnsi"/>
        </w:rPr>
        <w:t>.</w:t>
      </w:r>
    </w:p>
    <w:p w:rsidR="00D32ADB" w:rsidRDefault="00D32ADB" w:rsidP="00E51840">
      <w:pPr>
        <w:pStyle w:val="Nadpis1"/>
        <w:numPr>
          <w:ilvl w:val="0"/>
          <w:numId w:val="3"/>
        </w:numPr>
        <w:spacing w:after="120" w:line="240" w:lineRule="auto"/>
        <w:ind w:left="425" w:right="272" w:hanging="357"/>
      </w:pPr>
      <w:bookmarkStart w:id="4" w:name="_Toc12166"/>
      <w:r>
        <w:t>Obsah ponuky</w:t>
      </w:r>
      <w:r>
        <w:rPr>
          <w:b w:val="0"/>
        </w:rPr>
        <w:t xml:space="preserve"> </w:t>
      </w:r>
      <w:bookmarkEnd w:id="4"/>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w:t>
      </w:r>
      <w:r w:rsidR="00AD3E10" w:rsidRPr="00566165">
        <w:rPr>
          <w:rFonts w:eastAsia="TimesNewRomanPSMT"/>
        </w:rPr>
        <w:lastRenderedPageBreak/>
        <w:t xml:space="preserve">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523F5B" w:rsidP="00A95F43">
      <w:pPr>
        <w:numPr>
          <w:ilvl w:val="0"/>
          <w:numId w:val="1"/>
        </w:numPr>
        <w:spacing w:after="45"/>
        <w:ind w:right="0" w:hanging="360"/>
      </w:pPr>
      <w:r>
        <w:rPr>
          <w:b/>
        </w:rPr>
        <w:t>K</w:t>
      </w:r>
      <w:r w:rsidR="00E616D0">
        <w:rPr>
          <w:b/>
        </w:rPr>
        <w:t xml:space="preserve">úpnu </w:t>
      </w:r>
      <w:r w:rsidR="00A95F43">
        <w:rPr>
          <w:b/>
        </w:rPr>
        <w:t xml:space="preserve">zmluvu </w:t>
      </w:r>
      <w:r w:rsidR="00A95F43" w:rsidRPr="00A95F43">
        <w:t xml:space="preserve">(príloha č. </w:t>
      </w:r>
      <w:r w:rsidR="00051996">
        <w:t>2 tejto Výzvy</w:t>
      </w:r>
      <w:r w:rsidR="00A95F43" w:rsidRPr="00A95F43">
        <w:t>),</w:t>
      </w:r>
      <w:r w:rsidR="00A95F43">
        <w:rPr>
          <w:b/>
        </w:rPr>
        <w:t xml:space="preserve"> </w:t>
      </w:r>
      <w:r w:rsidR="00051996" w:rsidRPr="00051996">
        <w:t>vyplnenú a</w:t>
      </w:r>
      <w:r w:rsidR="00051996">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5" w:name="_Toc12167"/>
      <w:r>
        <w:t>Lehota na predkladanie ponúk</w:t>
      </w:r>
      <w:r>
        <w:rPr>
          <w:b w:val="0"/>
        </w:rPr>
        <w:t xml:space="preserve"> </w:t>
      </w:r>
      <w:bookmarkEnd w:id="5"/>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 xml:space="preserve">do </w:t>
      </w:r>
      <w:r w:rsidR="0010186F">
        <w:rPr>
          <w:b/>
        </w:rPr>
        <w:t>1</w:t>
      </w:r>
      <w:r w:rsidR="0063294F">
        <w:rPr>
          <w:b/>
        </w:rPr>
        <w:t>9</w:t>
      </w:r>
      <w:r w:rsidR="00C14883">
        <w:rPr>
          <w:b/>
        </w:rPr>
        <w:t>.0</w:t>
      </w:r>
      <w:r w:rsidR="0063294F">
        <w:rPr>
          <w:b/>
        </w:rPr>
        <w:t>6</w:t>
      </w:r>
      <w:r w:rsidRPr="005625E3">
        <w:rPr>
          <w:b/>
        </w:rPr>
        <w:t>.201</w:t>
      </w:r>
      <w:r w:rsidR="00AD3E10">
        <w:rPr>
          <w:b/>
        </w:rPr>
        <w:t>9</w:t>
      </w:r>
      <w:r w:rsidRPr="005625E3">
        <w:rPr>
          <w:b/>
        </w:rPr>
        <w:t xml:space="preserve"> do </w:t>
      </w:r>
      <w:r w:rsidR="00E33353">
        <w:rPr>
          <w:b/>
        </w:rPr>
        <w:t>1</w:t>
      </w:r>
      <w:r w:rsidR="00196667">
        <w:rPr>
          <w:b/>
        </w:rPr>
        <w:t>3</w:t>
      </w:r>
      <w:r w:rsidRPr="005625E3">
        <w:rPr>
          <w:b/>
        </w:rPr>
        <w:t>:</w:t>
      </w:r>
      <w:r w:rsidR="000F2534">
        <w:rPr>
          <w:b/>
        </w:rPr>
        <w:t>0</w:t>
      </w:r>
      <w:r w:rsidRPr="005625E3">
        <w:rPr>
          <w:b/>
        </w:rPr>
        <w:t>0:00 hodiny.</w:t>
      </w:r>
      <w:r>
        <w:t xml:space="preserve"> </w:t>
      </w:r>
    </w:p>
    <w:p w:rsidR="00D32ADB" w:rsidRDefault="00D32ADB" w:rsidP="000F2534">
      <w:pPr>
        <w:spacing w:after="120" w:line="240" w:lineRule="auto"/>
        <w:ind w:left="1078" w:right="0" w:hanging="227"/>
      </w:pPr>
      <w:r>
        <w:t xml:space="preserve">Ponuka uchádzača predložená po uplynutí lehoty na predkladanie ponúk sa elektronicky neotvorí.   </w:t>
      </w: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0F2534">
      <w:pPr>
        <w:spacing w:after="0" w:line="240" w:lineRule="auto"/>
        <w:ind w:left="0" w:right="0" w:firstLine="0"/>
        <w:jc w:val="left"/>
      </w:pPr>
    </w:p>
    <w:p w:rsidR="000F2534" w:rsidRPr="000F2534" w:rsidRDefault="000F2534" w:rsidP="00E51840">
      <w:pPr>
        <w:pStyle w:val="Odsekzoznamu"/>
        <w:numPr>
          <w:ilvl w:val="0"/>
          <w:numId w:val="3"/>
        </w:numPr>
        <w:spacing w:after="120" w:line="240" w:lineRule="auto"/>
        <w:ind w:left="425" w:right="0" w:hanging="357"/>
        <w:contextualSpacing w:val="0"/>
        <w:jc w:val="left"/>
        <w:rPr>
          <w:b/>
        </w:rPr>
      </w:pPr>
      <w:bookmarkStart w:id="6" w:name="_Toc12175"/>
      <w:r w:rsidRPr="000F2534">
        <w:rPr>
          <w:b/>
        </w:rPr>
        <w:t>Lehota viazanosti ponúk</w:t>
      </w:r>
    </w:p>
    <w:p w:rsidR="000F2534" w:rsidRDefault="000F2534" w:rsidP="00A107E2">
      <w:pPr>
        <w:pStyle w:val="Odsekzoznamu"/>
        <w:numPr>
          <w:ilvl w:val="1"/>
          <w:numId w:val="3"/>
        </w:numPr>
        <w:spacing w:after="120" w:line="240" w:lineRule="auto"/>
        <w:ind w:left="851" w:right="0" w:hanging="709"/>
        <w:contextualSpacing w:val="0"/>
        <w:jc w:val="left"/>
        <w:rPr>
          <w:b/>
        </w:rPr>
      </w:pPr>
      <w:r>
        <w:t>Ponuka uchádzača je viaza</w:t>
      </w:r>
      <w:r w:rsidR="00A107E2">
        <w:t xml:space="preserve">ná do </w:t>
      </w:r>
      <w:r w:rsidR="00A107E2" w:rsidRPr="00A107E2">
        <w:rPr>
          <w:b/>
        </w:rPr>
        <w:t>3</w:t>
      </w:r>
      <w:r w:rsidR="0063294F">
        <w:rPr>
          <w:b/>
        </w:rPr>
        <w:t>1</w:t>
      </w:r>
      <w:r w:rsidR="00A107E2" w:rsidRPr="00A107E2">
        <w:rPr>
          <w:b/>
        </w:rPr>
        <w:t>.0</w:t>
      </w:r>
      <w:r w:rsidR="0063294F">
        <w:rPr>
          <w:b/>
        </w:rPr>
        <w:t>7</w:t>
      </w:r>
      <w:r w:rsidR="00A107E2" w:rsidRPr="00A107E2">
        <w:rPr>
          <w:b/>
        </w:rPr>
        <w:t>.2019</w:t>
      </w:r>
      <w:r w:rsidR="00A107E2">
        <w:rPr>
          <w:b/>
        </w:rPr>
        <w:t>.</w:t>
      </w:r>
    </w:p>
    <w:p w:rsidR="00A107E2" w:rsidRPr="00A107E2" w:rsidRDefault="00A107E2" w:rsidP="00A107E2">
      <w:pPr>
        <w:pStyle w:val="Odsekzoznamu"/>
        <w:spacing w:after="120" w:line="240" w:lineRule="auto"/>
        <w:ind w:left="1080" w:right="0" w:firstLine="0"/>
        <w:contextualSpacing w:val="0"/>
        <w:jc w:val="left"/>
        <w:rPr>
          <w:b/>
        </w:rPr>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Doplnenie, zmena a odvolanie ponuky</w:t>
      </w:r>
    </w:p>
    <w:p w:rsidR="003A3874" w:rsidRDefault="003A3874" w:rsidP="003A3874">
      <w:pPr>
        <w:pStyle w:val="Odsekzoznamu"/>
        <w:spacing w:after="40" w:line="259"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220B32" w:rsidRPr="00287B7C" w:rsidRDefault="00220B32" w:rsidP="003A3874">
      <w:pPr>
        <w:pStyle w:val="Odsekzoznamu"/>
        <w:spacing w:after="40" w:line="259" w:lineRule="auto"/>
        <w:ind w:left="851" w:right="0" w:hanging="709"/>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Náklady na ponuku</w:t>
      </w:r>
    </w:p>
    <w:p w:rsidR="003A3874" w:rsidRDefault="003A3874" w:rsidP="00313DDE">
      <w:pPr>
        <w:pStyle w:val="Odsekzoznamu"/>
        <w:spacing w:after="40" w:line="259" w:lineRule="auto"/>
        <w:ind w:left="851" w:right="0" w:hanging="709"/>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63294F">
        <w:t>.</w:t>
      </w:r>
    </w:p>
    <w:p w:rsidR="0063294F" w:rsidRDefault="0063294F" w:rsidP="00313DDE">
      <w:pPr>
        <w:pStyle w:val="Odsekzoznamu"/>
        <w:spacing w:after="40" w:line="259" w:lineRule="auto"/>
        <w:ind w:left="851" w:right="0" w:hanging="709"/>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313DDE">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lastRenderedPageBreak/>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313DDE">
      <w:pPr>
        <w:spacing w:after="120" w:line="240" w:lineRule="auto"/>
        <w:ind w:left="1276" w:right="0"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313DDE">
      <w:pPr>
        <w:spacing w:after="120" w:line="240" w:lineRule="auto"/>
        <w:ind w:left="1276" w:right="0"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6"/>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w:t>
      </w:r>
      <w:r w:rsidRPr="00606AB0">
        <w:rPr>
          <w:rFonts w:asciiTheme="minorHAnsi" w:hAnsiTheme="minorHAnsi"/>
          <w:sz w:val="22"/>
          <w:szCs w:val="22"/>
        </w:rPr>
        <w:lastRenderedPageBreak/>
        <w:t xml:space="preserve">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63294F">
        <w:rPr>
          <w:u w:val="single"/>
        </w:rPr>
        <w:t>s</w:t>
      </w:r>
      <w:r w:rsidRPr="00BE4E44">
        <w:rPr>
          <w:u w:val="single"/>
        </w:rPr>
        <w:t> 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0F2534">
        <w:t>doda</w:t>
      </w:r>
      <w:r w:rsidR="00C14883">
        <w:t xml:space="preserve">nie </w:t>
      </w:r>
      <w:r w:rsidRPr="003A1FAB">
        <w:t>predmet</w:t>
      </w:r>
      <w:r w:rsidR="00C14883">
        <w:t>u</w:t>
      </w:r>
      <w:r w:rsidRPr="003A1FAB">
        <w:t xml:space="preserve"> zákazky v EUR </w:t>
      </w:r>
      <w:r w:rsidR="0063294F">
        <w:t xml:space="preserve">s </w:t>
      </w:r>
      <w:r w:rsidRPr="003A1FAB">
        <w:t>DPH, ktorá je výsledkom vyplneni</w:t>
      </w:r>
      <w:r w:rsidR="00CC036E">
        <w:t>a</w:t>
      </w:r>
      <w:r w:rsidRPr="003A1FAB">
        <w:t xml:space="preserve"> návrhu na plnenie kritérií vyp</w:t>
      </w:r>
      <w:r w:rsidR="0063294F">
        <w:t>racovaného uchádzačom v zmysle opisu</w:t>
      </w:r>
      <w:r w:rsidRPr="003A1FAB">
        <w:t xml:space="preserve"> predmetu zákazky uveden</w:t>
      </w:r>
      <w:r w:rsidR="0063294F">
        <w:t>ého</w:t>
      </w:r>
      <w:r w:rsidRPr="003A1FAB">
        <w:t xml:space="preserve"> v príloh</w:t>
      </w:r>
      <w:r w:rsidR="00CC036E">
        <w:t>e</w:t>
      </w:r>
      <w:r w:rsidRPr="003A1FAB">
        <w:t xml:space="preserve"> č. </w:t>
      </w:r>
      <w:r w:rsidR="0063294F">
        <w:t>3</w:t>
      </w:r>
      <w:r w:rsidR="00CC036E">
        <w:t xml:space="preserve">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63294F">
        <w:rPr>
          <w:rFonts w:asciiTheme="minorHAnsi" w:hAnsiTheme="minorHAnsi"/>
          <w:b/>
          <w:bCs/>
          <w:sz w:val="22"/>
          <w:szCs w:val="22"/>
        </w:rPr>
        <w:t>s</w:t>
      </w:r>
      <w:r w:rsidRPr="00C62F4A">
        <w:rPr>
          <w:rFonts w:asciiTheme="minorHAnsi" w:hAnsiTheme="minorHAnsi"/>
          <w:b/>
          <w:bCs/>
          <w:sz w:val="22"/>
          <w:szCs w:val="22"/>
        </w:rPr>
        <w:t xml:space="preserve"> DPH </w:t>
      </w:r>
      <w:r>
        <w:rPr>
          <w:rFonts w:asciiTheme="minorHAnsi" w:hAnsiTheme="minorHAnsi"/>
          <w:b/>
          <w:bCs/>
          <w:sz w:val="22"/>
          <w:szCs w:val="22"/>
        </w:rPr>
        <w:t xml:space="preserve">za </w:t>
      </w:r>
      <w:r w:rsidR="00313DDE">
        <w:rPr>
          <w:rFonts w:asciiTheme="minorHAnsi" w:hAnsiTheme="minorHAnsi"/>
          <w:b/>
          <w:bCs/>
          <w:sz w:val="22"/>
          <w:szCs w:val="22"/>
        </w:rPr>
        <w:t>dodanie</w:t>
      </w:r>
      <w:r w:rsidR="00AD1B33">
        <w:rPr>
          <w:rFonts w:asciiTheme="minorHAnsi" w:hAnsiTheme="minorHAnsi"/>
          <w:b/>
          <w:bCs/>
          <w:sz w:val="22"/>
          <w:szCs w:val="22"/>
        </w:rPr>
        <w:t xml:space="preserv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w:t>
      </w:r>
      <w:r w:rsidR="003F2211">
        <w:rPr>
          <w:rFonts w:asciiTheme="minorHAnsi" w:hAnsiTheme="minorHAnsi" w:cs="Calibri"/>
          <w:bCs/>
          <w:iCs/>
          <w:sz w:val="22"/>
          <w:szCs w:val="22"/>
        </w:rPr>
        <w:t>dodan</w:t>
      </w:r>
      <w:r w:rsidR="00C14883">
        <w:rPr>
          <w:rFonts w:asciiTheme="minorHAnsi" w:hAnsiTheme="minorHAnsi" w:cs="Calibri"/>
          <w:bCs/>
          <w:iCs/>
          <w:sz w:val="22"/>
          <w:szCs w:val="22"/>
        </w:rPr>
        <w: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63294F">
        <w:rPr>
          <w:rFonts w:asciiTheme="minorHAnsi" w:hAnsiTheme="minorHAnsi" w:cs="Calibri"/>
          <w:bCs/>
          <w:iCs/>
          <w:sz w:val="22"/>
          <w:szCs w:val="22"/>
        </w:rPr>
        <w:t>s</w:t>
      </w:r>
      <w:r w:rsidRPr="009852F9">
        <w:rPr>
          <w:rFonts w:asciiTheme="minorHAnsi" w:hAnsiTheme="minorHAnsi" w:cs="Calibri"/>
          <w:bCs/>
          <w:iCs/>
          <w:sz w:val="22"/>
          <w:szCs w:val="22"/>
        </w:rPr>
        <w:t xml:space="preserve"> 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3F2211">
        <w:rPr>
          <w:rFonts w:asciiTheme="minorHAnsi" w:hAnsiTheme="minorHAnsi" w:cs="Calibri"/>
          <w:bCs/>
          <w:iCs/>
          <w:sz w:val="22"/>
          <w:szCs w:val="22"/>
        </w:rPr>
        <w:t>dodan</w:t>
      </w:r>
      <w:r w:rsidR="00C14883">
        <w:rPr>
          <w:rFonts w:asciiTheme="minorHAnsi" w:hAnsiTheme="minorHAnsi" w:cs="Calibri"/>
          <w:bCs/>
          <w:iCs/>
          <w:sz w:val="22"/>
          <w:szCs w:val="22"/>
        </w:rPr>
        <w:t xml:space="preserve">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3F2211">
        <w:rPr>
          <w:rFonts w:asciiTheme="minorHAnsi" w:hAnsiTheme="minorHAnsi" w:cs="Calibri"/>
          <w:bCs/>
          <w:iCs/>
          <w:sz w:val="22"/>
          <w:szCs w:val="22"/>
        </w:rPr>
        <w:t>dodan</w:t>
      </w:r>
      <w:r w:rsidR="00C14883">
        <w:rPr>
          <w:rFonts w:asciiTheme="minorHAnsi" w:hAnsiTheme="minorHAnsi" w:cs="Calibri"/>
          <w:bCs/>
          <w:iCs/>
          <w:sz w:val="22"/>
          <w:szCs w:val="22"/>
        </w:rPr>
        <w:t xml:space="preserve">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r w:rsidR="003F2211">
        <w:rPr>
          <w:rFonts w:asciiTheme="minorHAnsi" w:hAnsiTheme="minorHAnsi" w:cs="Calibri"/>
          <w:bCs/>
          <w:iCs/>
          <w:sz w:val="22"/>
          <w:szCs w:val="22"/>
        </w:rPr>
        <w:t>.</w:t>
      </w:r>
    </w:p>
    <w:p w:rsidR="000D1954" w:rsidRPr="00E616D0"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E616D0" w:rsidRPr="00824FA0" w:rsidRDefault="00E616D0" w:rsidP="00E616D0">
      <w:pPr>
        <w:pStyle w:val="Default"/>
        <w:numPr>
          <w:ilvl w:val="1"/>
          <w:numId w:val="3"/>
        </w:numPr>
        <w:spacing w:after="69"/>
        <w:ind w:left="851"/>
        <w:jc w:val="both"/>
        <w:rPr>
          <w:rFonts w:asciiTheme="minorHAnsi" w:hAnsiTheme="minorHAnsi" w:cstheme="minorHAnsi"/>
          <w:sz w:val="22"/>
          <w:szCs w:val="22"/>
        </w:rPr>
      </w:pPr>
      <w:r w:rsidRPr="00824FA0">
        <w:rPr>
          <w:rFonts w:asciiTheme="minorHAnsi" w:hAnsiTheme="minorHAnsi" w:cstheme="minorHAnsi"/>
          <w:sz w:val="22"/>
          <w:szCs w:val="22"/>
        </w:rPr>
        <w:t xml:space="preserve">V prípade ak víťazný uchádzač odstúpi od svojej ponuky alebo jej časti pred lehotou viazanosti alebo z akýchkoľvek dôvodov neuzatvorí s vyhlasovateľom </w:t>
      </w:r>
      <w:r w:rsidR="000F2534">
        <w:rPr>
          <w:rFonts w:asciiTheme="minorHAnsi" w:hAnsiTheme="minorHAnsi" w:cstheme="minorHAnsi"/>
          <w:sz w:val="22"/>
          <w:szCs w:val="22"/>
        </w:rPr>
        <w:t>K</w:t>
      </w:r>
      <w:r w:rsidR="00BD07A4">
        <w:rPr>
          <w:rFonts w:asciiTheme="minorHAnsi" w:hAnsiTheme="minorHAnsi" w:cstheme="minorHAnsi"/>
          <w:sz w:val="22"/>
          <w:szCs w:val="22"/>
        </w:rPr>
        <w:t>úpnu zmluvy</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sidR="00BD07A4">
        <w:rPr>
          <w:rFonts w:asciiTheme="minorHAnsi" w:hAnsiTheme="minorHAnsi" w:cstheme="minorHAnsi"/>
          <w:sz w:val="22"/>
          <w:szCs w:val="22"/>
        </w:rPr>
        <w:t>Rámcovej kúpnej zmluvy</w:t>
      </w:r>
      <w:r>
        <w:rPr>
          <w:rFonts w:asciiTheme="minorHAnsi" w:hAnsiTheme="minorHAnsi" w:cstheme="minorHAnsi"/>
          <w:sz w:val="22"/>
          <w:szCs w:val="22"/>
        </w:rPr>
        <w:t xml:space="preserve"> 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lastRenderedPageBreak/>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A107E2">
        <w:t>K</w:t>
      </w:r>
      <w:r w:rsidR="00BD07A4">
        <w:t xml:space="preserve">úpna </w:t>
      </w:r>
      <w:r w:rsidR="00CC036E">
        <w:t>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466619">
        <w:t>Opis predmetu zákazky</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7B" w:rsidRDefault="009A397B">
      <w:pPr>
        <w:spacing w:after="0" w:line="240" w:lineRule="auto"/>
      </w:pPr>
      <w:r>
        <w:separator/>
      </w:r>
    </w:p>
  </w:endnote>
  <w:endnote w:type="continuationSeparator" w:id="0">
    <w:p w:rsidR="009A397B" w:rsidRDefault="009A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0362D7">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42031" w:rsidRPr="00042031">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042031">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42031" w:rsidRPr="0004203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042031">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7B" w:rsidRDefault="009A397B">
      <w:pPr>
        <w:spacing w:after="0" w:line="240" w:lineRule="auto"/>
      </w:pPr>
      <w:r>
        <w:separator/>
      </w:r>
    </w:p>
  </w:footnote>
  <w:footnote w:type="continuationSeparator" w:id="0">
    <w:p w:rsidR="009A397B" w:rsidRDefault="009A3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53F40F"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371154"/>
    <w:multiLevelType w:val="hybridMultilevel"/>
    <w:tmpl w:val="7E261910"/>
    <w:lvl w:ilvl="0" w:tplc="E6D4FDF6">
      <w:start w:val="1"/>
      <w:numFmt w:val="bullet"/>
      <w:lvlText w:val=""/>
      <w:lvlJc w:val="left"/>
      <w:pPr>
        <w:ind w:left="1778" w:hanging="360"/>
      </w:pPr>
      <w:rPr>
        <w:rFonts w:ascii="Symbol" w:hAnsi="Symbol" w:hint="default"/>
        <w:b/>
        <w:color w:val="000000"/>
        <w:u w:val="none"/>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6"/>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29"/>
  </w:num>
  <w:num w:numId="19">
    <w:abstractNumId w:val="19"/>
  </w:num>
  <w:num w:numId="20">
    <w:abstractNumId w:val="4"/>
  </w:num>
  <w:num w:numId="21">
    <w:abstractNumId w:val="9"/>
  </w:num>
  <w:num w:numId="22">
    <w:abstractNumId w:val="24"/>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7"/>
  </w:num>
  <w:num w:numId="26">
    <w:abstractNumId w:val="20"/>
  </w:num>
  <w:num w:numId="27">
    <w:abstractNumId w:val="30"/>
  </w:num>
  <w:num w:numId="28">
    <w:abstractNumId w:val="17"/>
  </w:num>
  <w:num w:numId="29">
    <w:abstractNumId w:val="28"/>
  </w:num>
  <w:num w:numId="30">
    <w:abstractNumId w:val="18"/>
  </w:num>
  <w:num w:numId="3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62D7"/>
    <w:rsid w:val="00042031"/>
    <w:rsid w:val="00051996"/>
    <w:rsid w:val="0005466A"/>
    <w:rsid w:val="00056EF9"/>
    <w:rsid w:val="0006011E"/>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20B3"/>
    <w:rsid w:val="000E677A"/>
    <w:rsid w:val="000E773E"/>
    <w:rsid w:val="000F2534"/>
    <w:rsid w:val="000F4621"/>
    <w:rsid w:val="000F528A"/>
    <w:rsid w:val="0010186F"/>
    <w:rsid w:val="00101BCB"/>
    <w:rsid w:val="00101EE4"/>
    <w:rsid w:val="00106F9F"/>
    <w:rsid w:val="00111DD7"/>
    <w:rsid w:val="00122046"/>
    <w:rsid w:val="00122893"/>
    <w:rsid w:val="00134D5E"/>
    <w:rsid w:val="00137DA5"/>
    <w:rsid w:val="00142743"/>
    <w:rsid w:val="00145295"/>
    <w:rsid w:val="00147E56"/>
    <w:rsid w:val="001500DC"/>
    <w:rsid w:val="00152A63"/>
    <w:rsid w:val="0015389A"/>
    <w:rsid w:val="0016264A"/>
    <w:rsid w:val="00162666"/>
    <w:rsid w:val="00190B6A"/>
    <w:rsid w:val="0019109B"/>
    <w:rsid w:val="00191D83"/>
    <w:rsid w:val="00196667"/>
    <w:rsid w:val="00197DAB"/>
    <w:rsid w:val="00197E0D"/>
    <w:rsid w:val="00197EDE"/>
    <w:rsid w:val="001A0FA0"/>
    <w:rsid w:val="001A1A79"/>
    <w:rsid w:val="001A1ABE"/>
    <w:rsid w:val="001A7C08"/>
    <w:rsid w:val="001B0945"/>
    <w:rsid w:val="001B3BA8"/>
    <w:rsid w:val="001B45BA"/>
    <w:rsid w:val="001B55E9"/>
    <w:rsid w:val="001B5BE6"/>
    <w:rsid w:val="001C2348"/>
    <w:rsid w:val="001C746F"/>
    <w:rsid w:val="001E2223"/>
    <w:rsid w:val="001E428A"/>
    <w:rsid w:val="001F26F1"/>
    <w:rsid w:val="001F33F0"/>
    <w:rsid w:val="001F7F6D"/>
    <w:rsid w:val="00206481"/>
    <w:rsid w:val="00220B32"/>
    <w:rsid w:val="002238DC"/>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2392"/>
    <w:rsid w:val="002C3602"/>
    <w:rsid w:val="002C5FFE"/>
    <w:rsid w:val="002C7F9C"/>
    <w:rsid w:val="002E2521"/>
    <w:rsid w:val="002F4419"/>
    <w:rsid w:val="002F7DF5"/>
    <w:rsid w:val="003015B0"/>
    <w:rsid w:val="00305DCF"/>
    <w:rsid w:val="003069C0"/>
    <w:rsid w:val="00313DDE"/>
    <w:rsid w:val="0031452F"/>
    <w:rsid w:val="00320CD0"/>
    <w:rsid w:val="00322318"/>
    <w:rsid w:val="003235C5"/>
    <w:rsid w:val="003248B5"/>
    <w:rsid w:val="00330DA6"/>
    <w:rsid w:val="00334BA8"/>
    <w:rsid w:val="00341F42"/>
    <w:rsid w:val="0034250C"/>
    <w:rsid w:val="00345C5B"/>
    <w:rsid w:val="00346E9C"/>
    <w:rsid w:val="00350115"/>
    <w:rsid w:val="003547D7"/>
    <w:rsid w:val="00365CDE"/>
    <w:rsid w:val="00370DC1"/>
    <w:rsid w:val="00373A02"/>
    <w:rsid w:val="00375C03"/>
    <w:rsid w:val="00380FF7"/>
    <w:rsid w:val="00385652"/>
    <w:rsid w:val="00390E8B"/>
    <w:rsid w:val="00391896"/>
    <w:rsid w:val="00397B37"/>
    <w:rsid w:val="003A1FAB"/>
    <w:rsid w:val="003A3874"/>
    <w:rsid w:val="003A3FD9"/>
    <w:rsid w:val="003A5B2A"/>
    <w:rsid w:val="003B7586"/>
    <w:rsid w:val="003C34C9"/>
    <w:rsid w:val="003C49E2"/>
    <w:rsid w:val="003D14B3"/>
    <w:rsid w:val="003E509F"/>
    <w:rsid w:val="003F2211"/>
    <w:rsid w:val="003F2314"/>
    <w:rsid w:val="003F2619"/>
    <w:rsid w:val="0040208C"/>
    <w:rsid w:val="004026A2"/>
    <w:rsid w:val="0040589E"/>
    <w:rsid w:val="00407C6E"/>
    <w:rsid w:val="0042381A"/>
    <w:rsid w:val="004263E6"/>
    <w:rsid w:val="00426655"/>
    <w:rsid w:val="00447C62"/>
    <w:rsid w:val="00460BF9"/>
    <w:rsid w:val="00466619"/>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9BF"/>
    <w:rsid w:val="004F0EC8"/>
    <w:rsid w:val="004F7223"/>
    <w:rsid w:val="004F7CFB"/>
    <w:rsid w:val="0050019E"/>
    <w:rsid w:val="005032A3"/>
    <w:rsid w:val="0050706A"/>
    <w:rsid w:val="00507632"/>
    <w:rsid w:val="00523F5B"/>
    <w:rsid w:val="00531FD8"/>
    <w:rsid w:val="00532290"/>
    <w:rsid w:val="00547FA9"/>
    <w:rsid w:val="00553CF9"/>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703E"/>
    <w:rsid w:val="005C33FB"/>
    <w:rsid w:val="005C472F"/>
    <w:rsid w:val="005D0698"/>
    <w:rsid w:val="005D6425"/>
    <w:rsid w:val="005D6C11"/>
    <w:rsid w:val="005E341C"/>
    <w:rsid w:val="005F4085"/>
    <w:rsid w:val="005F47EC"/>
    <w:rsid w:val="005F7B91"/>
    <w:rsid w:val="00621C9A"/>
    <w:rsid w:val="00623EAD"/>
    <w:rsid w:val="00624BBD"/>
    <w:rsid w:val="00624EDA"/>
    <w:rsid w:val="0063294F"/>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E1A97"/>
    <w:rsid w:val="006E2009"/>
    <w:rsid w:val="006F20BF"/>
    <w:rsid w:val="006F23F4"/>
    <w:rsid w:val="006F7461"/>
    <w:rsid w:val="00701B21"/>
    <w:rsid w:val="00711627"/>
    <w:rsid w:val="00712AE5"/>
    <w:rsid w:val="007229D7"/>
    <w:rsid w:val="007324D2"/>
    <w:rsid w:val="00736F60"/>
    <w:rsid w:val="00745505"/>
    <w:rsid w:val="00753587"/>
    <w:rsid w:val="00755248"/>
    <w:rsid w:val="007615AA"/>
    <w:rsid w:val="00763557"/>
    <w:rsid w:val="007644B0"/>
    <w:rsid w:val="00771ECB"/>
    <w:rsid w:val="00776E83"/>
    <w:rsid w:val="0078237B"/>
    <w:rsid w:val="0079340D"/>
    <w:rsid w:val="00796B35"/>
    <w:rsid w:val="007A16D2"/>
    <w:rsid w:val="007C3EE7"/>
    <w:rsid w:val="007C47BA"/>
    <w:rsid w:val="007C5A80"/>
    <w:rsid w:val="007C7896"/>
    <w:rsid w:val="007D21A3"/>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3A9E"/>
    <w:rsid w:val="008244A6"/>
    <w:rsid w:val="00824DFD"/>
    <w:rsid w:val="00827542"/>
    <w:rsid w:val="0083259C"/>
    <w:rsid w:val="00837022"/>
    <w:rsid w:val="00843891"/>
    <w:rsid w:val="008468D4"/>
    <w:rsid w:val="0085437B"/>
    <w:rsid w:val="00854420"/>
    <w:rsid w:val="008568C1"/>
    <w:rsid w:val="008575B0"/>
    <w:rsid w:val="00861C1B"/>
    <w:rsid w:val="00862F3D"/>
    <w:rsid w:val="00865D9B"/>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C6968"/>
    <w:rsid w:val="008D0757"/>
    <w:rsid w:val="008D45DD"/>
    <w:rsid w:val="008E5990"/>
    <w:rsid w:val="008F0D5C"/>
    <w:rsid w:val="008F18C9"/>
    <w:rsid w:val="00903DA7"/>
    <w:rsid w:val="00912547"/>
    <w:rsid w:val="0092577E"/>
    <w:rsid w:val="00925A0B"/>
    <w:rsid w:val="009274B1"/>
    <w:rsid w:val="00931416"/>
    <w:rsid w:val="00934144"/>
    <w:rsid w:val="009361AE"/>
    <w:rsid w:val="009366A4"/>
    <w:rsid w:val="00945BB0"/>
    <w:rsid w:val="00950307"/>
    <w:rsid w:val="0095252D"/>
    <w:rsid w:val="00952712"/>
    <w:rsid w:val="00955525"/>
    <w:rsid w:val="009567DA"/>
    <w:rsid w:val="00961524"/>
    <w:rsid w:val="00962E14"/>
    <w:rsid w:val="0096304B"/>
    <w:rsid w:val="00964E67"/>
    <w:rsid w:val="0096614A"/>
    <w:rsid w:val="00974128"/>
    <w:rsid w:val="009852F9"/>
    <w:rsid w:val="00986DA1"/>
    <w:rsid w:val="00991570"/>
    <w:rsid w:val="009A199C"/>
    <w:rsid w:val="009A397B"/>
    <w:rsid w:val="009B6959"/>
    <w:rsid w:val="009C1B2F"/>
    <w:rsid w:val="009C4327"/>
    <w:rsid w:val="009F0232"/>
    <w:rsid w:val="009F6A19"/>
    <w:rsid w:val="00A01C51"/>
    <w:rsid w:val="00A03E1F"/>
    <w:rsid w:val="00A03FE0"/>
    <w:rsid w:val="00A07BB1"/>
    <w:rsid w:val="00A107E2"/>
    <w:rsid w:val="00A168F3"/>
    <w:rsid w:val="00A215E7"/>
    <w:rsid w:val="00A2347C"/>
    <w:rsid w:val="00A26FDB"/>
    <w:rsid w:val="00A31E9D"/>
    <w:rsid w:val="00A34B2F"/>
    <w:rsid w:val="00A42C60"/>
    <w:rsid w:val="00A42CC7"/>
    <w:rsid w:val="00A43105"/>
    <w:rsid w:val="00A44A95"/>
    <w:rsid w:val="00A462C4"/>
    <w:rsid w:val="00A53A41"/>
    <w:rsid w:val="00A57E42"/>
    <w:rsid w:val="00A61375"/>
    <w:rsid w:val="00A6538F"/>
    <w:rsid w:val="00A77F50"/>
    <w:rsid w:val="00A81951"/>
    <w:rsid w:val="00A9201A"/>
    <w:rsid w:val="00A95F43"/>
    <w:rsid w:val="00A973E5"/>
    <w:rsid w:val="00AA0E76"/>
    <w:rsid w:val="00AA15AF"/>
    <w:rsid w:val="00AA1A70"/>
    <w:rsid w:val="00AA7C2C"/>
    <w:rsid w:val="00AB1283"/>
    <w:rsid w:val="00AB5F3A"/>
    <w:rsid w:val="00AC2060"/>
    <w:rsid w:val="00AC4394"/>
    <w:rsid w:val="00AC4ABA"/>
    <w:rsid w:val="00AC6113"/>
    <w:rsid w:val="00AD1B33"/>
    <w:rsid w:val="00AD3E10"/>
    <w:rsid w:val="00AE0EBC"/>
    <w:rsid w:val="00AE22BF"/>
    <w:rsid w:val="00AE2804"/>
    <w:rsid w:val="00AE7FF1"/>
    <w:rsid w:val="00AF0734"/>
    <w:rsid w:val="00AF0F82"/>
    <w:rsid w:val="00AF179F"/>
    <w:rsid w:val="00AF48D3"/>
    <w:rsid w:val="00B024E5"/>
    <w:rsid w:val="00B10291"/>
    <w:rsid w:val="00B208C1"/>
    <w:rsid w:val="00B226E0"/>
    <w:rsid w:val="00B30749"/>
    <w:rsid w:val="00B30FE9"/>
    <w:rsid w:val="00B377AA"/>
    <w:rsid w:val="00B419FE"/>
    <w:rsid w:val="00B45DF7"/>
    <w:rsid w:val="00B46435"/>
    <w:rsid w:val="00B5398C"/>
    <w:rsid w:val="00B5439C"/>
    <w:rsid w:val="00B6103B"/>
    <w:rsid w:val="00B64A02"/>
    <w:rsid w:val="00B64BB9"/>
    <w:rsid w:val="00B72E4F"/>
    <w:rsid w:val="00B803F5"/>
    <w:rsid w:val="00B81857"/>
    <w:rsid w:val="00B82510"/>
    <w:rsid w:val="00B84BB2"/>
    <w:rsid w:val="00B9155A"/>
    <w:rsid w:val="00B937F6"/>
    <w:rsid w:val="00BA3024"/>
    <w:rsid w:val="00BA695D"/>
    <w:rsid w:val="00BB1005"/>
    <w:rsid w:val="00BB56FA"/>
    <w:rsid w:val="00BB787A"/>
    <w:rsid w:val="00BC20B2"/>
    <w:rsid w:val="00BC27A0"/>
    <w:rsid w:val="00BC3FE7"/>
    <w:rsid w:val="00BC655F"/>
    <w:rsid w:val="00BC7372"/>
    <w:rsid w:val="00BD07A4"/>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217DF"/>
    <w:rsid w:val="00C23A44"/>
    <w:rsid w:val="00C349AD"/>
    <w:rsid w:val="00C352DA"/>
    <w:rsid w:val="00C35501"/>
    <w:rsid w:val="00C42AC0"/>
    <w:rsid w:val="00C450FE"/>
    <w:rsid w:val="00C454A2"/>
    <w:rsid w:val="00C45FFE"/>
    <w:rsid w:val="00C46961"/>
    <w:rsid w:val="00C543A7"/>
    <w:rsid w:val="00C56794"/>
    <w:rsid w:val="00C5726C"/>
    <w:rsid w:val="00C7700D"/>
    <w:rsid w:val="00C838AB"/>
    <w:rsid w:val="00C855F6"/>
    <w:rsid w:val="00C91BF4"/>
    <w:rsid w:val="00C91C83"/>
    <w:rsid w:val="00C974FF"/>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51B9"/>
    <w:rsid w:val="00D153CB"/>
    <w:rsid w:val="00D15BC3"/>
    <w:rsid w:val="00D23F63"/>
    <w:rsid w:val="00D32755"/>
    <w:rsid w:val="00D32ADB"/>
    <w:rsid w:val="00D35CE5"/>
    <w:rsid w:val="00D57322"/>
    <w:rsid w:val="00D63EA3"/>
    <w:rsid w:val="00D7576D"/>
    <w:rsid w:val="00D75D18"/>
    <w:rsid w:val="00D9191E"/>
    <w:rsid w:val="00D956C5"/>
    <w:rsid w:val="00D97048"/>
    <w:rsid w:val="00DA012F"/>
    <w:rsid w:val="00DA0429"/>
    <w:rsid w:val="00DA4B0D"/>
    <w:rsid w:val="00DB7459"/>
    <w:rsid w:val="00DC45C4"/>
    <w:rsid w:val="00DD17D9"/>
    <w:rsid w:val="00DD1CC4"/>
    <w:rsid w:val="00DD3BCF"/>
    <w:rsid w:val="00DD59A6"/>
    <w:rsid w:val="00DE7B6F"/>
    <w:rsid w:val="00DF5024"/>
    <w:rsid w:val="00E02AF0"/>
    <w:rsid w:val="00E050CE"/>
    <w:rsid w:val="00E12FD5"/>
    <w:rsid w:val="00E251DE"/>
    <w:rsid w:val="00E31D6E"/>
    <w:rsid w:val="00E33353"/>
    <w:rsid w:val="00E33AE7"/>
    <w:rsid w:val="00E36BFA"/>
    <w:rsid w:val="00E504F7"/>
    <w:rsid w:val="00E51840"/>
    <w:rsid w:val="00E542F5"/>
    <w:rsid w:val="00E5594A"/>
    <w:rsid w:val="00E616D0"/>
    <w:rsid w:val="00E6793D"/>
    <w:rsid w:val="00E76304"/>
    <w:rsid w:val="00E7752E"/>
    <w:rsid w:val="00E84B0A"/>
    <w:rsid w:val="00E93508"/>
    <w:rsid w:val="00E96652"/>
    <w:rsid w:val="00EA44D9"/>
    <w:rsid w:val="00EA5AD2"/>
    <w:rsid w:val="00EA691E"/>
    <w:rsid w:val="00EA7012"/>
    <w:rsid w:val="00EB23B4"/>
    <w:rsid w:val="00EC4E68"/>
    <w:rsid w:val="00EE0C50"/>
    <w:rsid w:val="00EE56BF"/>
    <w:rsid w:val="00EE6AD4"/>
    <w:rsid w:val="00EE6B1E"/>
    <w:rsid w:val="00EF4375"/>
    <w:rsid w:val="00EF7AA2"/>
    <w:rsid w:val="00F04B48"/>
    <w:rsid w:val="00F11066"/>
    <w:rsid w:val="00F12F14"/>
    <w:rsid w:val="00F17CB5"/>
    <w:rsid w:val="00F214D2"/>
    <w:rsid w:val="00F217BD"/>
    <w:rsid w:val="00F26AA7"/>
    <w:rsid w:val="00F370B7"/>
    <w:rsid w:val="00F37EDE"/>
    <w:rsid w:val="00F4151F"/>
    <w:rsid w:val="00F42EB4"/>
    <w:rsid w:val="00F51095"/>
    <w:rsid w:val="00F528DC"/>
    <w:rsid w:val="00F54FCD"/>
    <w:rsid w:val="00F60D99"/>
    <w:rsid w:val="00F620E8"/>
    <w:rsid w:val="00F70AEE"/>
    <w:rsid w:val="00F82C9D"/>
    <w:rsid w:val="00F8343D"/>
    <w:rsid w:val="00F83E72"/>
    <w:rsid w:val="00F86EDC"/>
    <w:rsid w:val="00F94D3D"/>
    <w:rsid w:val="00F95039"/>
    <w:rsid w:val="00FA5161"/>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A5758-48FB-44ED-85A8-88988D21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4A2E-69A2-4A04-B444-7EE3B978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2902</Words>
  <Characters>16548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Peter Iglar</cp:lastModifiedBy>
  <cp:revision>2</cp:revision>
  <cp:lastPrinted>2019-04-29T07:45:00Z</cp:lastPrinted>
  <dcterms:created xsi:type="dcterms:W3CDTF">2019-06-12T12:16:00Z</dcterms:created>
  <dcterms:modified xsi:type="dcterms:W3CDTF">2019-06-12T12:52:00Z</dcterms:modified>
</cp:coreProperties>
</file>