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E693E89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C77EC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596885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C77EC4">
        <w:rPr>
          <w:rFonts w:ascii="Garamond" w:hAnsi="Garamond"/>
          <w:sz w:val="20"/>
          <w:szCs w:val="20"/>
        </w:rPr>
        <w:t>Remeselné stavebné práce malého rozsahu na objektoch v správe DPB, a. s.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C77EC4">
        <w:rPr>
          <w:rFonts w:ascii="Garamond" w:hAnsi="Garamond"/>
          <w:b/>
          <w:bCs/>
          <w:sz w:val="20"/>
          <w:szCs w:val="20"/>
        </w:rPr>
        <w:t xml:space="preserve">Dodávka a montáž kazetového podhľadu v objekte </w:t>
      </w:r>
      <w:r w:rsidR="003F164B">
        <w:rPr>
          <w:rFonts w:ascii="Garamond" w:hAnsi="Garamond"/>
          <w:b/>
          <w:bCs/>
          <w:sz w:val="20"/>
          <w:szCs w:val="20"/>
        </w:rPr>
        <w:t>Sklad MTZ</w:t>
      </w:r>
      <w:r w:rsidR="00ED2ABA">
        <w:rPr>
          <w:rFonts w:ascii="Garamond" w:hAnsi="Garamond"/>
          <w:b/>
          <w:bCs/>
          <w:sz w:val="20"/>
          <w:szCs w:val="20"/>
        </w:rPr>
        <w:t xml:space="preserve"> DPB a. 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C77EC4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138E0810" w:rsidR="00844171" w:rsidRDefault="00C50FA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2" w:name="_Hlk133580742"/>
      <w:r w:rsidR="00C77EC4">
        <w:rPr>
          <w:rFonts w:ascii="Garamond" w:hAnsi="Garamond"/>
          <w:b/>
          <w:bCs/>
          <w:sz w:val="20"/>
          <w:szCs w:val="20"/>
        </w:rPr>
        <w:t>Dodávka a montáž kazetového podhľadu v objekte Sklad MTZ DPB     a. s. 01_2023</w:t>
      </w:r>
      <w:bookmarkEnd w:id="2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C77EC4"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="00C77EC4" w:rsidRPr="00997A9C">
        <w:rPr>
          <w:rFonts w:ascii="Garamond" w:hAnsi="Garamond"/>
          <w:sz w:val="20"/>
          <w:szCs w:val="20"/>
        </w:rPr>
        <w:t>JOSEPHINE, ktorého oznámenie o vyhlásení verejného obstarávania bolo zverejnené v Európskom vestníku pod značkou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/S </w:t>
      </w:r>
      <w:r w:rsidR="00C77EC4">
        <w:rPr>
          <w:rFonts w:ascii="Garamond" w:hAnsi="Garamond"/>
          <w:sz w:val="20"/>
          <w:szCs w:val="20"/>
        </w:rPr>
        <w:t>143</w:t>
      </w:r>
      <w:r w:rsidR="00C77EC4" w:rsidRPr="00997A9C">
        <w:rPr>
          <w:rFonts w:ascii="Garamond" w:hAnsi="Garamond"/>
          <w:sz w:val="20"/>
          <w:szCs w:val="20"/>
        </w:rPr>
        <w:t>-</w:t>
      </w:r>
      <w:r w:rsidR="00C77EC4">
        <w:rPr>
          <w:rFonts w:ascii="Garamond" w:hAnsi="Garamond"/>
          <w:sz w:val="20"/>
          <w:szCs w:val="20"/>
        </w:rPr>
        <w:t>410475</w:t>
      </w:r>
      <w:r w:rsidR="00C77EC4" w:rsidRPr="00997A9C">
        <w:rPr>
          <w:rFonts w:ascii="Garamond" w:hAnsi="Garamond"/>
          <w:sz w:val="20"/>
          <w:szCs w:val="20"/>
        </w:rPr>
        <w:t xml:space="preserve"> zo dňa </w:t>
      </w:r>
      <w:r w:rsidR="00C77EC4">
        <w:rPr>
          <w:rFonts w:ascii="Garamond" w:hAnsi="Garamond"/>
          <w:sz w:val="20"/>
          <w:szCs w:val="20"/>
        </w:rPr>
        <w:t>27</w:t>
      </w:r>
      <w:r w:rsidR="00C77EC4" w:rsidRPr="00997A9C">
        <w:rPr>
          <w:rFonts w:ascii="Garamond" w:hAnsi="Garamond"/>
          <w:sz w:val="20"/>
          <w:szCs w:val="20"/>
        </w:rPr>
        <w:t>.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a vo Vestníku verejného obstarávania vedeného Úradom pre verejné obstarávanie </w:t>
      </w:r>
      <w:r w:rsidR="00C77EC4">
        <w:rPr>
          <w:rFonts w:ascii="Garamond" w:hAnsi="Garamond"/>
          <w:sz w:val="20"/>
          <w:szCs w:val="20"/>
        </w:rPr>
        <w:t xml:space="preserve">                   </w:t>
      </w:r>
      <w:r w:rsidR="00C77EC4" w:rsidRPr="00997A9C">
        <w:rPr>
          <w:rFonts w:ascii="Garamond" w:hAnsi="Garamond"/>
          <w:sz w:val="20"/>
          <w:szCs w:val="20"/>
        </w:rPr>
        <w:t xml:space="preserve">č. </w:t>
      </w:r>
      <w:r w:rsidR="00C77EC4">
        <w:rPr>
          <w:rFonts w:ascii="Garamond" w:hAnsi="Garamond"/>
          <w:sz w:val="20"/>
          <w:szCs w:val="20"/>
        </w:rPr>
        <w:t>168</w:t>
      </w:r>
      <w:r w:rsidR="00C77EC4" w:rsidRPr="00997A9C">
        <w:rPr>
          <w:rFonts w:ascii="Garamond" w:hAnsi="Garamond"/>
          <w:sz w:val="20"/>
          <w:szCs w:val="20"/>
        </w:rPr>
        <w:t>/202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pod značkou </w:t>
      </w:r>
      <w:r w:rsidR="00C77EC4">
        <w:rPr>
          <w:rFonts w:ascii="Garamond" w:hAnsi="Garamond"/>
          <w:sz w:val="20"/>
          <w:szCs w:val="20"/>
        </w:rPr>
        <w:t>34570</w:t>
      </w:r>
      <w:r w:rsidR="00C77EC4" w:rsidRPr="00997A9C">
        <w:rPr>
          <w:rFonts w:ascii="Garamond" w:hAnsi="Garamond"/>
          <w:sz w:val="20"/>
          <w:szCs w:val="20"/>
        </w:rPr>
        <w:t xml:space="preserve">-MUP dňa </w:t>
      </w:r>
      <w:r w:rsidR="00C77EC4">
        <w:rPr>
          <w:rFonts w:ascii="Garamond" w:hAnsi="Garamond"/>
          <w:sz w:val="20"/>
          <w:szCs w:val="20"/>
        </w:rPr>
        <w:t>28</w:t>
      </w:r>
      <w:r w:rsidR="00C77EC4" w:rsidRPr="00997A9C">
        <w:rPr>
          <w:rFonts w:ascii="Garamond" w:hAnsi="Garamond"/>
          <w:sz w:val="20"/>
          <w:szCs w:val="20"/>
        </w:rPr>
        <w:t xml:space="preserve">. 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>.</w:t>
      </w:r>
    </w:p>
    <w:p w14:paraId="6EC9D40E" w14:textId="77777777" w:rsidR="00C77EC4" w:rsidRPr="0033307F" w:rsidRDefault="00C77EC4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728DBD3D" w:rsidR="00C50FAD" w:rsidRPr="00C06FEF" w:rsidRDefault="005770D6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0B69CC">
          <w:rPr>
            <w:rStyle w:val="Hypertextovprepojenie"/>
            <w:rFonts w:ascii="Garamond" w:hAnsi="Garamond"/>
            <w:b/>
            <w:bCs/>
          </w:rPr>
          <w:t>https://josephine.proebiz.com/sk/tender/40963/summary</w:t>
        </w:r>
      </w:hyperlink>
    </w:p>
    <w:p w14:paraId="07DB2D16" w14:textId="625E7877" w:rsidR="00844171" w:rsidRDefault="005770D6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5C1786F3" w:rsidR="00020480" w:rsidRDefault="005770D6" w:rsidP="00844171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C77EC4" w:rsidRPr="000A20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https://www.uvo.gov.sk/vyhladavanie-zakaziek/detail/dokumenty/436182</w:t>
        </w:r>
      </w:hyperlink>
    </w:p>
    <w:p w14:paraId="019B1974" w14:textId="77777777" w:rsidR="00C77EC4" w:rsidRDefault="00C77EC4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66A18D7" w:rsidR="00E3588A" w:rsidRPr="00E3588A" w:rsidRDefault="005770D6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40963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4F776389" w:rsidR="00C06FEF" w:rsidRPr="00C06FEF" w:rsidRDefault="00C06FEF" w:rsidP="00C06FEF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C77EC4">
        <w:rPr>
          <w:rFonts w:ascii="Garamond" w:hAnsi="Garamond"/>
          <w:b/>
          <w:bCs/>
          <w:sz w:val="20"/>
          <w:szCs w:val="20"/>
        </w:rPr>
        <w:t>Dodávka a montáž kazetového podhľadu v objekte Sklad MTZ DPB     a. s. 01_2023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50F7691D" w:rsidR="00844171" w:rsidRPr="0033307F" w:rsidRDefault="00C77EC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BA3BF1E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A20E9">
        <w:rPr>
          <w:rFonts w:ascii="Garamond" w:hAnsi="Garamond"/>
          <w:bCs/>
          <w:sz w:val="20"/>
          <w:szCs w:val="20"/>
        </w:rPr>
        <w:t>45262600</w:t>
      </w:r>
      <w:r>
        <w:rPr>
          <w:rFonts w:ascii="Garamond" w:hAnsi="Garamond"/>
          <w:bCs/>
          <w:sz w:val="20"/>
          <w:szCs w:val="20"/>
        </w:rPr>
        <w:t>-7</w:t>
      </w:r>
      <w:r w:rsidRPr="000A20E9">
        <w:rPr>
          <w:rFonts w:ascii="Garamond" w:hAnsi="Garamond"/>
          <w:bCs/>
          <w:sz w:val="20"/>
          <w:szCs w:val="20"/>
        </w:rPr>
        <w:t xml:space="preserve"> Rôzne špecializované remeselné stavebné práce</w:t>
      </w:r>
    </w:p>
    <w:p w14:paraId="43E7A1E3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45300000-0 Stavebno-inštalačné práce</w:t>
      </w:r>
    </w:p>
    <w:p w14:paraId="283A5FF4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71324000-5 Služby týkajúce sa výpočtu stavebných nákladov</w:t>
      </w:r>
    </w:p>
    <w:p w14:paraId="627FC8FD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90512000-9 Služby na prepravu odpadu</w:t>
      </w:r>
    </w:p>
    <w:p w14:paraId="5B4E7856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90513000-6 Služby na spracovanie a likvidáciu nie nebezpečného odpadu</w:t>
      </w:r>
    </w:p>
    <w:p w14:paraId="4388A0A5" w14:textId="1560D1EA" w:rsidR="00844171" w:rsidRP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60000000-8 Dopravné služby (bez prepravy odpadu)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C77EC4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6C87DDD" w14:textId="24514846" w:rsidR="00C77EC4" w:rsidRPr="00C77EC4" w:rsidRDefault="00C77EC4" w:rsidP="00C77EC4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77EC4">
        <w:rPr>
          <w:rFonts w:ascii="Garamond" w:hAnsi="Garamond"/>
          <w:sz w:val="20"/>
          <w:szCs w:val="20"/>
        </w:rPr>
        <w:lastRenderedPageBreak/>
        <w:t xml:space="preserve">Predmetom </w:t>
      </w:r>
      <w:r>
        <w:rPr>
          <w:rFonts w:ascii="Garamond" w:hAnsi="Garamond"/>
          <w:sz w:val="20"/>
          <w:szCs w:val="20"/>
        </w:rPr>
        <w:t>zákazky bude dodávka a montáž kazetového podhľadu v objekte Sklad MTZ DPB a. s.. Elektroinštaláciu a svietidlá pre kazetový podhľad si zabezpečí obstarávateľ/objednávateľ.</w:t>
      </w:r>
    </w:p>
    <w:p w14:paraId="7F10D1B7" w14:textId="210260BD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C53BDF">
        <w:rPr>
          <w:rFonts w:ascii="Garamond" w:hAnsi="Garamond"/>
          <w:b/>
          <w:bCs/>
          <w:sz w:val="20"/>
          <w:szCs w:val="20"/>
          <w:u w:val="single"/>
        </w:rPr>
        <w:t xml:space="preserve"> (príloha č. 1)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D8AA0A3" w:rsidR="00844171" w:rsidRDefault="00C77EC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</w:t>
      </w:r>
      <w:r w:rsidR="003F164B">
        <w:rPr>
          <w:rFonts w:ascii="Garamond" w:hAnsi="Garamond"/>
          <w:b/>
          <w:sz w:val="20"/>
          <w:szCs w:val="20"/>
        </w:rPr>
        <w:t> 500,00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0084B08E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3F164B">
        <w:rPr>
          <w:rFonts w:ascii="Garamond" w:hAnsi="Garamond"/>
          <w:bCs/>
          <w:sz w:val="20"/>
          <w:szCs w:val="20"/>
        </w:rPr>
        <w:t>areál</w:t>
      </w:r>
      <w:r w:rsidR="00ED2ABA">
        <w:rPr>
          <w:rFonts w:ascii="Garamond" w:hAnsi="Garamond"/>
          <w:bCs/>
          <w:sz w:val="20"/>
          <w:szCs w:val="20"/>
        </w:rPr>
        <w:t xml:space="preserve"> Jurajov Dvor</w:t>
      </w:r>
      <w:r w:rsidR="003F164B">
        <w:rPr>
          <w:rFonts w:ascii="Garamond" w:hAnsi="Garamond"/>
          <w:bCs/>
          <w:sz w:val="20"/>
          <w:szCs w:val="20"/>
        </w:rPr>
        <w:t>, sklad MTZ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6BA1CAF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C77EC4">
        <w:rPr>
          <w:rFonts w:ascii="Garamond" w:hAnsi="Garamond"/>
          <w:bCs/>
          <w:sz w:val="20"/>
          <w:szCs w:val="20"/>
        </w:rPr>
        <w:t>3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42A6B042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5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C7BD4D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5770D6">
        <w:rPr>
          <w:rFonts w:ascii="Garamond" w:hAnsi="Garamond"/>
          <w:b/>
          <w:sz w:val="20"/>
          <w:szCs w:val="20"/>
        </w:rPr>
        <w:t>16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5770D6">
        <w:rPr>
          <w:rFonts w:ascii="Garamond" w:hAnsi="Garamond"/>
          <w:b/>
          <w:sz w:val="20"/>
          <w:szCs w:val="20"/>
        </w:rPr>
        <w:t>5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5770D6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5770D6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0ADE1FE9" w:rsidR="00844171" w:rsidRDefault="005770D6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40963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28781649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770D6">
        <w:rPr>
          <w:rFonts w:ascii="Garamond" w:hAnsi="Garamond"/>
          <w:b/>
          <w:sz w:val="20"/>
          <w:szCs w:val="20"/>
        </w:rPr>
        <w:t>16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5770D6">
        <w:rPr>
          <w:rFonts w:ascii="Garamond" w:hAnsi="Garamond"/>
          <w:b/>
          <w:sz w:val="20"/>
          <w:szCs w:val="20"/>
        </w:rPr>
        <w:t>5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5770D6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5770D6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EEBBD6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07A29">
        <w:rPr>
          <w:rFonts w:ascii="Garamond" w:hAnsi="Garamond"/>
          <w:sz w:val="20"/>
          <w:szCs w:val="20"/>
        </w:rPr>
        <w:t>28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C07A29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985DCB2" w14:textId="5F707918" w:rsidR="002901D6" w:rsidRDefault="002901D6" w:rsidP="00C77EC4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5" w:name="_Hlk30413330"/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99"/>
        <w:tblW w:w="6658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818"/>
        <w:gridCol w:w="1276"/>
      </w:tblGrid>
      <w:tr w:rsidR="00182078" w:rsidRPr="00182078" w14:paraId="4A341FE7" w14:textId="77777777" w:rsidTr="00011E25">
        <w:trPr>
          <w:trHeight w:val="444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1F9F10A1" w14:textId="77777777" w:rsidR="00182078" w:rsidRPr="00182078" w:rsidRDefault="00182078" w:rsidP="00182078">
            <w:pPr>
              <w:spacing w:line="210" w:lineRule="exact"/>
              <w:ind w:left="80" w:right="73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Por.</w:t>
            </w:r>
          </w:p>
          <w:p w14:paraId="344DB74C" w14:textId="77777777" w:rsidR="00182078" w:rsidRPr="00182078" w:rsidRDefault="00182078" w:rsidP="00182078">
            <w:pPr>
              <w:spacing w:line="215" w:lineRule="exact"/>
              <w:ind w:left="78" w:right="73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č.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247DAB0A" w14:textId="77777777" w:rsidR="00182078" w:rsidRPr="00182078" w:rsidRDefault="00182078" w:rsidP="00182078">
            <w:pPr>
              <w:spacing w:before="93"/>
              <w:ind w:left="1816" w:right="180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Názov</w:t>
            </w:r>
            <w:proofErr w:type="spellEnd"/>
            <w:r w:rsidRPr="00182078">
              <w:rPr>
                <w:rFonts w:ascii="Garamond" w:eastAsia="Times New Roman" w:hAnsi="Garamond" w:cs="Times New Roman"/>
                <w:b/>
                <w:color w:val="000009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tovaru</w:t>
            </w:r>
            <w:proofErr w:type="spellEnd"/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04175C9A" w14:textId="091425B6" w:rsidR="00182078" w:rsidRPr="00182078" w:rsidRDefault="00182078" w:rsidP="00182078">
            <w:pPr>
              <w:spacing w:before="93"/>
              <w:ind w:left="122" w:right="11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Počet</w:t>
            </w:r>
            <w:proofErr w:type="spellEnd"/>
            <w:r w:rsidRPr="00182078">
              <w:rPr>
                <w:rFonts w:ascii="Garamond" w:eastAsia="Times New Roman" w:hAnsi="Garamond" w:cs="Times New Roman"/>
                <w:b/>
                <w:color w:val="000009"/>
                <w:spacing w:val="-3"/>
                <w:sz w:val="20"/>
                <w:szCs w:val="20"/>
              </w:rPr>
              <w:t xml:space="preserve"> 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m.</w:t>
            </w:r>
            <w:r w:rsidR="00011E25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j.</w:t>
            </w:r>
          </w:p>
        </w:tc>
      </w:tr>
      <w:tr w:rsidR="00182078" w:rsidRPr="00182078" w14:paraId="28EE80E1" w14:textId="77777777" w:rsidTr="00011E25">
        <w:trPr>
          <w:trHeight w:val="221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CB8C28D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70C68B2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2196DD2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182078" w:rsidRPr="00182078" w14:paraId="21452063" w14:textId="77777777" w:rsidTr="00011E25">
        <w:trPr>
          <w:trHeight w:val="218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60D2F541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  <w:hideMark/>
          </w:tcPr>
          <w:p w14:paraId="18179D53" w14:textId="27C46741" w:rsidR="00182078" w:rsidRPr="00182078" w:rsidRDefault="00182078" w:rsidP="00182078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Dodávka</w:t>
            </w:r>
            <w:proofErr w:type="spellEnd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a </w:t>
            </w: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montáž</w:t>
            </w:r>
            <w:proofErr w:type="spellEnd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kazetového</w:t>
            </w:r>
            <w:proofErr w:type="spellEnd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podhľadu</w:t>
            </w:r>
            <w:proofErr w:type="spellEnd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v </w:t>
            </w:r>
            <w:proofErr w:type="spellStart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objekte</w:t>
            </w:r>
            <w:proofErr w:type="spellEnd"/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MTZ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pacing w:val="1"/>
                <w:sz w:val="20"/>
                <w:szCs w:val="20"/>
              </w:rPr>
              <w:t xml:space="preserve"> 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-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pacing w:val="1"/>
                <w:sz w:val="20"/>
                <w:szCs w:val="20"/>
              </w:rPr>
              <w:t xml:space="preserve"> 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DPB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pacing w:val="1"/>
                <w:sz w:val="20"/>
                <w:szCs w:val="20"/>
              </w:rPr>
              <w:t xml:space="preserve"> 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a.</w:t>
            </w: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r w:rsidRPr="00182078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s.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5CFB4368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182078" w:rsidRPr="00182078" w14:paraId="7C5E0F3E" w14:textId="77777777" w:rsidTr="00011E25">
        <w:trPr>
          <w:trHeight w:val="240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73F84550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</w:t>
            </w:r>
          </w:p>
          <w:p w14:paraId="1687F59E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78E66312" w14:textId="77777777" w:rsidR="00182078" w:rsidRPr="00182078" w:rsidRDefault="00182078" w:rsidP="00182078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39739DFA" w14:textId="77777777" w:rsidR="00182078" w:rsidRPr="00182078" w:rsidRDefault="00182078" w:rsidP="00182078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Konštrukcia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pre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zhotovenie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kazetového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stropu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23806427" w14:textId="77777777" w:rsidR="00182078" w:rsidRPr="00182078" w:rsidRDefault="00182078" w:rsidP="00182078">
            <w:pPr>
              <w:spacing w:line="221" w:lineRule="exact"/>
              <w:ind w:left="122" w:right="113"/>
              <w:jc w:val="center"/>
              <w:rPr>
                <w:rFonts w:ascii="Garamond" w:eastAsia="Times New Roman" w:hAnsi="Garamond" w:cs="Times New Roman"/>
                <w:color w:val="000009"/>
                <w:sz w:val="20"/>
                <w:szCs w:val="20"/>
              </w:rPr>
            </w:pPr>
          </w:p>
          <w:p w14:paraId="0F8EE7F7" w14:textId="77777777" w:rsidR="00182078" w:rsidRPr="00182078" w:rsidRDefault="00182078" w:rsidP="00182078">
            <w:pPr>
              <w:spacing w:line="221" w:lineRule="exact"/>
              <w:ind w:left="122" w:right="113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color w:val="000009"/>
                <w:sz w:val="20"/>
                <w:szCs w:val="20"/>
              </w:rPr>
              <w:t>135m2</w:t>
            </w:r>
          </w:p>
        </w:tc>
      </w:tr>
      <w:tr w:rsidR="00182078" w:rsidRPr="00182078" w14:paraId="510C0177" w14:textId="77777777" w:rsidTr="00011E25">
        <w:trPr>
          <w:trHeight w:val="445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3F7BAA8B" w14:textId="4FB346B3" w:rsidR="00182078" w:rsidRPr="00182078" w:rsidRDefault="00182078" w:rsidP="00182078">
            <w:pPr>
              <w:spacing w:before="93"/>
              <w:ind w:left="5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  <w:t xml:space="preserve">     </w:t>
            </w:r>
            <w:r w:rsidRPr="00182078"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91FAACD" w14:textId="77777777" w:rsidR="00182078" w:rsidRDefault="00182078" w:rsidP="00182078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KAZETY KCS FERIA, B 60/60 CM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Výška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stropu</w:t>
            </w:r>
            <w:proofErr w:type="spellEnd"/>
          </w:p>
          <w:p w14:paraId="064A7B6E" w14:textId="5CFB1794" w:rsidR="00182078" w:rsidRPr="00182078" w:rsidRDefault="00182078" w:rsidP="00182078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3800mm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726DD1C5" w14:textId="77777777" w:rsidR="00182078" w:rsidRPr="00182078" w:rsidRDefault="00182078" w:rsidP="00182078">
            <w:pPr>
              <w:spacing w:before="93"/>
              <w:ind w:left="122" w:right="114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  <w:t>135m2</w:t>
            </w:r>
          </w:p>
        </w:tc>
      </w:tr>
      <w:tr w:rsidR="00182078" w:rsidRPr="00182078" w14:paraId="3ADEA775" w14:textId="77777777" w:rsidTr="00011E25">
        <w:trPr>
          <w:trHeight w:val="445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4A11489" w14:textId="77777777" w:rsidR="00182078" w:rsidRPr="00182078" w:rsidRDefault="00182078" w:rsidP="00182078">
            <w:pPr>
              <w:spacing w:before="93"/>
              <w:ind w:left="5"/>
              <w:jc w:val="center"/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color w:val="000009"/>
                <w:w w:val="93"/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29DB199" w14:textId="77777777" w:rsidR="00182078" w:rsidRPr="00182078" w:rsidRDefault="00182078" w:rsidP="00182078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36B30EA7" w14:textId="77777777" w:rsidR="00182078" w:rsidRPr="00182078" w:rsidRDefault="00182078" w:rsidP="00182078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Montážne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práce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+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stavba</w:t>
            </w:r>
            <w:proofErr w:type="spellEnd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182078">
              <w:rPr>
                <w:rFonts w:ascii="Garamond" w:eastAsia="Times New Roman" w:hAnsi="Garamond" w:cs="Times New Roman"/>
                <w:sz w:val="20"/>
                <w:szCs w:val="20"/>
              </w:rPr>
              <w:t>lešenia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E45EEDE" w14:textId="77777777" w:rsidR="00182078" w:rsidRPr="00182078" w:rsidRDefault="00182078" w:rsidP="00182078">
            <w:pPr>
              <w:spacing w:before="93"/>
              <w:ind w:left="122" w:right="114"/>
              <w:jc w:val="center"/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</w:pPr>
            <w:proofErr w:type="spellStart"/>
            <w:r w:rsidRPr="00182078"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  <w:t>kpl</w:t>
            </w:r>
            <w:proofErr w:type="spellEnd"/>
          </w:p>
        </w:tc>
      </w:tr>
      <w:tr w:rsidR="00182078" w:rsidRPr="00182078" w14:paraId="522769A9" w14:textId="77777777" w:rsidTr="00011E25">
        <w:trPr>
          <w:trHeight w:val="218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ACB0D32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AC5FAE7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8372B31" w14:textId="77777777" w:rsidR="00182078" w:rsidRPr="00182078" w:rsidRDefault="00182078" w:rsidP="00182078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F6CAC2C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82078">
        <w:rPr>
          <w:rFonts w:ascii="Garamond" w:hAnsi="Garamond"/>
          <w:b/>
          <w:bCs/>
          <w:sz w:val="20"/>
          <w:szCs w:val="20"/>
        </w:rPr>
        <w:t>Dodávka a montáž kazetového podhľadu v objekte Sklad MTZ DPB a. s. 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2391B4F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82078">
        <w:rPr>
          <w:rFonts w:ascii="Garamond" w:hAnsi="Garamond"/>
          <w:b/>
          <w:bCs/>
          <w:sz w:val="20"/>
          <w:szCs w:val="20"/>
        </w:rPr>
        <w:t>Dodávka a montáž kazetového podhľadu v objekte Sklad MTZ DPB a. s. 01_2023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05ED044E" w14:textId="77777777" w:rsidR="005770D6" w:rsidRPr="00E802AE" w:rsidRDefault="005770D6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5A4CDB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143491F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5902C0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ACB6D73" w14:textId="77777777" w:rsidR="005770D6" w:rsidRPr="0033307F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7F10BAB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2E9D01F3" w14:textId="77777777" w:rsidR="00CC7D1E" w:rsidRPr="005770D6" w:rsidRDefault="00CC7D1E" w:rsidP="00577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A885650" w14:textId="77777777" w:rsidR="00CC7D1E" w:rsidRDefault="00CC7D1E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</w:p>
    <w:p w14:paraId="32C32151" w14:textId="77777777" w:rsidR="00CC7D1E" w:rsidRDefault="00CC7D1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A9D0762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9038C89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39"/>
        <w:tblW w:w="10490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818"/>
        <w:gridCol w:w="1276"/>
        <w:gridCol w:w="1848"/>
        <w:gridCol w:w="1984"/>
      </w:tblGrid>
      <w:tr w:rsidR="000E0CB9" w:rsidRPr="000E0CB9" w14:paraId="003D4774" w14:textId="77777777" w:rsidTr="000E0CB9">
        <w:trPr>
          <w:trHeight w:val="444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25063B6A" w14:textId="77777777" w:rsidR="000E0CB9" w:rsidRPr="000E0CB9" w:rsidRDefault="000E0CB9" w:rsidP="000E0CB9">
            <w:pPr>
              <w:spacing w:line="210" w:lineRule="exact"/>
              <w:ind w:left="80" w:right="73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Por.</w:t>
            </w:r>
          </w:p>
          <w:p w14:paraId="7B221324" w14:textId="77777777" w:rsidR="000E0CB9" w:rsidRPr="000E0CB9" w:rsidRDefault="000E0CB9" w:rsidP="000E0CB9">
            <w:pPr>
              <w:spacing w:line="215" w:lineRule="exact"/>
              <w:ind w:left="78" w:right="73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č.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654550C6" w14:textId="77777777" w:rsidR="000E0CB9" w:rsidRPr="000E0CB9" w:rsidRDefault="000E0CB9" w:rsidP="000E0CB9">
            <w:pPr>
              <w:spacing w:before="93"/>
              <w:ind w:left="1816" w:right="180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Názov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tovaru</w:t>
            </w:r>
            <w:proofErr w:type="spellEnd"/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2F38B025" w14:textId="357741E3" w:rsidR="000E0CB9" w:rsidRPr="000E0CB9" w:rsidRDefault="000E0CB9" w:rsidP="000E0CB9">
            <w:pPr>
              <w:spacing w:before="93"/>
              <w:ind w:left="122" w:right="11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Počet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3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m.</w:t>
            </w: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j.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2CCA4AB8" w14:textId="60FFB857" w:rsidR="000E0CB9" w:rsidRPr="000E0CB9" w:rsidRDefault="000E0CB9" w:rsidP="000E0CB9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Cena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v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EUR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za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m.</w:t>
            </w: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j.</w:t>
            </w:r>
          </w:p>
          <w:p w14:paraId="67A12F10" w14:textId="77777777" w:rsidR="000E0CB9" w:rsidRPr="000E0CB9" w:rsidRDefault="000E0CB9" w:rsidP="000E0CB9">
            <w:pPr>
              <w:spacing w:line="215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bez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DPH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2D9757D3" w14:textId="7190D988" w:rsidR="000E0CB9" w:rsidRPr="000E0CB9" w:rsidRDefault="000E0CB9" w:rsidP="000E0CB9">
            <w:pPr>
              <w:spacing w:line="210" w:lineRule="exact"/>
              <w:ind w:left="95" w:right="9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Celková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cena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          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v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EUR</w:t>
            </w:r>
          </w:p>
          <w:p w14:paraId="2210F96B" w14:textId="77777777" w:rsidR="000E0CB9" w:rsidRPr="000E0CB9" w:rsidRDefault="000E0CB9" w:rsidP="000E0CB9">
            <w:pPr>
              <w:spacing w:line="215" w:lineRule="exact"/>
              <w:ind w:left="95" w:right="87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bez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DPH</w:t>
            </w:r>
          </w:p>
        </w:tc>
      </w:tr>
      <w:tr w:rsidR="000E0CB9" w:rsidRPr="000E0CB9" w14:paraId="4747BE6F" w14:textId="77777777" w:rsidTr="000E0CB9">
        <w:trPr>
          <w:trHeight w:val="221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9EAEEDA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4DA0680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B38348A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6447C62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C6484CE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</w:tr>
      <w:tr w:rsidR="000E0CB9" w:rsidRPr="000E0CB9" w14:paraId="623659D2" w14:textId="77777777" w:rsidTr="000E0CB9">
        <w:trPr>
          <w:trHeight w:val="218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26617BDF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  <w:hideMark/>
          </w:tcPr>
          <w:p w14:paraId="04D9E1CC" w14:textId="4794E08C" w:rsidR="000E0CB9" w:rsidRPr="000E0CB9" w:rsidRDefault="000E0CB9" w:rsidP="000E0CB9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Dodávka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a </w:t>
            </w: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montáž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kazetového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podhľadu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v </w:t>
            </w: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objekte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MTZ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1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-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1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DPB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1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a.</w:t>
            </w: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s.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35B80309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6F594563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4EC7CDFE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E0CB9" w:rsidRPr="000E0CB9" w14:paraId="51581A33" w14:textId="77777777" w:rsidTr="000E0CB9">
        <w:trPr>
          <w:trHeight w:val="240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5A20B13E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 </w:t>
            </w:r>
          </w:p>
          <w:p w14:paraId="333C7D34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1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329BFA06" w14:textId="77777777" w:rsidR="000E0CB9" w:rsidRPr="000E0CB9" w:rsidRDefault="000E0CB9" w:rsidP="000E0CB9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4D3929F" w14:textId="77777777" w:rsidR="000E0CB9" w:rsidRPr="000E0CB9" w:rsidRDefault="000E0CB9" w:rsidP="000E0CB9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Konštrukcia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pre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zhotovenie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kazetového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stropu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63AC9A74" w14:textId="77777777" w:rsidR="000E0CB9" w:rsidRPr="000E0CB9" w:rsidRDefault="000E0CB9" w:rsidP="000E0CB9">
            <w:pPr>
              <w:spacing w:line="221" w:lineRule="exact"/>
              <w:ind w:left="122" w:right="113"/>
              <w:jc w:val="center"/>
              <w:rPr>
                <w:rFonts w:ascii="Garamond" w:eastAsia="Times New Roman" w:hAnsi="Garamond" w:cs="Times New Roman"/>
                <w:color w:val="000009"/>
                <w:sz w:val="20"/>
                <w:szCs w:val="20"/>
              </w:rPr>
            </w:pPr>
          </w:p>
          <w:p w14:paraId="6FAE32EC" w14:textId="77777777" w:rsidR="000E0CB9" w:rsidRPr="000E0CB9" w:rsidRDefault="000E0CB9" w:rsidP="000E0CB9">
            <w:pPr>
              <w:spacing w:line="221" w:lineRule="exact"/>
              <w:ind w:left="122" w:right="113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color w:val="000009"/>
                <w:sz w:val="20"/>
                <w:szCs w:val="20"/>
              </w:rPr>
              <w:t>135m2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0F542BB" w14:textId="4B20E471" w:rsidR="000E0CB9" w:rsidRPr="000E0CB9" w:rsidRDefault="000E0CB9" w:rsidP="000E0CB9">
            <w:pPr>
              <w:spacing w:line="221" w:lineRule="exact"/>
              <w:ind w:left="134" w:right="129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C5F5BF8" w14:textId="3B96D114" w:rsidR="000E0CB9" w:rsidRPr="000E0CB9" w:rsidRDefault="000E0CB9" w:rsidP="000E0CB9">
            <w:pPr>
              <w:spacing w:line="221" w:lineRule="exact"/>
              <w:ind w:right="598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E0CB9">
              <w:rPr>
                <w:rFonts w:ascii="Garamond" w:hAnsi="Garamond" w:cs="Arial"/>
                <w:bCs/>
                <w:sz w:val="20"/>
                <w:szCs w:val="20"/>
              </w:rPr>
              <w:t xml:space="preserve">           </w:t>
            </w: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E0CB9" w:rsidRPr="000E0CB9" w14:paraId="19D6E092" w14:textId="77777777" w:rsidTr="000E0CB9">
        <w:trPr>
          <w:trHeight w:val="445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3BF1FFF4" w14:textId="77777777" w:rsidR="000E0CB9" w:rsidRPr="000E0CB9" w:rsidRDefault="000E0CB9" w:rsidP="000E0CB9">
            <w:pPr>
              <w:spacing w:before="93"/>
              <w:ind w:left="5"/>
              <w:jc w:val="center"/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  <w:color w:val="000009"/>
                <w:w w:val="93"/>
              </w:rPr>
              <w:t>2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5E0A45F" w14:textId="77777777" w:rsidR="000E0CB9" w:rsidRDefault="000E0CB9" w:rsidP="000E0CB9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KAZETY KCS FERIA, B 60/60 CM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Výška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stropu</w:t>
            </w:r>
            <w:proofErr w:type="spellEnd"/>
          </w:p>
          <w:p w14:paraId="4DF4FCEC" w14:textId="7F6B0467" w:rsidR="000E0CB9" w:rsidRPr="000E0CB9" w:rsidRDefault="000E0CB9" w:rsidP="000E0CB9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3800mm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4A97B5F0" w14:textId="77777777" w:rsidR="000E0CB9" w:rsidRPr="000E0CB9" w:rsidRDefault="000E0CB9" w:rsidP="000E0CB9">
            <w:pPr>
              <w:spacing w:before="93"/>
              <w:ind w:left="122" w:right="114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  <w:t>135m2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92B879D" w14:textId="7251C10E" w:rsidR="000E0CB9" w:rsidRPr="000E0CB9" w:rsidRDefault="000E0CB9" w:rsidP="000E0CB9">
            <w:pPr>
              <w:spacing w:before="93"/>
              <w:ind w:left="135" w:right="126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5FE5A31" w14:textId="663A3B3C" w:rsidR="000E0CB9" w:rsidRPr="000E0CB9" w:rsidRDefault="000E0CB9" w:rsidP="000E0CB9">
            <w:pPr>
              <w:spacing w:before="93"/>
              <w:ind w:left="95" w:right="87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E0CB9" w:rsidRPr="000E0CB9" w14:paraId="5CC03C4F" w14:textId="77777777" w:rsidTr="000E0CB9">
        <w:trPr>
          <w:trHeight w:val="445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372018D" w14:textId="77777777" w:rsidR="000E0CB9" w:rsidRPr="000E0CB9" w:rsidRDefault="000E0CB9" w:rsidP="000E0CB9">
            <w:pPr>
              <w:spacing w:before="93"/>
              <w:ind w:left="5"/>
              <w:jc w:val="center"/>
              <w:rPr>
                <w:rFonts w:ascii="Garamond" w:eastAsia="Times New Roman" w:hAnsi="Garamond" w:cs="Times New Roman"/>
                <w:color w:val="000009"/>
                <w:w w:val="93"/>
              </w:rPr>
            </w:pPr>
            <w:r w:rsidRPr="000E0CB9">
              <w:rPr>
                <w:rFonts w:ascii="Garamond" w:eastAsia="Times New Roman" w:hAnsi="Garamond" w:cs="Times New Roman"/>
                <w:color w:val="000009"/>
                <w:w w:val="93"/>
              </w:rPr>
              <w:t>3</w:t>
            </w: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7B26720" w14:textId="77777777" w:rsidR="000E0CB9" w:rsidRPr="000E0CB9" w:rsidRDefault="000E0CB9" w:rsidP="000E0CB9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22AF57E" w14:textId="77777777" w:rsidR="000E0CB9" w:rsidRPr="000E0CB9" w:rsidRDefault="000E0CB9" w:rsidP="000E0CB9">
            <w:pPr>
              <w:spacing w:line="210" w:lineRule="exac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Montážne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práce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+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stavba</w:t>
            </w:r>
            <w:proofErr w:type="spellEnd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0E0CB9">
              <w:rPr>
                <w:rFonts w:ascii="Garamond" w:eastAsia="Times New Roman" w:hAnsi="Garamond" w:cs="Times New Roman"/>
                <w:sz w:val="20"/>
                <w:szCs w:val="20"/>
              </w:rPr>
              <w:t>lešenia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518A576" w14:textId="77777777" w:rsidR="000E0CB9" w:rsidRPr="000E0CB9" w:rsidRDefault="000E0CB9" w:rsidP="000E0CB9">
            <w:pPr>
              <w:spacing w:before="93"/>
              <w:ind w:left="122" w:right="114"/>
              <w:jc w:val="center"/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</w:pPr>
            <w:proofErr w:type="spellStart"/>
            <w:r w:rsidRPr="000E0CB9">
              <w:rPr>
                <w:rFonts w:ascii="Garamond" w:eastAsia="Times New Roman" w:hAnsi="Garamond" w:cs="Times New Roman"/>
                <w:color w:val="000009"/>
                <w:w w:val="95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D906CAB" w14:textId="2030C005" w:rsidR="000E0CB9" w:rsidRPr="000E0CB9" w:rsidRDefault="000E0CB9" w:rsidP="000E0CB9">
            <w:pPr>
              <w:spacing w:before="93"/>
              <w:ind w:left="135" w:right="126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8A5D3EF" w14:textId="45F93BA9" w:rsidR="000E0CB9" w:rsidRPr="000E0CB9" w:rsidRDefault="000E0CB9" w:rsidP="000E0CB9">
            <w:pPr>
              <w:spacing w:before="93"/>
              <w:ind w:left="95" w:right="87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E0CB9" w:rsidRPr="000E0CB9" w14:paraId="5C2D414A" w14:textId="77777777" w:rsidTr="000E0CB9">
        <w:trPr>
          <w:trHeight w:val="218"/>
        </w:trPr>
        <w:tc>
          <w:tcPr>
            <w:tcW w:w="5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5D67D49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81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0914A83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0E45A23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3629C52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913EB0F" w14:textId="77777777" w:rsidR="000E0CB9" w:rsidRPr="000E0CB9" w:rsidRDefault="000E0CB9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0E0CB9" w:rsidRPr="000E0CB9" w14:paraId="513A7037" w14:textId="77777777" w:rsidTr="000E0CB9">
        <w:trPr>
          <w:trHeight w:val="220"/>
        </w:trPr>
        <w:tc>
          <w:tcPr>
            <w:tcW w:w="8506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4F2E9F7B" w14:textId="77777777" w:rsidR="000E0CB9" w:rsidRPr="000E0CB9" w:rsidRDefault="000E0CB9" w:rsidP="000E0CB9">
            <w:pPr>
              <w:tabs>
                <w:tab w:val="left" w:pos="1066"/>
              </w:tabs>
              <w:spacing w:line="201" w:lineRule="exact"/>
              <w:ind w:left="203"/>
              <w:rPr>
                <w:rFonts w:ascii="Garamond" w:eastAsia="Times New Roman" w:hAnsi="Garamond" w:cs="Times New Roman"/>
                <w:b/>
              </w:rPr>
            </w:pPr>
            <w:proofErr w:type="spellStart"/>
            <w:r w:rsidRPr="000E0CB9">
              <w:rPr>
                <w:rFonts w:ascii="Garamond" w:eastAsia="Times New Roman" w:hAnsi="Garamond" w:cs="Times New Roman"/>
                <w:b/>
                <w:color w:val="000009"/>
              </w:rPr>
              <w:t>Spolu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</w:rPr>
              <w:t xml:space="preserve">: 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4AA9053A" w14:textId="5C8496C7" w:rsidR="000E0CB9" w:rsidRPr="000E0CB9" w:rsidRDefault="000E0CB9" w:rsidP="000E0CB9">
            <w:pPr>
              <w:spacing w:line="201" w:lineRule="exact"/>
              <w:ind w:right="590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</w:rPr>
            </w:pPr>
            <w:r w:rsidRPr="000E0CB9">
              <w:rPr>
                <w:rFonts w:ascii="Garamond" w:hAnsi="Garamond"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 xml:space="preserve"> </w:t>
            </w: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</w:tbl>
    <w:p w14:paraId="7099662D" w14:textId="77777777" w:rsidR="00ED2ABA" w:rsidRPr="000E0CB9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C89181" w14:textId="5878C40C" w:rsidR="005B3E8B" w:rsidRPr="000E0CB9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1E2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E0CB9"/>
    <w:rsid w:val="000F5EAF"/>
    <w:rsid w:val="00116EBF"/>
    <w:rsid w:val="001300E2"/>
    <w:rsid w:val="00161CC5"/>
    <w:rsid w:val="00162177"/>
    <w:rsid w:val="00177BBF"/>
    <w:rsid w:val="00182078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770D6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6169"/>
    <w:rsid w:val="00BB1B07"/>
    <w:rsid w:val="00BB7111"/>
    <w:rsid w:val="00BC052D"/>
    <w:rsid w:val="00BC6BF7"/>
    <w:rsid w:val="00C06FEF"/>
    <w:rsid w:val="00C07A29"/>
    <w:rsid w:val="00C1477A"/>
    <w:rsid w:val="00C32673"/>
    <w:rsid w:val="00C34001"/>
    <w:rsid w:val="00C467B3"/>
    <w:rsid w:val="00C50593"/>
    <w:rsid w:val="00C50FAD"/>
    <w:rsid w:val="00C53BDF"/>
    <w:rsid w:val="00C65834"/>
    <w:rsid w:val="00C77EC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table" w:customStyle="1" w:styleId="TableNormal">
    <w:name w:val="Table Normal"/>
    <w:uiPriority w:val="2"/>
    <w:semiHidden/>
    <w:qFormat/>
    <w:rsid w:val="001820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0963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15</cp:revision>
  <cp:lastPrinted>2020-02-25T13:07:00Z</cp:lastPrinted>
  <dcterms:created xsi:type="dcterms:W3CDTF">2022-11-21T14:12:00Z</dcterms:created>
  <dcterms:modified xsi:type="dcterms:W3CDTF">2023-05-03T09:03:00Z</dcterms:modified>
</cp:coreProperties>
</file>