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xxx/</w:t>
      </w:r>
      <w:r w:rsidR="006352A5">
        <w:rPr>
          <w:rFonts w:ascii="Times New Roman" w:hAnsi="Times New Roman" w:cs="Times New Roman"/>
          <w:b/>
          <w:bCs/>
          <w:sz w:val="24"/>
          <w:szCs w:val="24"/>
        </w:rPr>
        <w:t>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7950BD">
        <w:rPr>
          <w:rFonts w:ascii="Times New Roman" w:hAnsi="Times New Roman" w:cs="Times New Roman"/>
          <w:b/>
          <w:sz w:val="24"/>
          <w:szCs w:val="24"/>
        </w:rPr>
        <w:t>Lesnícke košele.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Pr="000D2ABC">
        <w:rPr>
          <w:rFonts w:ascii="Times New Roman" w:hAnsi="Times New Roman" w:cs="Times New Roman"/>
          <w:sz w:val="24"/>
          <w:szCs w:val="24"/>
        </w:rPr>
        <w:t>3</w:t>
      </w:r>
      <w:r w:rsidR="00910148" w:rsidRPr="000D2ABC">
        <w:rPr>
          <w:rFonts w:ascii="Times New Roman" w:hAnsi="Times New Roman" w:cs="Times New Roman"/>
          <w:sz w:val="24"/>
          <w:szCs w:val="24"/>
        </w:rPr>
        <w:t>0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61A94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dátumom výroby, piktogramom s </w:t>
      </w:r>
      <w:r w:rsidRPr="00861A94">
        <w:rPr>
          <w:rFonts w:ascii="Times New Roman" w:hAnsi="Times New Roman" w:cs="Times New Roman"/>
          <w:sz w:val="24"/>
          <w:szCs w:val="24"/>
        </w:rPr>
        <w:t>vyznačením druhu ochrany, potrebnými symbolmi</w:t>
      </w:r>
      <w:r w:rsidR="007E0705" w:rsidRPr="00861A94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647C62" w:rsidRDefault="00910148" w:rsidP="008E4E30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647C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647C62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647C62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647C62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647C62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647C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15B60" w:rsidRPr="001D3CDA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EB7560">
        <w:rPr>
          <w:rFonts w:ascii="Times New Roman" w:hAnsi="Times New Roman" w:cs="Times New Roman"/>
          <w:sz w:val="24"/>
          <w:szCs w:val="24"/>
        </w:rPr>
        <w:t xml:space="preserve"> v súlade s § 18 zákona č.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2B024F" w:rsidRDefault="002B024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351D" w:rsidRP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</w:p>
    <w:sectPr w:rsidR="00EE351D" w:rsidRPr="00EE35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AC" w:rsidRDefault="007642AC" w:rsidP="00B86821">
      <w:pPr>
        <w:spacing w:after="0" w:line="240" w:lineRule="auto"/>
      </w:pPr>
      <w:r>
        <w:separator/>
      </w:r>
    </w:p>
  </w:endnote>
  <w:endnote w:type="continuationSeparator" w:id="0">
    <w:p w:rsidR="007642AC" w:rsidRDefault="007642AC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2AC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AC" w:rsidRDefault="007642AC" w:rsidP="00B86821">
      <w:pPr>
        <w:spacing w:after="0" w:line="240" w:lineRule="auto"/>
      </w:pPr>
      <w:r>
        <w:separator/>
      </w:r>
    </w:p>
  </w:footnote>
  <w:footnote w:type="continuationSeparator" w:id="0">
    <w:p w:rsidR="007642AC" w:rsidRDefault="007642AC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4F" w:rsidRDefault="002B024F">
    <w:pPr>
      <w:pStyle w:val="Hlavika"/>
    </w:pPr>
    <w:r>
      <w:t xml:space="preserve">                                                                                                                                                                Príloha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20E4226C"/>
    <w:lvl w:ilvl="0" w:tplc="09F44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919B2"/>
    <w:rsid w:val="000C475A"/>
    <w:rsid w:val="000D2ABC"/>
    <w:rsid w:val="000D3117"/>
    <w:rsid w:val="001000DA"/>
    <w:rsid w:val="001471BC"/>
    <w:rsid w:val="00177D99"/>
    <w:rsid w:val="001942E4"/>
    <w:rsid w:val="001A1517"/>
    <w:rsid w:val="001A6444"/>
    <w:rsid w:val="001D3CDA"/>
    <w:rsid w:val="00215192"/>
    <w:rsid w:val="00221CEE"/>
    <w:rsid w:val="00232FB7"/>
    <w:rsid w:val="00234E38"/>
    <w:rsid w:val="00261A2B"/>
    <w:rsid w:val="0026549B"/>
    <w:rsid w:val="002B024F"/>
    <w:rsid w:val="00315365"/>
    <w:rsid w:val="0038465A"/>
    <w:rsid w:val="00391CDF"/>
    <w:rsid w:val="003B1319"/>
    <w:rsid w:val="003C76BE"/>
    <w:rsid w:val="0041024E"/>
    <w:rsid w:val="00417ECE"/>
    <w:rsid w:val="00467443"/>
    <w:rsid w:val="004714F4"/>
    <w:rsid w:val="0047685C"/>
    <w:rsid w:val="00491FB6"/>
    <w:rsid w:val="004D72F7"/>
    <w:rsid w:val="004F534C"/>
    <w:rsid w:val="0052356A"/>
    <w:rsid w:val="0052677C"/>
    <w:rsid w:val="00581FBA"/>
    <w:rsid w:val="00616F04"/>
    <w:rsid w:val="006352A5"/>
    <w:rsid w:val="00636B33"/>
    <w:rsid w:val="006475FC"/>
    <w:rsid w:val="00647C62"/>
    <w:rsid w:val="006520F3"/>
    <w:rsid w:val="006675ED"/>
    <w:rsid w:val="0069379D"/>
    <w:rsid w:val="00696016"/>
    <w:rsid w:val="006E5C34"/>
    <w:rsid w:val="00700A82"/>
    <w:rsid w:val="00711FE3"/>
    <w:rsid w:val="00715B60"/>
    <w:rsid w:val="0075713D"/>
    <w:rsid w:val="007642AC"/>
    <w:rsid w:val="00764326"/>
    <w:rsid w:val="007950BD"/>
    <w:rsid w:val="007A57F2"/>
    <w:rsid w:val="007B64A6"/>
    <w:rsid w:val="007E0705"/>
    <w:rsid w:val="00823767"/>
    <w:rsid w:val="00861A94"/>
    <w:rsid w:val="00883F2E"/>
    <w:rsid w:val="008879F6"/>
    <w:rsid w:val="009034EA"/>
    <w:rsid w:val="00910148"/>
    <w:rsid w:val="00910AAA"/>
    <w:rsid w:val="009264F0"/>
    <w:rsid w:val="00970CBB"/>
    <w:rsid w:val="009B0E66"/>
    <w:rsid w:val="009E1EDB"/>
    <w:rsid w:val="00A40A44"/>
    <w:rsid w:val="00A9697D"/>
    <w:rsid w:val="00AA295F"/>
    <w:rsid w:val="00AE2CC0"/>
    <w:rsid w:val="00B10C41"/>
    <w:rsid w:val="00B86821"/>
    <w:rsid w:val="00BA39BB"/>
    <w:rsid w:val="00BD5E76"/>
    <w:rsid w:val="00D919CD"/>
    <w:rsid w:val="00DC404A"/>
    <w:rsid w:val="00E149C9"/>
    <w:rsid w:val="00E360B4"/>
    <w:rsid w:val="00EB7560"/>
    <w:rsid w:val="00EC60BF"/>
    <w:rsid w:val="00EE351D"/>
    <w:rsid w:val="00EE4ADB"/>
    <w:rsid w:val="00EE73B7"/>
    <w:rsid w:val="00EF1035"/>
    <w:rsid w:val="00F0395B"/>
    <w:rsid w:val="00F216C9"/>
    <w:rsid w:val="00F36AF9"/>
    <w:rsid w:val="00F5178D"/>
    <w:rsid w:val="00F6527E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32A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7F5B-8831-4A9B-AAD1-ADDC4229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3</cp:revision>
  <cp:lastPrinted>2023-06-19T06:04:00Z</cp:lastPrinted>
  <dcterms:created xsi:type="dcterms:W3CDTF">2023-03-15T12:58:00Z</dcterms:created>
  <dcterms:modified xsi:type="dcterms:W3CDTF">2023-06-19T06:04:00Z</dcterms:modified>
</cp:coreProperties>
</file>