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5639BB90" w14:textId="77777777" w:rsidR="00EE728C" w:rsidRDefault="00EE728C" w:rsidP="000C4AE5">
      <w:pPr>
        <w:jc w:val="center"/>
        <w:rPr>
          <w:b/>
          <w:sz w:val="52"/>
        </w:rPr>
      </w:pPr>
    </w:p>
    <w:p w14:paraId="2FEA23BD" w14:textId="0292D673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65D460A9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D279C4">
        <w:t>6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D279C4">
        <w:t> otevřeném nadlimitním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77777777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průmyslové kamenné </w:t>
      </w:r>
      <w:r w:rsidR="00D279C4" w:rsidRPr="00A961B1">
        <w:rPr>
          <w:b/>
          <w:caps/>
          <w:color w:val="E36C0A" w:themeColor="accent6" w:themeShade="BF"/>
          <w:sz w:val="40"/>
        </w:rPr>
        <w:t>SOLI – OKRES</w:t>
      </w:r>
      <w:r w:rsidRPr="00A961B1">
        <w:rPr>
          <w:b/>
          <w:caps/>
          <w:color w:val="E36C0A" w:themeColor="accent6" w:themeShade="BF"/>
          <w:sz w:val="40"/>
        </w:rPr>
        <w:t xml:space="preserve"> Liberec, Česká Lípa, Semily, Jablonec nad Nisou</w:t>
      </w:r>
    </w:p>
    <w:p w14:paraId="2449117D" w14:textId="5E302054" w:rsidR="00BD1E69" w:rsidRPr="001F1B9D" w:rsidRDefault="001F1B9D" w:rsidP="000C4AE5">
      <w:pPr>
        <w:jc w:val="center"/>
        <w:rPr>
          <w:b/>
          <w:caps/>
          <w:sz w:val="40"/>
        </w:rPr>
      </w:pPr>
      <w:r w:rsidRPr="001F1B9D">
        <w:rPr>
          <w:b/>
          <w:caps/>
          <w:sz w:val="40"/>
        </w:rPr>
        <w:t>Z2</w:t>
      </w:r>
      <w:r w:rsidR="0064627D">
        <w:rPr>
          <w:b/>
          <w:caps/>
          <w:sz w:val="40"/>
        </w:rPr>
        <w:t>3032</w:t>
      </w:r>
      <w:r w:rsidR="00A424B0" w:rsidRPr="001F1B9D">
        <w:rPr>
          <w:b/>
          <w:caps/>
          <w:sz w:val="40"/>
        </w:rPr>
        <w:t xml:space="preserve"> 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5C16CEF6" w:rsidR="007D3961" w:rsidRPr="00826F54" w:rsidRDefault="00AB5244" w:rsidP="000C4AE5">
      <w:r w:rsidRPr="00826F54">
        <w:t xml:space="preserve">Tato veřejná zakázka na </w:t>
      </w:r>
      <w:r w:rsidR="00696DA5">
        <w:t>dodávky</w:t>
      </w:r>
      <w:r w:rsidRPr="00826F54">
        <w:t xml:space="preserve"> s názvem </w:t>
      </w:r>
      <w:r w:rsidRPr="00826F54">
        <w:rPr>
          <w:b/>
        </w:rPr>
        <w:t>„</w:t>
      </w:r>
      <w:r w:rsidR="00D279C4" w:rsidRPr="00826F54">
        <w:rPr>
          <w:b/>
        </w:rPr>
        <w:t xml:space="preserve">Dodávka průmyslové kamenné </w:t>
      </w:r>
      <w:r w:rsidR="000C4605" w:rsidRPr="00826F54">
        <w:rPr>
          <w:b/>
        </w:rPr>
        <w:t>soli – okres</w:t>
      </w:r>
      <w:r w:rsidR="00D279C4" w:rsidRPr="00826F54">
        <w:rPr>
          <w:b/>
        </w:rPr>
        <w:t xml:space="preserve"> Liberec, Česká Lípa, Semily, Jablonec nad Nisou</w:t>
      </w:r>
      <w:r w:rsidRPr="00826F54">
        <w:rPr>
          <w:b/>
        </w:rPr>
        <w:t xml:space="preserve">“ </w:t>
      </w:r>
      <w:r w:rsidRPr="00826F54">
        <w:t>(dále jen „</w:t>
      </w:r>
      <w:r w:rsidRPr="00826F54">
        <w:rPr>
          <w:b/>
        </w:rPr>
        <w:t>Veřejná zakázka</w:t>
      </w:r>
      <w:r w:rsidRPr="00826F54">
        <w:t xml:space="preserve">“) je zadávána </w:t>
      </w:r>
      <w:r w:rsidR="00DD534C" w:rsidRPr="00826F54">
        <w:t>v</w:t>
      </w:r>
      <w:r w:rsidR="007D3961" w:rsidRPr="00826F54">
        <w:t xml:space="preserve"> </w:t>
      </w:r>
      <w:r w:rsidR="00D279C4" w:rsidRPr="00826F54">
        <w:t>otevřením</w:t>
      </w:r>
      <w:r w:rsidR="003B354A" w:rsidRPr="00826F54">
        <w:t xml:space="preserve"> </w:t>
      </w:r>
      <w:r w:rsidR="00D279C4" w:rsidRPr="00826F54">
        <w:t xml:space="preserve">nadlimitním </w:t>
      </w:r>
      <w:r w:rsidR="00DD534C" w:rsidRPr="00826F54">
        <w:t>řízení</w:t>
      </w:r>
      <w:r w:rsidR="009A394E" w:rsidRPr="00826F54">
        <w:t xml:space="preserve"> dle § 5</w:t>
      </w:r>
      <w:r w:rsidR="00D279C4" w:rsidRPr="00826F54">
        <w:t>6</w:t>
      </w:r>
      <w:r w:rsidR="009A394E" w:rsidRPr="00826F54">
        <w:t xml:space="preserve"> ZZVZ</w:t>
      </w:r>
      <w:r w:rsidR="007D3961" w:rsidRPr="00826F54">
        <w:t>.</w:t>
      </w:r>
      <w:r w:rsidR="004510FC">
        <w:t xml:space="preserve"> Veřejná zakázka je rozdělena na celkem čtyři části</w:t>
      </w:r>
      <w:r w:rsidR="00E11B86">
        <w:t>, které jsou blíže popsány v čl. 3.1 této zadávací dokumentace.</w:t>
      </w:r>
    </w:p>
    <w:p w14:paraId="1EFB777E" w14:textId="4218976B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 xml:space="preserve">v každé části Veřejné zakázky uzavřena s vybraným dodavatelem </w:t>
      </w:r>
      <w:r w:rsidR="00FC6497">
        <w:t>r</w:t>
      </w:r>
      <w:r w:rsidR="00342EFB">
        <w:t>ámcová dohoda</w:t>
      </w:r>
      <w:r w:rsidR="00FC6497">
        <w:t xml:space="preserve"> </w:t>
      </w:r>
      <w:r w:rsidRPr="00826F54">
        <w:t xml:space="preserve">na plnění </w:t>
      </w:r>
      <w:r w:rsidR="00FC6497">
        <w:t>příslušné části</w:t>
      </w:r>
      <w:r w:rsidRPr="00826F54">
        <w:t xml:space="preserve"> </w:t>
      </w:r>
      <w:r w:rsidR="0084328B" w:rsidRPr="00826F54">
        <w:t>Veřejné</w:t>
      </w:r>
      <w:r w:rsidRPr="00826F54">
        <w:t xml:space="preserve">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C6497">
        <w:rPr>
          <w:b/>
          <w:bCs/>
        </w:rPr>
        <w:t>Rámcová dohoda</w:t>
      </w:r>
      <w:r w:rsidR="004034E3" w:rsidRPr="00826F54">
        <w:t>“)</w:t>
      </w:r>
      <w:r w:rsidRPr="00826F54">
        <w:t xml:space="preserve">. </w:t>
      </w:r>
      <w:r w:rsidR="00DD2F27">
        <w:t xml:space="preserve">Každá Rámcová dohoda bude vždy uzavřena s jedním účastníkem, jehož nabídka bude v Zadávacím řízení vyhodnocena v rámci příslušné části Veřejné zakázky jako nejvýhodnější. Závazné návrhy Rámcových dohod pro jednotlivé části Veřejné zakázky </w:t>
      </w:r>
      <w:proofErr w:type="gramStart"/>
      <w:r w:rsidR="00DD2F27">
        <w:t>tvoří</w:t>
      </w:r>
      <w:proofErr w:type="gramEnd"/>
      <w:r w:rsidR="00DD2F27">
        <w:t xml:space="preserve"> přílohy č. 2 a), 2 b), 2 c) a 2 d) této Zadávací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826F54">
          <w:rPr>
            <w:rStyle w:val="Hypertextovodkaz"/>
          </w:rPr>
          <w:t>https://profily.proebiz.com/profile/28746503</w:t>
        </w:r>
      </w:hyperlink>
      <w:r w:rsidR="00233190" w:rsidRPr="00826F54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14E3F5A0" w14:textId="6B1D2C48" w:rsidR="00C50276" w:rsidRPr="00826F54" w:rsidRDefault="00C50276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shodně.</w:t>
      </w:r>
    </w:p>
    <w:p w14:paraId="35EED11D" w14:textId="397DD10E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uvedeny v příloze č. </w:t>
      </w:r>
      <w:r w:rsidR="003C6C84" w:rsidRPr="00826F54">
        <w:rPr>
          <w:rFonts w:cs="Tahoma"/>
        </w:rPr>
        <w:t>5</w:t>
      </w:r>
      <w:r w:rsidR="00BB561D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Zadávací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vypracování přílohy č. 5 Zadávací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20460D40" w:rsidR="00EB5E75" w:rsidRPr="005E0871" w:rsidRDefault="004F4F05" w:rsidP="000C4AE5">
      <w:pPr>
        <w:spacing w:after="0"/>
        <w:ind w:hanging="2"/>
        <w:rPr>
          <w:rFonts w:cs="Arial"/>
        </w:rPr>
      </w:pPr>
      <w:proofErr w:type="gramStart"/>
      <w:r w:rsidRPr="005E0871">
        <w:rPr>
          <w:rFonts w:cs="Arial"/>
        </w:rPr>
        <w:lastRenderedPageBreak/>
        <w:t xml:space="preserve">zastoupený:  </w:t>
      </w:r>
      <w:r w:rsidR="00EB5E75" w:rsidRPr="005E0871">
        <w:rPr>
          <w:rFonts w:cs="Arial"/>
        </w:rPr>
        <w:tab/>
      </w:r>
      <w:proofErr w:type="gramEnd"/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="00EB5E75"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 xml:space="preserve">Zdeňkem </w:t>
      </w:r>
      <w:proofErr w:type="spellStart"/>
      <w:r w:rsidRPr="005E0871">
        <w:rPr>
          <w:rFonts w:cs="Arial"/>
        </w:rPr>
        <w:t>Samešem</w:t>
      </w:r>
      <w:proofErr w:type="spellEnd"/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2"/>
    </w:p>
    <w:p w14:paraId="22106A61" w14:textId="77777777" w:rsidR="00EB5E75" w:rsidRPr="003037D6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638A519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r w:rsidR="00953179" w:rsidRPr="003037D6">
        <w:rPr>
          <w:rFonts w:cs="Arial"/>
        </w:rPr>
        <w:t xml:space="preserve">sídlem: </w:t>
      </w:r>
      <w:r w:rsidR="00953179"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6DB222A" w14:textId="4CDFF76F" w:rsidR="000573CB" w:rsidRPr="000573CB" w:rsidRDefault="000573CB" w:rsidP="0027779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je uzavření Rámcové </w:t>
      </w:r>
      <w:r w:rsidR="00277794">
        <w:rPr>
          <w:rFonts w:ascii="Calibri" w:hAnsi="Calibri" w:cs="Calibri"/>
          <w:color w:val="000000"/>
        </w:rPr>
        <w:t>dohody</w:t>
      </w:r>
      <w:r w:rsidRPr="000573CB">
        <w:rPr>
          <w:rFonts w:ascii="Calibri" w:hAnsi="Calibri" w:cs="Calibri"/>
          <w:color w:val="000000"/>
        </w:rPr>
        <w:t xml:space="preserve"> na dobu trvání </w:t>
      </w:r>
      <w:r w:rsidR="00277794">
        <w:rPr>
          <w:rFonts w:ascii="Calibri" w:hAnsi="Calibri" w:cs="Calibri"/>
          <w:color w:val="000000"/>
        </w:rPr>
        <w:t>1</w:t>
      </w:r>
      <w:r w:rsidRPr="000573CB">
        <w:rPr>
          <w:rFonts w:ascii="Calibri" w:hAnsi="Calibri" w:cs="Calibri"/>
          <w:color w:val="000000"/>
        </w:rPr>
        <w:t>2 měsíců s jedním účastníkem na každou část Veřejné zakázky, na jejímž základě bude docházet k dodání posypové kamenné soli pro zimní údržbu komunikací (dále jen „</w:t>
      </w:r>
      <w:r w:rsidRPr="000573CB">
        <w:rPr>
          <w:rFonts w:ascii="Calibri" w:hAnsi="Calibri" w:cs="Calibri"/>
          <w:b/>
          <w:bCs/>
          <w:color w:val="000000"/>
        </w:rPr>
        <w:t>posypová sůl</w:t>
      </w:r>
      <w:r w:rsidRPr="000573CB">
        <w:rPr>
          <w:rFonts w:ascii="Calibri" w:hAnsi="Calibri" w:cs="Calibri"/>
          <w:color w:val="000000"/>
        </w:rPr>
        <w:t xml:space="preserve">“) v příslušných oblastech Libereckého kraje. </w:t>
      </w:r>
    </w:p>
    <w:p w14:paraId="4FBA8ED5" w14:textId="77777777" w:rsidR="000573CB" w:rsidRPr="000573CB" w:rsidRDefault="000573CB" w:rsidP="00AD7289">
      <w:pPr>
        <w:rPr>
          <w:rFonts w:ascii="Calibri" w:hAnsi="Calibri" w:cs="Calibri"/>
          <w:color w:val="000000"/>
        </w:rPr>
      </w:pPr>
      <w:r w:rsidRPr="000573CB">
        <w:rPr>
          <w:rFonts w:ascii="Calibri" w:hAnsi="Calibri" w:cs="Calibri"/>
          <w:color w:val="000000"/>
        </w:rPr>
        <w:t xml:space="preserve">Předmětem plnění je dodávka volně ložené posypové kamenné soli určené pro zimní údržbu komunikací, která splňuje tyto parametry: </w:t>
      </w:r>
    </w:p>
    <w:p w14:paraId="430658AC" w14:textId="07BB0C1F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nesmí překročit limit škodlivin v chemických rozmrazovacích materiálech, jak stanoví TP 116 (technické podmínky schválené Ministerstvem dopravy, volně ke stažení na </w:t>
      </w:r>
      <w:hyperlink r:id="rId11" w:history="1">
        <w:r w:rsidR="00E16264" w:rsidRPr="00772B5B">
          <w:rPr>
            <w:rStyle w:val="Hypertextovodkaz"/>
            <w:rFonts w:cstheme="minorHAnsi"/>
          </w:rPr>
          <w:t>h</w:t>
        </w:r>
        <w:r w:rsidR="00E16264" w:rsidRPr="000573CB">
          <w:rPr>
            <w:rStyle w:val="Hypertextovodkaz"/>
            <w:rFonts w:cstheme="minorHAnsi"/>
          </w:rPr>
          <w:t>ttp://www.pjpk.cz/data/USR_001_2_8_TP/TP_116a.pdf</w:t>
        </w:r>
      </w:hyperlink>
      <w:r w:rsidR="000573CB" w:rsidRPr="000573C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;</w:t>
      </w:r>
    </w:p>
    <w:p w14:paraId="65848969" w14:textId="7D678736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0573CB" w:rsidRPr="000573CB">
        <w:rPr>
          <w:rFonts w:cstheme="minorHAnsi"/>
          <w:color w:val="000000"/>
        </w:rPr>
        <w:t xml:space="preserve">áhový podíl </w:t>
      </w:r>
      <w:proofErr w:type="spellStart"/>
      <w:r w:rsidR="000573CB" w:rsidRPr="000573CB">
        <w:rPr>
          <w:rFonts w:cstheme="minorHAnsi"/>
          <w:color w:val="000000"/>
        </w:rPr>
        <w:t>NaCl</w:t>
      </w:r>
      <w:proofErr w:type="spellEnd"/>
      <w:r w:rsidR="000573CB" w:rsidRPr="000573CB">
        <w:rPr>
          <w:rFonts w:cstheme="minorHAnsi"/>
          <w:color w:val="000000"/>
        </w:rPr>
        <w:t xml:space="preserve"> (chloridu sodného) v dodávané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osypové soli musí být min. 98 % při 0 % obsahu vody ve vzorku</w:t>
      </w:r>
      <w:r>
        <w:rPr>
          <w:rFonts w:cstheme="minorHAnsi"/>
          <w:color w:val="000000"/>
        </w:rPr>
        <w:t>;</w:t>
      </w:r>
    </w:p>
    <w:p w14:paraId="28987390" w14:textId="632ADDC0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osypová sůl nesmí vykazovat při dodání více než 2 váhová procenta stálé vlhkosti</w:t>
      </w:r>
      <w:r>
        <w:rPr>
          <w:rFonts w:cstheme="minorHAnsi"/>
          <w:color w:val="000000"/>
        </w:rPr>
        <w:t>;</w:t>
      </w:r>
      <w:r w:rsidR="000573CB" w:rsidRPr="000573CB">
        <w:rPr>
          <w:rFonts w:cstheme="minorHAnsi"/>
          <w:color w:val="000000"/>
        </w:rPr>
        <w:t xml:space="preserve"> </w:t>
      </w:r>
    </w:p>
    <w:p w14:paraId="7B961CCC" w14:textId="4DA7C77A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vybraný dodavatel</w:t>
      </w:r>
      <w:r w:rsidR="000573CB" w:rsidRPr="000573CB">
        <w:rPr>
          <w:rFonts w:cstheme="minorHAnsi"/>
          <w:color w:val="000000"/>
        </w:rPr>
        <w:t xml:space="preserve"> </w:t>
      </w:r>
      <w:proofErr w:type="gramStart"/>
      <w:r w:rsidR="000573CB" w:rsidRPr="000573CB">
        <w:rPr>
          <w:rFonts w:cstheme="minorHAnsi"/>
          <w:color w:val="000000"/>
        </w:rPr>
        <w:t>ručí</w:t>
      </w:r>
      <w:proofErr w:type="gramEnd"/>
      <w:r w:rsidR="000573CB" w:rsidRPr="000573CB">
        <w:rPr>
          <w:rFonts w:cstheme="minorHAnsi"/>
          <w:color w:val="000000"/>
        </w:rPr>
        <w:t xml:space="preserve"> za nespékavost posypové soli po dobu minimálně 2 let ode dne dodání. Veškerá dodávaná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je ošetřena proti spékavosti k tomu určeným prostředkem; </w:t>
      </w:r>
    </w:p>
    <w:p w14:paraId="48DBB4DF" w14:textId="41EF4C51" w:rsidR="000573CB" w:rsidRPr="000573CB" w:rsidRDefault="00C11EF7" w:rsidP="00C11EF7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musí splňovat charakteristiky a zrnitosti pro zimní údržbu pozemních komunikací, dle ustanovení </w:t>
      </w:r>
      <w:r w:rsidR="00B524C1">
        <w:rPr>
          <w:rFonts w:cstheme="minorHAnsi"/>
          <w:color w:val="000000"/>
        </w:rPr>
        <w:t>bodu</w:t>
      </w:r>
      <w:r w:rsidR="000573CB" w:rsidRPr="000573CB">
        <w:rPr>
          <w:rFonts w:cstheme="minorHAnsi"/>
          <w:color w:val="000000"/>
        </w:rPr>
        <w:t xml:space="preserve"> 8 odst. a) přílohy č. 7 vyhlášky Ministerstva dopravy a spojů č. 104/1997 Sb.</w:t>
      </w:r>
      <w:r w:rsidR="001C62FF">
        <w:rPr>
          <w:rFonts w:cstheme="minorHAnsi"/>
          <w:color w:val="000000"/>
        </w:rPr>
        <w:t>, kterou se provádí zákon o pozemních komunikacích</w:t>
      </w:r>
      <w:r w:rsidR="000573CB" w:rsidRPr="000573CB">
        <w:rPr>
          <w:rFonts w:cstheme="minorHAnsi"/>
          <w:color w:val="000000"/>
        </w:rPr>
        <w:t xml:space="preserve">; </w:t>
      </w:r>
    </w:p>
    <w:p w14:paraId="7FC374D3" w14:textId="77777777" w:rsidR="0051038E" w:rsidRDefault="0051038E" w:rsidP="0051038E">
      <w:pPr>
        <w:numPr>
          <w:ilvl w:val="0"/>
          <w:numId w:val="32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0573CB" w:rsidRPr="000573CB">
        <w:rPr>
          <w:rFonts w:cstheme="minorHAnsi"/>
          <w:color w:val="000000"/>
        </w:rPr>
        <w:t xml:space="preserve">kladba zrnitosti posypové soli musí splňovat následující požadavky váhových procent jednotlivých frakcí: </w:t>
      </w:r>
    </w:p>
    <w:p w14:paraId="2FB6A51B" w14:textId="0BD4725D" w:rsidR="000573CB" w:rsidRPr="00781C6C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781C6C">
        <w:rPr>
          <w:rFonts w:cstheme="minorHAnsi"/>
          <w:color w:val="000000"/>
        </w:rPr>
        <w:t>do 0,16 mm max. 5 % hmotnosti</w:t>
      </w:r>
      <w:r w:rsidR="00781C6C">
        <w:rPr>
          <w:rFonts w:cstheme="minorHAnsi"/>
          <w:color w:val="000000"/>
        </w:rPr>
        <w:t>;</w:t>
      </w:r>
      <w:r w:rsidRPr="00781C6C">
        <w:rPr>
          <w:rFonts w:cstheme="minorHAnsi"/>
          <w:color w:val="000000"/>
        </w:rPr>
        <w:t xml:space="preserve"> </w:t>
      </w:r>
    </w:p>
    <w:p w14:paraId="0CE8CB56" w14:textId="0746A69D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0,16 mm do 0,80 mm max. 30 %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59CD6381" w14:textId="0AC4AD5E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lastRenderedPageBreak/>
        <w:t>od 0,80 mm do 3,15 mm min. 60 %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76F2DB8" w14:textId="28A40841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3,15 mm do 5 mm max. 20 %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F39CE3A" w14:textId="479A74DF" w:rsidR="000573CB" w:rsidRPr="000573CB" w:rsidRDefault="000573CB" w:rsidP="00781C6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nad 5 mm 0 % hmotnosti</w:t>
      </w:r>
      <w:r w:rsidR="00781C6C">
        <w:rPr>
          <w:rFonts w:cstheme="minorHAnsi"/>
          <w:color w:val="000000"/>
        </w:rPr>
        <w:t>.</w:t>
      </w:r>
      <w:r w:rsidRPr="000573CB">
        <w:rPr>
          <w:rFonts w:cstheme="minorHAnsi"/>
          <w:color w:val="000000"/>
        </w:rPr>
        <w:t xml:space="preserve"> </w:t>
      </w:r>
    </w:p>
    <w:p w14:paraId="77EFCEA2" w14:textId="61EF58D2" w:rsidR="00826F54" w:rsidRPr="00E16264" w:rsidRDefault="000573CB" w:rsidP="00E16264">
      <w:pPr>
        <w:rPr>
          <w:rFonts w:cstheme="minorHAnsi"/>
        </w:rPr>
      </w:pPr>
      <w:r w:rsidRPr="00E16264">
        <w:rPr>
          <w:rFonts w:cstheme="minorHAnsi"/>
          <w:color w:val="000000"/>
        </w:rPr>
        <w:t xml:space="preserve">Předmětem Veřejné zakázky je i dodání posypové soli na rampu konkrétních skladů Zadavatele pomocí nákladních vozidel (návěs, souprava s vyklápěním do boku). Možnost konkrétního typu dopravy se </w:t>
      </w:r>
      <w:proofErr w:type="gramStart"/>
      <w:r w:rsidRPr="00E16264">
        <w:rPr>
          <w:rFonts w:cstheme="minorHAnsi"/>
          <w:color w:val="000000"/>
        </w:rPr>
        <w:t>liší</w:t>
      </w:r>
      <w:proofErr w:type="gramEnd"/>
      <w:r w:rsidRPr="00E16264">
        <w:rPr>
          <w:rFonts w:cstheme="minorHAnsi"/>
          <w:color w:val="000000"/>
        </w:rPr>
        <w:t xml:space="preserve"> podle jednotlivých skladů Zadavatele a může být v průběhu plnění Rámcové </w:t>
      </w:r>
      <w:r w:rsidR="005D11D9">
        <w:rPr>
          <w:rFonts w:cstheme="minorHAnsi"/>
          <w:color w:val="000000"/>
        </w:rPr>
        <w:t>dohody</w:t>
      </w:r>
      <w:r w:rsidRPr="00E16264">
        <w:rPr>
          <w:rFonts w:cstheme="minorHAnsi"/>
          <w:color w:val="000000"/>
        </w:rPr>
        <w:t xml:space="preserve"> </w:t>
      </w:r>
      <w:r w:rsidR="005D11D9">
        <w:rPr>
          <w:rFonts w:cstheme="minorHAnsi"/>
          <w:color w:val="000000"/>
        </w:rPr>
        <w:t>Z</w:t>
      </w:r>
      <w:r w:rsidRPr="00E16264">
        <w:rPr>
          <w:rFonts w:cstheme="minorHAnsi"/>
          <w:color w:val="000000"/>
        </w:rPr>
        <w:t>adavatelem upřesněna či změněna.</w:t>
      </w:r>
    </w:p>
    <w:p w14:paraId="7FAD09BC" w14:textId="77777777" w:rsidR="00E21E11" w:rsidRPr="00E21E11" w:rsidRDefault="00E21E11" w:rsidP="00E21E11">
      <w:pPr>
        <w:pStyle w:val="Nadpis2"/>
      </w:pPr>
      <w:r w:rsidRPr="00E21E11">
        <w:t>Rozdělení Veřejné zakázky na části</w:t>
      </w:r>
    </w:p>
    <w:p w14:paraId="2C5B67AF" w14:textId="485EDA61" w:rsidR="00E21E11" w:rsidRDefault="00E21E11" w:rsidP="00E21E11">
      <w:r>
        <w:t>Veřejná zakázka je rozdělená na</w:t>
      </w:r>
      <w:r w:rsidR="00C06B8A">
        <w:t xml:space="preserve"> celkem</w:t>
      </w:r>
      <w:r>
        <w:t xml:space="preserve"> 4 části. Jednotlivé části jsou rozděleny dle místa dodávek plnění pro jednotlivé okresy. </w:t>
      </w:r>
      <w:r w:rsidR="00C06B8A">
        <w:t>Veřejná zakázka je rozdělena</w:t>
      </w:r>
      <w:r>
        <w:t xml:space="preserve"> </w:t>
      </w:r>
      <w:r w:rsidR="00C06B8A">
        <w:t>na následující</w:t>
      </w:r>
      <w:r>
        <w:t xml:space="preserve"> části:</w:t>
      </w:r>
    </w:p>
    <w:p w14:paraId="49A57E1D" w14:textId="00AEE127" w:rsidR="00E21E11" w:rsidRDefault="00E21E11" w:rsidP="00F07736">
      <w:pPr>
        <w:pStyle w:val="Odstavecseseznamem"/>
        <w:numPr>
          <w:ilvl w:val="0"/>
          <w:numId w:val="34"/>
        </w:numPr>
      </w:pPr>
      <w:r>
        <w:t>Část 1</w:t>
      </w:r>
      <w:r w:rsidR="00677EAE">
        <w:t xml:space="preserve"> Veřejné zakázky zahrnuje dodávk</w:t>
      </w:r>
      <w:r w:rsidR="00D82578">
        <w:t xml:space="preserve">y posypové kamenné soli do skladů Zadavatele nacházejících se v oblasti okresu </w:t>
      </w:r>
      <w:r w:rsidR="00D82578" w:rsidRPr="00F07736">
        <w:rPr>
          <w:b/>
          <w:bCs/>
        </w:rPr>
        <w:t>Česká Lípa</w:t>
      </w:r>
      <w:r>
        <w:t xml:space="preserve"> (dále jen „</w:t>
      </w:r>
      <w:r w:rsidRPr="00F07736">
        <w:rPr>
          <w:b/>
          <w:bCs/>
        </w:rPr>
        <w:t>Část 1</w:t>
      </w:r>
      <w:r>
        <w:t>“)</w:t>
      </w:r>
      <w:r w:rsidR="0087148D">
        <w:t>.</w:t>
      </w:r>
    </w:p>
    <w:p w14:paraId="50003B28" w14:textId="77551E5D" w:rsidR="0087148D" w:rsidRDefault="0087148D" w:rsidP="0087148D">
      <w:pPr>
        <w:pStyle w:val="Odstavecseseznamem"/>
        <w:ind w:left="1004"/>
      </w:pPr>
      <w:r>
        <w:t>Zadavatelem předpokládan</w:t>
      </w:r>
      <w:r w:rsidR="006F7608">
        <w:t>ý rozsah dodávky</w:t>
      </w:r>
      <w:r w:rsidR="001F3A6C">
        <w:t xml:space="preserve"> v období </w:t>
      </w:r>
      <w:r w:rsidR="005E1109">
        <w:t>1.4. – 31.10.</w:t>
      </w:r>
      <w:r w:rsidR="006F7608">
        <w:t xml:space="preserve">: </w:t>
      </w:r>
      <w:r w:rsidR="00002E28">
        <w:t>5 500</w:t>
      </w:r>
      <w:r w:rsidR="006F7608">
        <w:t xml:space="preserve"> t/rok.</w:t>
      </w:r>
    </w:p>
    <w:p w14:paraId="4D3D958E" w14:textId="177ACC8D" w:rsidR="005E1109" w:rsidRDefault="005E1109" w:rsidP="0087148D">
      <w:pPr>
        <w:pStyle w:val="Odstavecseseznamem"/>
        <w:ind w:left="1004"/>
      </w:pPr>
      <w:r>
        <w:t>Zadavatelem předpokládaný rozsah dodávky v období 1.11. – 31.3.:</w:t>
      </w:r>
      <w:r w:rsidR="00002E28">
        <w:t xml:space="preserve"> </w:t>
      </w:r>
      <w:r w:rsidR="0011518D">
        <w:t>1</w:t>
      </w:r>
      <w:r w:rsidR="00002E28">
        <w:t> 000 t/rok</w:t>
      </w:r>
      <w:r w:rsidR="00547BE5">
        <w:t>.</w:t>
      </w:r>
    </w:p>
    <w:p w14:paraId="6CE3FAB2" w14:textId="7687A868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2 </w:t>
      </w:r>
      <w:r w:rsidR="001F3DBA">
        <w:t xml:space="preserve">Veřejné zakázky zahrnuje </w:t>
      </w:r>
      <w:r w:rsidR="00BD102F">
        <w:t xml:space="preserve">dodávky posypové kamenné soli do skladů Zadavatele nacházejících se v oblasti okresu </w:t>
      </w:r>
      <w:r w:rsidR="00BD102F">
        <w:rPr>
          <w:b/>
          <w:bCs/>
        </w:rPr>
        <w:t>Liberec</w:t>
      </w:r>
      <w:r w:rsidR="00BD102F">
        <w:t xml:space="preserve"> </w:t>
      </w:r>
      <w:r>
        <w:t>(dále jen „</w:t>
      </w:r>
      <w:r w:rsidRPr="00E21E11">
        <w:rPr>
          <w:b/>
          <w:bCs/>
        </w:rPr>
        <w:t>Část 2</w:t>
      </w:r>
      <w:r>
        <w:t>“)</w:t>
      </w:r>
      <w:r w:rsidR="006C3C77">
        <w:t>.</w:t>
      </w:r>
    </w:p>
    <w:p w14:paraId="08A80F38" w14:textId="5D05ECF3" w:rsidR="00BD102F" w:rsidRDefault="00BD102F" w:rsidP="00BD102F">
      <w:pPr>
        <w:pStyle w:val="Odstavecseseznamem"/>
        <w:ind w:left="1004"/>
      </w:pPr>
      <w:r>
        <w:t>Zadavatelem předpokládaný rozsah dodávky</w:t>
      </w:r>
      <w:r w:rsidR="00002E28" w:rsidRPr="00002E28">
        <w:t xml:space="preserve"> </w:t>
      </w:r>
      <w:r w:rsidR="00002E28">
        <w:t>v období 1.4. – 31.10.</w:t>
      </w:r>
      <w:r>
        <w:t xml:space="preserve">: </w:t>
      </w:r>
      <w:r w:rsidR="00FB4557">
        <w:t xml:space="preserve">3 </w:t>
      </w:r>
      <w:r w:rsidR="0068017A">
        <w:t>5</w:t>
      </w:r>
      <w:r w:rsidR="00FB4557">
        <w:t>00</w:t>
      </w:r>
      <w:r>
        <w:t xml:space="preserve"> t/rok.</w:t>
      </w:r>
    </w:p>
    <w:p w14:paraId="36629BA0" w14:textId="267DAC4D" w:rsidR="00547BE5" w:rsidRDefault="00547BE5" w:rsidP="00BD102F">
      <w:pPr>
        <w:pStyle w:val="Odstavecseseznamem"/>
        <w:ind w:left="1004"/>
      </w:pPr>
      <w:r>
        <w:t>Zadavatelem předpokládaný rozsah dodávky v období 1.11. – 31.3.: 1 000 t/rok.</w:t>
      </w:r>
    </w:p>
    <w:p w14:paraId="0115688B" w14:textId="4D54996A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3 </w:t>
      </w:r>
      <w:r w:rsidR="00FB4EE6">
        <w:t xml:space="preserve">Veřejné zakázky zahrnuje dodávky posypové kamenné soli do skladů Zadavatele nacházejících se v oblasti okresu </w:t>
      </w:r>
      <w:r w:rsidR="00FB4EE6">
        <w:rPr>
          <w:b/>
          <w:bCs/>
        </w:rPr>
        <w:t>Jablonec nad Nisou</w:t>
      </w:r>
      <w:r w:rsidR="00FB4EE6">
        <w:t xml:space="preserve"> </w:t>
      </w:r>
      <w:r>
        <w:t>(dále jen „</w:t>
      </w:r>
      <w:r w:rsidRPr="00E21E11">
        <w:rPr>
          <w:b/>
          <w:bCs/>
        </w:rPr>
        <w:t>Část 3</w:t>
      </w:r>
      <w:r>
        <w:t>“)</w:t>
      </w:r>
      <w:r w:rsidR="006C3C77">
        <w:t>.</w:t>
      </w:r>
    </w:p>
    <w:p w14:paraId="0A48EA17" w14:textId="4CFF01E2" w:rsidR="0088345A" w:rsidRDefault="0088345A" w:rsidP="0088345A">
      <w:pPr>
        <w:pStyle w:val="Odstavecseseznamem"/>
        <w:ind w:left="1004"/>
      </w:pPr>
      <w:r>
        <w:t>Zadavatelem předpokládaný rozsah dodávky</w:t>
      </w:r>
      <w:r w:rsidR="00547BE5" w:rsidRPr="00547BE5">
        <w:t xml:space="preserve"> </w:t>
      </w:r>
      <w:r w:rsidR="00547BE5">
        <w:t>v období 1.4. – 31.10.</w:t>
      </w:r>
      <w:r>
        <w:t xml:space="preserve">: </w:t>
      </w:r>
      <w:r w:rsidR="0068017A">
        <w:t>4 750</w:t>
      </w:r>
      <w:r>
        <w:t xml:space="preserve"> t/rok.</w:t>
      </w:r>
    </w:p>
    <w:p w14:paraId="3F2D41FA" w14:textId="6DF81CF5" w:rsidR="002F54DB" w:rsidRDefault="002F54DB" w:rsidP="0088345A">
      <w:pPr>
        <w:pStyle w:val="Odstavecseseznamem"/>
        <w:ind w:left="1004"/>
      </w:pPr>
      <w:r>
        <w:t xml:space="preserve">Zadavatelem předpokládaný rozsah dodávky v období 1.11. – 31.3.: 1 </w:t>
      </w:r>
      <w:r w:rsidR="0068017A">
        <w:t>5</w:t>
      </w:r>
      <w:r>
        <w:t>00 t/rok.</w:t>
      </w:r>
    </w:p>
    <w:p w14:paraId="2D5842F0" w14:textId="0A2A2826" w:rsidR="00E21E11" w:rsidRDefault="00E21E11" w:rsidP="001F3DBA">
      <w:pPr>
        <w:pStyle w:val="Odstavecseseznamem"/>
        <w:numPr>
          <w:ilvl w:val="0"/>
          <w:numId w:val="34"/>
        </w:numPr>
      </w:pPr>
      <w:r>
        <w:t xml:space="preserve">Část 4 </w:t>
      </w:r>
      <w:r w:rsidR="006C3C77">
        <w:t xml:space="preserve">zahrnuje dodávky posypové kamenné soli do skladů Zadavatele nacházejících se v oblasti okresu </w:t>
      </w:r>
      <w:r w:rsidR="006C3C77">
        <w:rPr>
          <w:b/>
          <w:bCs/>
        </w:rPr>
        <w:t>Semily</w:t>
      </w:r>
      <w:r w:rsidR="006C3C77">
        <w:t xml:space="preserve"> </w:t>
      </w:r>
      <w:r>
        <w:t>(dále jen „</w:t>
      </w:r>
      <w:r w:rsidRPr="00E21E11">
        <w:rPr>
          <w:b/>
          <w:bCs/>
        </w:rPr>
        <w:t>Část 4</w:t>
      </w:r>
      <w:r>
        <w:t>“)</w:t>
      </w:r>
      <w:r w:rsidR="006C3C77">
        <w:t>.</w:t>
      </w:r>
    </w:p>
    <w:p w14:paraId="0E52E8F0" w14:textId="1A6ACCD4" w:rsidR="006C3C77" w:rsidRDefault="006C3C77" w:rsidP="006C3C77">
      <w:pPr>
        <w:pStyle w:val="Odstavecseseznamem"/>
        <w:ind w:left="1004"/>
      </w:pPr>
      <w:r>
        <w:t>Zadavatelem předpokládaný rozsah dodávky</w:t>
      </w:r>
      <w:r w:rsidR="002F54DB" w:rsidRPr="002F54DB">
        <w:t xml:space="preserve"> </w:t>
      </w:r>
      <w:r w:rsidR="002F54DB">
        <w:t>v období 1.4. – 31.10.</w:t>
      </w:r>
      <w:r>
        <w:t xml:space="preserve">: </w:t>
      </w:r>
      <w:r w:rsidR="0068017A">
        <w:t>6</w:t>
      </w:r>
      <w:r w:rsidR="00197AF0">
        <w:t xml:space="preserve"> </w:t>
      </w:r>
      <w:r w:rsidR="0068017A">
        <w:t>0</w:t>
      </w:r>
      <w:r w:rsidR="00197AF0">
        <w:t>00</w:t>
      </w:r>
      <w:r>
        <w:t xml:space="preserve"> t/rok.</w:t>
      </w:r>
    </w:p>
    <w:p w14:paraId="343A078E" w14:textId="477BFBA7" w:rsidR="002F54DB" w:rsidRDefault="002F54DB" w:rsidP="006C3C77">
      <w:pPr>
        <w:pStyle w:val="Odstavecseseznamem"/>
        <w:ind w:left="1004"/>
      </w:pPr>
      <w:r>
        <w:t xml:space="preserve">Zadavatelem předpokládaný rozsah dodávky v období 1.11. – 31.3.: 1 </w:t>
      </w:r>
      <w:r w:rsidR="00197AF0">
        <w:t>5</w:t>
      </w:r>
      <w:r>
        <w:t>00 t/rok.</w:t>
      </w:r>
    </w:p>
    <w:p w14:paraId="47D5DFDB" w14:textId="647D00F4" w:rsidR="00C40038" w:rsidRDefault="00C40038" w:rsidP="00C40038">
      <w:r>
        <w:t>Zadavatel vysloveně uvádí, že není povinen čerpat jakýkoli minimální objem dodávek.</w:t>
      </w:r>
    </w:p>
    <w:p w14:paraId="480A8A8F" w14:textId="11BF1E6D" w:rsidR="006A4869" w:rsidRPr="00DF3BF0" w:rsidRDefault="00E21E11" w:rsidP="00DF3BF0">
      <w:pPr>
        <w:pStyle w:val="Normal1"/>
        <w:widowControl w:val="0"/>
        <w:suppressAutoHyphens w:val="0"/>
        <w:ind w:left="0"/>
        <w:rPr>
          <w:rFonts w:asciiTheme="minorHAnsi" w:hAnsiTheme="minorHAnsi" w:cstheme="minorHAnsi"/>
        </w:rPr>
      </w:pPr>
      <w:r w:rsidRPr="001D41D9">
        <w:rPr>
          <w:rFonts w:asciiTheme="minorHAnsi" w:hAnsiTheme="minorHAnsi" w:cstheme="minorHAnsi"/>
        </w:rPr>
        <w:t xml:space="preserve">Dodavatel může 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kter</w:t>
      </w:r>
      <w:r>
        <w:rPr>
          <w:rFonts w:asciiTheme="minorHAnsi" w:hAnsiTheme="minorHAnsi" w:cstheme="minorHAnsi"/>
        </w:rPr>
        <w:t>ékoliv</w:t>
      </w:r>
      <w:r w:rsidRPr="001D41D9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i</w:t>
      </w:r>
      <w:r w:rsidRPr="001D41D9">
        <w:rPr>
          <w:rFonts w:asciiTheme="minorHAnsi" w:hAnsiTheme="minorHAnsi" w:cstheme="minorHAnsi"/>
        </w:rPr>
        <w:t xml:space="preserve"> Veřejné zakázky. Dodavatel může </w:t>
      </w:r>
      <w:r w:rsidR="00DF3BF0">
        <w:rPr>
          <w:rFonts w:asciiTheme="minorHAnsi" w:hAnsiTheme="minorHAnsi" w:cstheme="minorHAnsi"/>
        </w:rPr>
        <w:t xml:space="preserve">dle své volby </w:t>
      </w:r>
      <w:r w:rsidRPr="001D41D9">
        <w:rPr>
          <w:rFonts w:asciiTheme="minorHAnsi" w:hAnsiTheme="minorHAnsi" w:cstheme="minorHAnsi"/>
        </w:rPr>
        <w:t xml:space="preserve">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jedn</w:t>
      </w:r>
      <w:r>
        <w:rPr>
          <w:rFonts w:asciiTheme="minorHAnsi" w:hAnsiTheme="minorHAnsi" w:cstheme="minorHAnsi"/>
        </w:rPr>
        <w:t xml:space="preserve">é, </w:t>
      </w:r>
      <w:r w:rsidRPr="001D41D9">
        <w:rPr>
          <w:rFonts w:asciiTheme="minorHAnsi" w:hAnsiTheme="minorHAnsi" w:cstheme="minorHAnsi"/>
        </w:rPr>
        <w:t>více, případně všech část</w:t>
      </w:r>
      <w:r>
        <w:rPr>
          <w:rFonts w:asciiTheme="minorHAnsi" w:hAnsiTheme="minorHAnsi" w:cstheme="minorHAnsi"/>
        </w:rPr>
        <w:t>í</w:t>
      </w:r>
      <w:r w:rsidRPr="001D41D9">
        <w:rPr>
          <w:rFonts w:asciiTheme="minorHAnsi" w:hAnsiTheme="minorHAnsi" w:cstheme="minorHAnsi"/>
        </w:rPr>
        <w:t xml:space="preserve"> Veřejné zakázky. Plnění jednotlivých částí Veřejné zakázky na sebe nenavazují, každá část Veřejné zakázky může být plněna zcela samostatně, nezávisle na jiných částech Veřejné zakázky. Nabídky v rámci každé části budou posuzovány a hodnoceny samostatně.</w:t>
      </w:r>
      <w:r w:rsidR="00DF3BF0">
        <w:rPr>
          <w:rFonts w:asciiTheme="minorHAnsi" w:hAnsiTheme="minorHAnsi" w:cstheme="minorHAnsi"/>
        </w:rPr>
        <w:t xml:space="preserve"> 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524F6BCE" w14:textId="337B3ADF" w:rsidR="002E57CC" w:rsidRDefault="00DD2212" w:rsidP="006A7B90">
      <w:r>
        <w:t>Místem plnění jsou rampy jednotlivých skladů Zadavatele:</w:t>
      </w:r>
    </w:p>
    <w:p w14:paraId="198E4C4A" w14:textId="534C8361" w:rsidR="00DD2212" w:rsidRDefault="00DD2212" w:rsidP="006A7B90">
      <w:pPr>
        <w:rPr>
          <w:b/>
          <w:bCs/>
        </w:rPr>
      </w:pPr>
      <w:r>
        <w:rPr>
          <w:b/>
          <w:bCs/>
        </w:rPr>
        <w:t>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DD2212" w14:paraId="4472998B" w14:textId="77777777" w:rsidTr="00DD221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DB1197" w14:textId="6F9AEE4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33E95F0" w14:textId="07C618F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F094DF9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DD2212" w14:paraId="0A7BE3D8" w14:textId="77777777" w:rsidTr="00DD2212">
        <w:tc>
          <w:tcPr>
            <w:tcW w:w="2122" w:type="dxa"/>
            <w:vAlign w:val="center"/>
          </w:tcPr>
          <w:p w14:paraId="7B795205" w14:textId="6F39DD68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Sosnová</w:t>
            </w:r>
          </w:p>
        </w:tc>
        <w:tc>
          <w:tcPr>
            <w:tcW w:w="4961" w:type="dxa"/>
            <w:vAlign w:val="center"/>
          </w:tcPr>
          <w:p w14:paraId="784C7290" w14:textId="683C7910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>Sosnová 230, 470 01 Sosnová</w:t>
            </w:r>
          </w:p>
        </w:tc>
        <w:tc>
          <w:tcPr>
            <w:tcW w:w="2830" w:type="dxa"/>
            <w:vAlign w:val="center"/>
          </w:tcPr>
          <w:p w14:paraId="27D3FC1E" w14:textId="110F5AE9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DD2212" w14:paraId="6717FF92" w14:textId="77777777" w:rsidTr="00DD2212">
        <w:tc>
          <w:tcPr>
            <w:tcW w:w="2122" w:type="dxa"/>
            <w:vAlign w:val="center"/>
          </w:tcPr>
          <w:p w14:paraId="4DE079E2" w14:textId="127F7AE3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Nový Bor</w:t>
            </w:r>
          </w:p>
        </w:tc>
        <w:tc>
          <w:tcPr>
            <w:tcW w:w="4961" w:type="dxa"/>
            <w:vAlign w:val="center"/>
          </w:tcPr>
          <w:p w14:paraId="37B0B795" w14:textId="5585CEF3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Okrouhlá 1, 473 01 Okrouhlá </w:t>
            </w:r>
          </w:p>
        </w:tc>
        <w:tc>
          <w:tcPr>
            <w:tcW w:w="2830" w:type="dxa"/>
            <w:vAlign w:val="center"/>
          </w:tcPr>
          <w:p w14:paraId="117F98DD" w14:textId="6D90C416" w:rsidR="00DD2212" w:rsidRDefault="00BD3FF8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3017D5DE" w14:textId="0C3E7B8F" w:rsidR="00566551" w:rsidRDefault="00566551" w:rsidP="00F36439">
      <w:pPr>
        <w:keepNext/>
        <w:spacing w:before="120"/>
        <w:rPr>
          <w:b/>
          <w:bCs/>
        </w:rPr>
      </w:pPr>
      <w:r>
        <w:rPr>
          <w:b/>
          <w:bCs/>
        </w:rPr>
        <w:lastRenderedPageBreak/>
        <w:t>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573940D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7474C6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B0A294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59C8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10E0EDDD" w14:textId="77777777" w:rsidTr="005B70B8">
        <w:tc>
          <w:tcPr>
            <w:tcW w:w="2122" w:type="dxa"/>
            <w:vAlign w:val="center"/>
          </w:tcPr>
          <w:p w14:paraId="3E03610F" w14:textId="058A206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4961" w:type="dxa"/>
            <w:vAlign w:val="center"/>
          </w:tcPr>
          <w:p w14:paraId="22AF47FB" w14:textId="41F4FFFD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2830" w:type="dxa"/>
            <w:vAlign w:val="center"/>
          </w:tcPr>
          <w:p w14:paraId="39691F42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7D0537F8" w14:textId="77777777" w:rsidTr="005B70B8">
        <w:tc>
          <w:tcPr>
            <w:tcW w:w="2122" w:type="dxa"/>
            <w:vAlign w:val="center"/>
          </w:tcPr>
          <w:p w14:paraId="2011E452" w14:textId="06663A5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4961" w:type="dxa"/>
            <w:vAlign w:val="center"/>
          </w:tcPr>
          <w:p w14:paraId="6970D7A2" w14:textId="11959FBB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2830" w:type="dxa"/>
            <w:vAlign w:val="center"/>
          </w:tcPr>
          <w:p w14:paraId="290D4462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778905A6" w14:textId="3D354FC4" w:rsidR="00566551" w:rsidRDefault="00566551" w:rsidP="00AE4869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AE4869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8ACE461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AAB7E0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5CEEE8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460E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49EF2567" w14:textId="77777777" w:rsidTr="005B70B8">
        <w:tc>
          <w:tcPr>
            <w:tcW w:w="2122" w:type="dxa"/>
            <w:vAlign w:val="center"/>
          </w:tcPr>
          <w:p w14:paraId="6BC20A31" w14:textId="4C49C58F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961" w:type="dxa"/>
            <w:vAlign w:val="center"/>
          </w:tcPr>
          <w:p w14:paraId="0E0DF968" w14:textId="11D84E8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830" w:type="dxa"/>
            <w:vAlign w:val="center"/>
          </w:tcPr>
          <w:p w14:paraId="4925CB25" w14:textId="713A9E1A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566551" w14:paraId="04968405" w14:textId="77777777" w:rsidTr="005B70B8">
        <w:tc>
          <w:tcPr>
            <w:tcW w:w="2122" w:type="dxa"/>
            <w:vAlign w:val="center"/>
          </w:tcPr>
          <w:p w14:paraId="767ACDE3" w14:textId="47E78DAB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961" w:type="dxa"/>
            <w:vAlign w:val="center"/>
          </w:tcPr>
          <w:p w14:paraId="603965C3" w14:textId="5E3A394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830" w:type="dxa"/>
            <w:vAlign w:val="center"/>
          </w:tcPr>
          <w:p w14:paraId="1501E40D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445804" w14:paraId="2D7B7156" w14:textId="77777777" w:rsidTr="005B70B8">
        <w:tc>
          <w:tcPr>
            <w:tcW w:w="2122" w:type="dxa"/>
            <w:vAlign w:val="center"/>
          </w:tcPr>
          <w:p w14:paraId="5FEBB13B" w14:textId="14435388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961" w:type="dxa"/>
            <w:vAlign w:val="center"/>
          </w:tcPr>
          <w:p w14:paraId="6FFB06E3" w14:textId="1C538B58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830" w:type="dxa"/>
            <w:vAlign w:val="center"/>
          </w:tcPr>
          <w:p w14:paraId="0C44263C" w14:textId="710C25D9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445804" w14:paraId="6856D59A" w14:textId="77777777" w:rsidTr="005B70B8">
        <w:tc>
          <w:tcPr>
            <w:tcW w:w="2122" w:type="dxa"/>
            <w:vAlign w:val="center"/>
          </w:tcPr>
          <w:p w14:paraId="6A4B39C7" w14:textId="15E209F0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961" w:type="dxa"/>
            <w:vAlign w:val="center"/>
          </w:tcPr>
          <w:p w14:paraId="62F46746" w14:textId="37FFF3D9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830" w:type="dxa"/>
            <w:vAlign w:val="center"/>
          </w:tcPr>
          <w:p w14:paraId="552ADC6B" w14:textId="0DBA30DA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1475599" w14:textId="1C22CD6B" w:rsidR="00566551" w:rsidRDefault="00566551" w:rsidP="001D3974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1D3974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7DEBBB88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AB8129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686CCAC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66C6F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2D8935EE" w14:textId="77777777" w:rsidTr="005B70B8">
        <w:tc>
          <w:tcPr>
            <w:tcW w:w="2122" w:type="dxa"/>
            <w:vAlign w:val="center"/>
          </w:tcPr>
          <w:p w14:paraId="57864D63" w14:textId="653CC1B4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Semily</w:t>
            </w:r>
          </w:p>
        </w:tc>
        <w:tc>
          <w:tcPr>
            <w:tcW w:w="4961" w:type="dxa"/>
            <w:vAlign w:val="center"/>
          </w:tcPr>
          <w:p w14:paraId="5653A7E7" w14:textId="1BEBA36C" w:rsidR="00566551" w:rsidRPr="00880647" w:rsidRDefault="00880647" w:rsidP="00880647">
            <w:pPr>
              <w:spacing w:before="60" w:after="60"/>
              <w:rPr>
                <w:rFonts w:cstheme="minorHAnsi"/>
                <w:color w:val="000000"/>
              </w:rPr>
            </w:pPr>
            <w:r w:rsidRPr="00880647">
              <w:rPr>
                <w:rFonts w:cstheme="minorHAnsi"/>
                <w:color w:val="000000"/>
              </w:rPr>
              <w:t>Vysocká 576, 513 01 Semily</w:t>
            </w:r>
            <w:r w:rsidRPr="00880647"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625D3A0F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2932E283" w14:textId="77777777" w:rsidTr="005B70B8">
        <w:tc>
          <w:tcPr>
            <w:tcW w:w="2122" w:type="dxa"/>
            <w:vAlign w:val="center"/>
          </w:tcPr>
          <w:p w14:paraId="03E6B532" w14:textId="04A7B9F2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  <w:tc>
          <w:tcPr>
            <w:tcW w:w="4961" w:type="dxa"/>
            <w:vAlign w:val="center"/>
          </w:tcPr>
          <w:p w14:paraId="44C1E873" w14:textId="5181C023" w:rsidR="00566551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830" w:type="dxa"/>
            <w:vAlign w:val="center"/>
          </w:tcPr>
          <w:p w14:paraId="5DFF60D6" w14:textId="0B5DDADC" w:rsidR="00566551" w:rsidRDefault="00880647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Souprava</w:t>
            </w:r>
          </w:p>
        </w:tc>
      </w:tr>
      <w:tr w:rsidR="001D3974" w14:paraId="1280CB2A" w14:textId="77777777" w:rsidTr="005B70B8">
        <w:tc>
          <w:tcPr>
            <w:tcW w:w="2122" w:type="dxa"/>
            <w:vAlign w:val="center"/>
          </w:tcPr>
          <w:p w14:paraId="554B082E" w14:textId="53A5F931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Turnov - Ohrazenice</w:t>
            </w:r>
            <w:proofErr w:type="gramEnd"/>
          </w:p>
        </w:tc>
        <w:tc>
          <w:tcPr>
            <w:tcW w:w="4961" w:type="dxa"/>
            <w:vAlign w:val="center"/>
          </w:tcPr>
          <w:p w14:paraId="3A85A786" w14:textId="3F38D5BE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830" w:type="dxa"/>
            <w:vAlign w:val="center"/>
          </w:tcPr>
          <w:p w14:paraId="34789F37" w14:textId="2174C42C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1D3974" w14:paraId="48D0930E" w14:textId="77777777" w:rsidTr="005B70B8">
        <w:tc>
          <w:tcPr>
            <w:tcW w:w="2122" w:type="dxa"/>
            <w:vAlign w:val="center"/>
          </w:tcPr>
          <w:p w14:paraId="57141644" w14:textId="2AC57AC6" w:rsidR="001D3974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Turnov - Přepeře</w:t>
            </w:r>
            <w:proofErr w:type="gramEnd"/>
          </w:p>
        </w:tc>
        <w:tc>
          <w:tcPr>
            <w:tcW w:w="4961" w:type="dxa"/>
            <w:vAlign w:val="center"/>
          </w:tcPr>
          <w:p w14:paraId="38A705C5" w14:textId="75A9DCB1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830" w:type="dxa"/>
            <w:vAlign w:val="center"/>
          </w:tcPr>
          <w:p w14:paraId="7A9532F3" w14:textId="17969D49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137FC872" w:rsidR="00386EAD" w:rsidRDefault="00D279C4" w:rsidP="00386EAD">
      <w:pPr>
        <w:rPr>
          <w:rFonts w:cs="Tahoma"/>
          <w:color w:val="000000"/>
        </w:rPr>
      </w:pPr>
      <w:r w:rsidRPr="00D279C4">
        <w:rPr>
          <w:rFonts w:cs="Tahoma"/>
          <w:color w:val="000000"/>
        </w:rPr>
        <w:t>34927100-</w:t>
      </w:r>
      <w:r w:rsidR="002E7D28" w:rsidRPr="00D279C4">
        <w:rPr>
          <w:rFonts w:cs="Tahoma"/>
          <w:color w:val="000000"/>
        </w:rPr>
        <w:t>2 – Posypová</w:t>
      </w:r>
      <w:r w:rsidRPr="00D279C4">
        <w:rPr>
          <w:rFonts w:cs="Tahoma"/>
          <w:color w:val="000000"/>
        </w:rPr>
        <w:t xml:space="preserve"> sůl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48C1ADB6" w:rsidR="002D5149" w:rsidRDefault="008563E6" w:rsidP="00557552">
      <w:pPr>
        <w:spacing w:before="120"/>
        <w:rPr>
          <w:rFonts w:cstheme="minorHAnsi"/>
          <w:bCs/>
        </w:rPr>
      </w:pPr>
      <w:r>
        <w:t xml:space="preserve">Rámcové dohody budou uzavřeny na dobu trvání </w:t>
      </w:r>
      <w:r w:rsidRPr="008E074D">
        <w:t>12 měsíců.</w:t>
      </w:r>
      <w:r>
        <w:t xml:space="preserve"> Plnění předmětu Veřejné zakázky bude poskytováno na základě jednotlivých objednávek, a to od následujícího kalendářního dne po účinnosti Rámcové dohody.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096D1484" w:rsidR="00233190" w:rsidRDefault="00E21E11" w:rsidP="000C4AE5">
      <w:pPr>
        <w:spacing w:before="120"/>
        <w:rPr>
          <w:rFonts w:cs="Tahoma"/>
        </w:rPr>
      </w:pPr>
      <w:r>
        <w:rPr>
          <w:rFonts w:cs="Tahoma"/>
        </w:rPr>
        <w:t>Celková p</w:t>
      </w:r>
      <w:r w:rsidR="00A765A1">
        <w:rPr>
          <w:rFonts w:cs="Tahoma"/>
        </w:rPr>
        <w:t xml:space="preserve">ředpokládaná hodnota Veřejné zakázky činí </w:t>
      </w:r>
      <w:r w:rsidR="00A96A58">
        <w:rPr>
          <w:rFonts w:cs="Tahoma"/>
        </w:rPr>
        <w:t>57</w:t>
      </w:r>
      <w:r w:rsidR="00D279C4">
        <w:rPr>
          <w:rFonts w:cs="Tahoma"/>
        </w:rPr>
        <w:t>.</w:t>
      </w:r>
      <w:r w:rsidR="00A96A58">
        <w:rPr>
          <w:rFonts w:cs="Tahoma"/>
        </w:rPr>
        <w:t>599</w:t>
      </w:r>
      <w:r w:rsidR="00D279C4">
        <w:rPr>
          <w:rFonts w:cs="Tahoma"/>
        </w:rPr>
        <w:t>.</w:t>
      </w:r>
      <w:r w:rsidR="00A96A58">
        <w:rPr>
          <w:rFonts w:cs="Tahoma"/>
        </w:rPr>
        <w:t>000</w:t>
      </w:r>
      <w:r w:rsidR="00D279C4">
        <w:rPr>
          <w:rFonts w:cs="Tahoma"/>
        </w:rPr>
        <w:t>, -</w:t>
      </w:r>
      <w:r w:rsidR="00A765A1">
        <w:rPr>
          <w:rFonts w:cs="Tahoma"/>
        </w:rPr>
        <w:t xml:space="preserve"> Kč bez DPH. </w:t>
      </w:r>
    </w:p>
    <w:p w14:paraId="6AA666E2" w14:textId="10EAC1E1" w:rsidR="00E21E11" w:rsidRDefault="00E21E11" w:rsidP="000C4AE5">
      <w:pPr>
        <w:spacing w:before="120"/>
        <w:rPr>
          <w:rFonts w:cs="Tahoma"/>
        </w:rPr>
      </w:pPr>
      <w:r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E21E11" w14:paraId="04E8D9E9" w14:textId="77777777" w:rsidTr="00AA0C4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F6AC7" w14:textId="0A5B26F1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1</w:t>
            </w:r>
          </w:p>
        </w:tc>
        <w:tc>
          <w:tcPr>
            <w:tcW w:w="62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FA0E" w14:textId="569E369B" w:rsidR="00E21E11" w:rsidRPr="00E21E11" w:rsidRDefault="007B4530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14</w:t>
            </w:r>
            <w:r w:rsidR="00366AB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998</w:t>
            </w:r>
            <w:r w:rsidR="00366AB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="00E21E11" w:rsidRPr="00E21E11">
              <w:rPr>
                <w:rFonts w:ascii="Calibri" w:hAnsi="Calibri" w:cs="Calibri"/>
              </w:rPr>
              <w:t>0</w:t>
            </w:r>
            <w:r w:rsidR="00366AB3">
              <w:rPr>
                <w:rFonts w:ascii="Calibri" w:hAnsi="Calibri" w:cs="Calibri"/>
              </w:rPr>
              <w:t>,-</w:t>
            </w:r>
            <w:proofErr w:type="gramEnd"/>
            <w:r w:rsid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F60F514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C658E" w14:textId="56B63F87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2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F558" w14:textId="08DD5577" w:rsidR="00E21E11" w:rsidRPr="00E21E11" w:rsidRDefault="007B4530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10</w:t>
            </w:r>
            <w:r w:rsidR="00366AB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510</w:t>
            </w:r>
            <w:r w:rsidR="00366AB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00</w:t>
            </w:r>
            <w:r w:rsidR="00E21E11" w:rsidRPr="00E21E11">
              <w:rPr>
                <w:rFonts w:ascii="Calibri" w:hAnsi="Calibri" w:cs="Calibri"/>
              </w:rPr>
              <w:t>0</w:t>
            </w:r>
            <w:r w:rsidR="00366AB3">
              <w:rPr>
                <w:rFonts w:ascii="Calibri" w:hAnsi="Calibri" w:cs="Calibri"/>
              </w:rPr>
              <w:t>,-</w:t>
            </w:r>
            <w:proofErr w:type="gramEnd"/>
            <w:r w:rsidR="00E21E11" w:rsidRP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13AE4ED8" w14:textId="77777777" w:rsidTr="00AA0C47"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6DE60" w14:textId="56B64896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3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DE81B" w14:textId="6528BF95" w:rsidR="00E21E11" w:rsidRPr="00E21E11" w:rsidRDefault="00E21E11" w:rsidP="00E21E11">
            <w:pPr>
              <w:spacing w:after="0"/>
              <w:rPr>
                <w:rFonts w:ascii="Calibri" w:hAnsi="Calibri" w:cs="Calibri"/>
              </w:rPr>
            </w:pPr>
            <w:proofErr w:type="gramStart"/>
            <w:r w:rsidRPr="00E21E11">
              <w:rPr>
                <w:rFonts w:ascii="Calibri" w:hAnsi="Calibri" w:cs="Calibri"/>
              </w:rPr>
              <w:t>1</w:t>
            </w:r>
            <w:r w:rsidR="007B4530">
              <w:rPr>
                <w:rFonts w:ascii="Calibri" w:hAnsi="Calibri" w:cs="Calibri"/>
              </w:rPr>
              <w:t>4</w:t>
            </w:r>
            <w:r w:rsidR="00366AB3">
              <w:rPr>
                <w:rFonts w:ascii="Calibri" w:hAnsi="Calibri" w:cs="Calibri"/>
              </w:rPr>
              <w:t>.</w:t>
            </w:r>
            <w:r w:rsidR="007B4530">
              <w:rPr>
                <w:rFonts w:ascii="Calibri" w:hAnsi="Calibri" w:cs="Calibri"/>
              </w:rPr>
              <w:t>643</w:t>
            </w:r>
            <w:r w:rsidR="00366AB3">
              <w:rPr>
                <w:rFonts w:ascii="Calibri" w:hAnsi="Calibri" w:cs="Calibri"/>
              </w:rPr>
              <w:t>.</w:t>
            </w:r>
            <w:r w:rsidR="007B4530">
              <w:rPr>
                <w:rFonts w:ascii="Calibri" w:hAnsi="Calibri" w:cs="Calibri"/>
              </w:rPr>
              <w:t>000</w:t>
            </w:r>
            <w:r w:rsidR="00366AB3">
              <w:rPr>
                <w:rFonts w:ascii="Calibri" w:hAnsi="Calibri" w:cs="Calibri"/>
              </w:rPr>
              <w:t>,-</w:t>
            </w:r>
            <w:proofErr w:type="gramEnd"/>
            <w:r w:rsidRPr="00E21E11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5AB6D73" w14:textId="77777777" w:rsidTr="00AA0C4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371D6" w14:textId="18E5C84B" w:rsidR="00E21E11" w:rsidRPr="00E21E11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4</w:t>
            </w:r>
          </w:p>
        </w:tc>
        <w:tc>
          <w:tcPr>
            <w:tcW w:w="6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F85" w14:textId="35BEC834" w:rsidR="00E21E11" w:rsidRPr="00E21E11" w:rsidRDefault="007B4530" w:rsidP="008D45BF">
            <w:pPr>
              <w:spacing w:before="40" w:after="40" w:line="240" w:lineRule="auto"/>
              <w:rPr>
                <w:bCs/>
                <w:lang w:eastAsia="cs-CZ"/>
              </w:rPr>
            </w:pPr>
            <w:proofErr w:type="gramStart"/>
            <w:r>
              <w:rPr>
                <w:rFonts w:ascii="Calibri" w:hAnsi="Calibri" w:cs="Calibri"/>
                <w:bCs/>
                <w:color w:val="000000"/>
              </w:rPr>
              <w:t>17</w:t>
            </w:r>
            <w:r w:rsidR="00366AB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E21E11">
              <w:rPr>
                <w:rFonts w:ascii="Calibri" w:hAnsi="Calibri" w:cs="Calibri"/>
                <w:bCs/>
                <w:color w:val="000000"/>
              </w:rPr>
              <w:t>4</w:t>
            </w:r>
            <w:r w:rsidR="00A96A58">
              <w:rPr>
                <w:rFonts w:ascii="Calibri" w:hAnsi="Calibri" w:cs="Calibri"/>
                <w:bCs/>
                <w:color w:val="000000"/>
              </w:rPr>
              <w:t>48</w:t>
            </w:r>
            <w:r w:rsidR="00366AB3">
              <w:rPr>
                <w:rFonts w:ascii="Calibri" w:hAnsi="Calibri" w:cs="Calibri"/>
                <w:bCs/>
                <w:color w:val="000000"/>
              </w:rPr>
              <w:t>.</w:t>
            </w:r>
            <w:r w:rsidR="00E21E11" w:rsidRPr="00E21E11">
              <w:rPr>
                <w:rFonts w:ascii="Calibri" w:hAnsi="Calibri" w:cs="Calibri"/>
                <w:bCs/>
                <w:color w:val="000000"/>
              </w:rPr>
              <w:t>000</w:t>
            </w:r>
            <w:r w:rsidR="00366AB3">
              <w:rPr>
                <w:rFonts w:ascii="Calibri" w:hAnsi="Calibri" w:cs="Calibri"/>
                <w:bCs/>
                <w:color w:val="000000"/>
              </w:rPr>
              <w:t>,-</w:t>
            </w:r>
            <w:proofErr w:type="gramEnd"/>
            <w:r w:rsidR="00E21E11" w:rsidRPr="00E21E11">
              <w:rPr>
                <w:rFonts w:ascii="Calibri" w:hAnsi="Calibri" w:cs="Calibr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 w:rsidP="001656F4">
      <w:pPr>
        <w:pStyle w:val="Nadpis2"/>
        <w:keepNext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657EF5F8" w14:textId="52912493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3D60FA">
        <w:rPr>
          <w:b/>
          <w:bCs/>
        </w:rPr>
        <w:t>Pro účely podání nabídky mohou dodavatelé doklady o kvalifikaci nahradit čestným prohlášením nebo jednotným evropským osvědčením pro veřejné zakázky podle § 87 ZZVZ</w:t>
      </w:r>
      <w:r w:rsidR="00437F61" w:rsidRPr="0089032C">
        <w:rPr>
          <w:b/>
          <w:bCs/>
        </w:rPr>
        <w:t>.</w:t>
      </w:r>
    </w:p>
    <w:p w14:paraId="7D37ECA8" w14:textId="453E7C1A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>
        <w:rPr>
          <w:b/>
          <w:bCs/>
        </w:rPr>
        <w:t>i</w:t>
      </w:r>
      <w:r w:rsidR="007943A4">
        <w:rPr>
          <w:b/>
          <w:bCs/>
        </w:rPr>
        <w:t xml:space="preserve"> jakož i splnění technických kvalifikačních předpokladů</w:t>
      </w:r>
      <w:r w:rsidRPr="00DC4DD6">
        <w:rPr>
          <w:b/>
          <w:bCs/>
        </w:rPr>
        <w:t xml:space="preserve">. Vzor čestného prohlášení </w:t>
      </w:r>
      <w:proofErr w:type="gramStart"/>
      <w:r w:rsidRPr="00DC4DD6">
        <w:rPr>
          <w:b/>
          <w:bCs/>
        </w:rPr>
        <w:t>tvoří</w:t>
      </w:r>
      <w:proofErr w:type="gramEnd"/>
      <w:r w:rsidRPr="00DC4DD6">
        <w:rPr>
          <w:b/>
          <w:bCs/>
        </w:rPr>
        <w:t xml:space="preserve">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374D711A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55CE7D34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6DA61F8F" w14:textId="45D3E5C6" w:rsidR="000C4AEE" w:rsidRPr="000C4AEE" w:rsidRDefault="000C4AEE" w:rsidP="0089032C">
      <w:pPr>
        <w:rPr>
          <w:bCs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</w:t>
      </w:r>
      <w:r w:rsidR="00EF43D8">
        <w:rPr>
          <w:bCs/>
          <w:color w:val="000000"/>
        </w:rPr>
        <w:t>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77777777" w:rsidR="00BE4D3C" w:rsidRPr="000C4AE5" w:rsidRDefault="00BE4D3C" w:rsidP="00B46393">
      <w:pPr>
        <w:pStyle w:val="Podnadpis"/>
      </w:pPr>
      <w:bookmarkStart w:id="6" w:name="_Toc462572461"/>
      <w:r w:rsidRPr="000C4AE5">
        <w:t>Profesní způsobilost</w:t>
      </w:r>
      <w:bookmarkEnd w:id="6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lastRenderedPageBreak/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FCF17F" w14:textId="77D5CB67" w:rsidR="00601EF0" w:rsidRDefault="00F303A3" w:rsidP="00193AA8">
      <w:pPr>
        <w:spacing w:before="120"/>
      </w:pPr>
      <w:r>
        <w:t>Zadavatel požaduje, aby dodavatelé splňovali technickou kvalifikaci dle § 79 odst. 2 písm. b) ZZVZ.</w:t>
      </w:r>
    </w:p>
    <w:p w14:paraId="3EBC5F01" w14:textId="0CBDC353" w:rsidR="00B61706" w:rsidRPr="001F7191" w:rsidRDefault="00B61706" w:rsidP="00193AA8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93AA8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kvalifikační předpoklady pro část 1 </w:t>
      </w:r>
      <w:r w:rsidRPr="00193AA8">
        <w:rPr>
          <w:rFonts w:asciiTheme="minorHAnsi" w:hAnsiTheme="minorHAnsi" w:cstheme="minorHAnsi"/>
          <w:sz w:val="22"/>
          <w:szCs w:val="22"/>
        </w:rPr>
        <w:t xml:space="preserve">dle § 79 odst. 2 písm. b) ZZVZ splní účastník, který v posledních 3 letech před zahájením </w:t>
      </w:r>
      <w:r w:rsidR="00193AA8">
        <w:rPr>
          <w:rFonts w:asciiTheme="minorHAnsi" w:hAnsiTheme="minorHAnsi" w:cstheme="minorHAnsi"/>
          <w:sz w:val="22"/>
          <w:szCs w:val="22"/>
        </w:rPr>
        <w:t>Z</w:t>
      </w:r>
      <w:r w:rsidRPr="00193AA8">
        <w:rPr>
          <w:rFonts w:asciiTheme="minorHAnsi" w:hAnsiTheme="minorHAnsi" w:cstheme="minorHAnsi"/>
          <w:sz w:val="22"/>
          <w:szCs w:val="22"/>
        </w:rPr>
        <w:t xml:space="preserve">adávacího řízení realizoval </w:t>
      </w:r>
      <w:r w:rsidRPr="00344119">
        <w:rPr>
          <w:rFonts w:asciiTheme="minorHAnsi" w:hAnsiTheme="minorHAnsi" w:cstheme="minorHAnsi"/>
          <w:sz w:val="22"/>
          <w:szCs w:val="22"/>
        </w:rPr>
        <w:t xml:space="preserve">alespoň </w:t>
      </w:r>
      <w:r w:rsidRPr="00E04E77">
        <w:rPr>
          <w:rFonts w:asciiTheme="minorHAnsi" w:hAnsiTheme="minorHAnsi" w:cstheme="minorHAnsi"/>
          <w:sz w:val="22"/>
          <w:szCs w:val="22"/>
        </w:rPr>
        <w:t>dvě (2) významné dodávky</w:t>
      </w:r>
      <w:r w:rsidRPr="00344119">
        <w:rPr>
          <w:rFonts w:asciiTheme="minorHAnsi" w:hAnsiTheme="minorHAnsi" w:cstheme="minorHAnsi"/>
          <w:sz w:val="22"/>
          <w:szCs w:val="22"/>
        </w:rPr>
        <w:t xml:space="preserve"> spl</w:t>
      </w:r>
      <w:r w:rsidRPr="00A10B5C">
        <w:rPr>
          <w:rFonts w:asciiTheme="minorHAnsi" w:hAnsiTheme="minorHAnsi" w:cstheme="minorHAnsi"/>
          <w:sz w:val="22"/>
          <w:szCs w:val="22"/>
        </w:rPr>
        <w:t xml:space="preserve">ňující následující požadavky: </w:t>
      </w:r>
    </w:p>
    <w:p w14:paraId="5B9585E6" w14:textId="6E4FCBB6" w:rsidR="00B61706" w:rsidRPr="00057161" w:rsidRDefault="00B61706" w:rsidP="00193AA8">
      <w:pPr>
        <w:pStyle w:val="Default"/>
        <w:numPr>
          <w:ilvl w:val="0"/>
          <w:numId w:val="39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44119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</w:t>
      </w:r>
      <w:r w:rsidRPr="00057161">
        <w:rPr>
          <w:rFonts w:asciiTheme="minorHAnsi" w:hAnsiTheme="minorHAnsi" w:cstheme="minorHAnsi"/>
          <w:sz w:val="22"/>
          <w:szCs w:val="22"/>
        </w:rPr>
        <w:t xml:space="preserve">objemu </w:t>
      </w:r>
      <w:r w:rsidR="00C21B0F" w:rsidRPr="00057161">
        <w:rPr>
          <w:rFonts w:asciiTheme="minorHAnsi" w:hAnsiTheme="minorHAnsi" w:cstheme="minorHAnsi"/>
          <w:sz w:val="22"/>
          <w:szCs w:val="22"/>
        </w:rPr>
        <w:t xml:space="preserve">2 </w:t>
      </w:r>
      <w:r w:rsidR="00A96A58" w:rsidRPr="00057161">
        <w:rPr>
          <w:rFonts w:asciiTheme="minorHAnsi" w:hAnsiTheme="minorHAnsi" w:cstheme="minorHAnsi"/>
          <w:sz w:val="22"/>
          <w:szCs w:val="22"/>
        </w:rPr>
        <w:t>75</w:t>
      </w:r>
      <w:r w:rsidR="00C21B0F" w:rsidRPr="00057161">
        <w:rPr>
          <w:rFonts w:asciiTheme="minorHAnsi" w:hAnsiTheme="minorHAnsi" w:cstheme="minorHAnsi"/>
          <w:sz w:val="22"/>
          <w:szCs w:val="22"/>
        </w:rPr>
        <w:t>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123EAEE9" w14:textId="6463A78F" w:rsidR="00B61706" w:rsidRPr="00057161" w:rsidRDefault="00B61706" w:rsidP="00193AA8">
      <w:pPr>
        <w:pStyle w:val="Default"/>
        <w:numPr>
          <w:ilvl w:val="0"/>
          <w:numId w:val="39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675472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C5064C" w:rsidRPr="00057161">
        <w:rPr>
          <w:rFonts w:asciiTheme="minorHAnsi" w:hAnsiTheme="minorHAnsi" w:cstheme="minorHAnsi"/>
          <w:sz w:val="22"/>
          <w:szCs w:val="22"/>
        </w:rPr>
        <w:t xml:space="preserve">00 </w:t>
      </w:r>
      <w:r w:rsidRPr="00057161">
        <w:rPr>
          <w:rFonts w:asciiTheme="minorHAnsi" w:hAnsiTheme="minorHAnsi" w:cstheme="minorHAnsi"/>
          <w:sz w:val="22"/>
          <w:szCs w:val="22"/>
        </w:rPr>
        <w:t xml:space="preserve">tun v období </w:t>
      </w:r>
      <w:r w:rsidR="00FD1DEC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FD1DEC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5FE91BD0" w14:textId="2CFD6AD0" w:rsidR="00B61706" w:rsidRPr="00057161" w:rsidRDefault="00B61706" w:rsidP="00FC6830">
      <w:pPr>
        <w:spacing w:before="240" w:line="23" w:lineRule="atLeast"/>
        <w:rPr>
          <w:rFonts w:cstheme="minorHAnsi"/>
        </w:rPr>
      </w:pPr>
      <w:r w:rsidRPr="00057161">
        <w:rPr>
          <w:rFonts w:cstheme="minorHAnsi"/>
          <w:b/>
          <w:bCs/>
        </w:rPr>
        <w:t xml:space="preserve">Technické kvalifikační předpoklady pro část 2 </w:t>
      </w:r>
      <w:r w:rsidRPr="00057161">
        <w:rPr>
          <w:rFonts w:cstheme="minorHAnsi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</w:rPr>
        <w:t>Z</w:t>
      </w:r>
      <w:r w:rsidRPr="00057161">
        <w:rPr>
          <w:rFonts w:cstheme="minorHAnsi"/>
        </w:rPr>
        <w:t>adávacího řízení realizoval alespoň dvě (2) významné dodávky splňující následující požadavky:</w:t>
      </w:r>
    </w:p>
    <w:p w14:paraId="123E2392" w14:textId="0DDC9C97" w:rsidR="00B61706" w:rsidRPr="00057161" w:rsidRDefault="00B61706" w:rsidP="00FC6830">
      <w:pPr>
        <w:pStyle w:val="Default"/>
        <w:numPr>
          <w:ilvl w:val="0"/>
          <w:numId w:val="41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objemu </w:t>
      </w:r>
      <w:r w:rsidR="00960CF5" w:rsidRPr="00057161">
        <w:rPr>
          <w:rFonts w:asciiTheme="minorHAnsi" w:hAnsiTheme="minorHAnsi" w:cstheme="minorHAnsi"/>
          <w:sz w:val="22"/>
          <w:szCs w:val="22"/>
        </w:rPr>
        <w:t xml:space="preserve">1 </w:t>
      </w:r>
      <w:r w:rsidR="00A96A58" w:rsidRPr="00057161">
        <w:rPr>
          <w:rFonts w:asciiTheme="minorHAnsi" w:hAnsiTheme="minorHAnsi" w:cstheme="minorHAnsi"/>
          <w:sz w:val="22"/>
          <w:szCs w:val="22"/>
        </w:rPr>
        <w:t>7</w:t>
      </w:r>
      <w:r w:rsidR="00960CF5" w:rsidRPr="00057161">
        <w:rPr>
          <w:rFonts w:asciiTheme="minorHAnsi" w:hAnsiTheme="minorHAnsi" w:cstheme="minorHAnsi"/>
          <w:sz w:val="22"/>
          <w:szCs w:val="22"/>
        </w:rPr>
        <w:t>50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74E7466B" w14:textId="072DC5A2" w:rsidR="00B61706" w:rsidRPr="00057161" w:rsidRDefault="00B61706" w:rsidP="00AF0BF0">
      <w:pPr>
        <w:pStyle w:val="Default"/>
        <w:numPr>
          <w:ilvl w:val="0"/>
          <w:numId w:val="41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AF0BF0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6902FD" w:rsidRPr="00057161">
        <w:rPr>
          <w:rFonts w:asciiTheme="minorHAnsi" w:hAnsiTheme="minorHAnsi" w:cstheme="minorHAnsi"/>
          <w:sz w:val="22"/>
          <w:szCs w:val="22"/>
        </w:rPr>
        <w:t>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v období </w:t>
      </w:r>
      <w:r w:rsidR="006902FD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6902FD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6785616B" w14:textId="21216708" w:rsidR="00B61706" w:rsidRPr="00057161" w:rsidRDefault="00B61706" w:rsidP="00A44126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3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02F72B1A" w14:textId="498C0874" w:rsidR="00B61706" w:rsidRPr="00057161" w:rsidRDefault="00B61706" w:rsidP="001216FF">
      <w:pPr>
        <w:numPr>
          <w:ilvl w:val="0"/>
          <w:numId w:val="42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2 375</w:t>
      </w:r>
      <w:r w:rsidRPr="00057161">
        <w:rPr>
          <w:rFonts w:cstheme="minorHAnsi"/>
          <w:color w:val="000000"/>
        </w:rPr>
        <w:t xml:space="preserve"> tun za 1 rok; </w:t>
      </w:r>
    </w:p>
    <w:p w14:paraId="5F3D4721" w14:textId="50E85873" w:rsidR="00B61706" w:rsidRPr="00057161" w:rsidRDefault="00B61706" w:rsidP="001216FF">
      <w:pPr>
        <w:numPr>
          <w:ilvl w:val="0"/>
          <w:numId w:val="42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D37525" w:rsidRPr="00057161">
        <w:rPr>
          <w:rFonts w:cstheme="minorHAnsi"/>
          <w:color w:val="000000"/>
        </w:rPr>
        <w:t>písm. a)</w:t>
      </w:r>
      <w:r w:rsidRPr="00057161">
        <w:rPr>
          <w:rFonts w:cstheme="minorHAnsi"/>
          <w:color w:val="000000"/>
        </w:rPr>
        <w:t xml:space="preserve"> výše)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75</w:t>
      </w:r>
      <w:r w:rsidR="00B60289" w:rsidRPr="00057161">
        <w:rPr>
          <w:rFonts w:cstheme="minorHAnsi"/>
          <w:color w:val="000000"/>
        </w:rPr>
        <w:t>0</w:t>
      </w:r>
      <w:r w:rsidRPr="00057161">
        <w:rPr>
          <w:rFonts w:cstheme="minorHAnsi"/>
          <w:color w:val="000000"/>
        </w:rPr>
        <w:t xml:space="preserve"> tun v období </w:t>
      </w:r>
      <w:r w:rsidR="006902FD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6902FD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1618BFFB" w14:textId="47ECED7B" w:rsidR="00B61706" w:rsidRPr="00057161" w:rsidRDefault="00B61706" w:rsidP="00B60289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4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4E89C4AB" w14:textId="23A3976D" w:rsidR="00B61706" w:rsidRPr="00057161" w:rsidRDefault="00B61706" w:rsidP="00B60289">
      <w:pPr>
        <w:numPr>
          <w:ilvl w:val="0"/>
          <w:numId w:val="43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3</w:t>
      </w:r>
      <w:r w:rsidR="00F86FB0" w:rsidRPr="00057161">
        <w:rPr>
          <w:rFonts w:cstheme="minorHAnsi"/>
          <w:color w:val="000000"/>
        </w:rPr>
        <w:t xml:space="preserve"> </w:t>
      </w:r>
      <w:r w:rsidR="0030725A" w:rsidRPr="00057161">
        <w:rPr>
          <w:rFonts w:cstheme="minorHAnsi"/>
          <w:color w:val="000000"/>
        </w:rPr>
        <w:t>0</w:t>
      </w:r>
      <w:r w:rsidR="00F86FB0" w:rsidRPr="00057161">
        <w:rPr>
          <w:rFonts w:cstheme="minorHAnsi"/>
          <w:color w:val="000000"/>
        </w:rPr>
        <w:t>00</w:t>
      </w:r>
      <w:r w:rsidRPr="00057161">
        <w:rPr>
          <w:rFonts w:cstheme="minorHAnsi"/>
          <w:color w:val="000000"/>
        </w:rPr>
        <w:t xml:space="preserve"> tun za 1 rok; </w:t>
      </w:r>
    </w:p>
    <w:p w14:paraId="164AAEB6" w14:textId="2AA954D1" w:rsidR="00B61706" w:rsidRPr="00057161" w:rsidRDefault="00B61706" w:rsidP="00B60289">
      <w:pPr>
        <w:numPr>
          <w:ilvl w:val="0"/>
          <w:numId w:val="43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F86FB0" w:rsidRPr="00057161">
        <w:rPr>
          <w:rFonts w:cstheme="minorHAnsi"/>
          <w:color w:val="000000"/>
        </w:rPr>
        <w:t xml:space="preserve">písm. a) </w:t>
      </w:r>
      <w:r w:rsidRPr="00057161">
        <w:rPr>
          <w:rFonts w:cstheme="minorHAnsi"/>
          <w:color w:val="000000"/>
        </w:rPr>
        <w:t xml:space="preserve">výše)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75</w:t>
      </w:r>
      <w:r w:rsidR="00A807FF" w:rsidRPr="00057161">
        <w:rPr>
          <w:rFonts w:cstheme="minorHAnsi"/>
          <w:color w:val="000000"/>
        </w:rPr>
        <w:t>0</w:t>
      </w:r>
      <w:r w:rsidRPr="00057161">
        <w:rPr>
          <w:rFonts w:cstheme="minorHAnsi"/>
          <w:color w:val="000000"/>
        </w:rPr>
        <w:t xml:space="preserve"> tun v období </w:t>
      </w:r>
      <w:r w:rsidR="00A807FF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A807FF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6817F0C8" w14:textId="5AB85DA3" w:rsidR="00CF6A2C" w:rsidRDefault="00CF6A2C" w:rsidP="000C4AE5">
      <w:pPr>
        <w:spacing w:before="120"/>
        <w:rPr>
          <w:rFonts w:cstheme="minorHAnsi"/>
        </w:rPr>
      </w:pPr>
      <w:r w:rsidRPr="00057161">
        <w:rPr>
          <w:rFonts w:cstheme="minorHAnsi"/>
        </w:rPr>
        <w:t xml:space="preserve">Pro úplnost se dodává, že bude-li se v případě </w:t>
      </w:r>
      <w:r w:rsidR="00FE28B7" w:rsidRPr="00057161">
        <w:rPr>
          <w:rFonts w:cstheme="minorHAnsi"/>
        </w:rPr>
        <w:t>dodávek</w:t>
      </w:r>
      <w:r w:rsidRPr="00057161">
        <w:rPr>
          <w:rFonts w:cstheme="minorHAnsi"/>
        </w:rPr>
        <w:t xml:space="preserve"> jednat o dosud neukončené plnění, je dodavatel povinen prokázat, že v rámci této zakázky již bylo odvedeno a objednatelem</w:t>
      </w:r>
      <w:r w:rsidRPr="00FE28B7">
        <w:rPr>
          <w:rFonts w:cstheme="minorHAnsi"/>
        </w:rPr>
        <w:t xml:space="preserve">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lastRenderedPageBreak/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4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proofErr w:type="gramStart"/>
      <w:r>
        <w:rPr>
          <w:rFonts w:cstheme="minorHAnsi"/>
        </w:rPr>
        <w:t>předloží</w:t>
      </w:r>
      <w:proofErr w:type="gramEnd"/>
      <w:r>
        <w:rPr>
          <w:rFonts w:cstheme="minorHAnsi"/>
        </w:rPr>
        <w:t xml:space="preserve">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4A15A0A" w:rsidR="0007122F" w:rsidRPr="008973B9" w:rsidRDefault="0007122F" w:rsidP="001F7F80">
      <w:pPr>
        <w:spacing w:before="120"/>
        <w:rPr>
          <w:rFonts w:cs="Calibri"/>
        </w:rPr>
      </w:pPr>
      <w:r w:rsidRPr="00F04A72">
        <w:rPr>
          <w:rFonts w:cs="Calibri"/>
        </w:rPr>
        <w:t xml:space="preserve">Platební a obchodní podmínky Veřejné zakázky jsou uvedeny v závazném návrhu </w:t>
      </w:r>
      <w:r w:rsidR="00F74386">
        <w:rPr>
          <w:rFonts w:cs="Calibri"/>
        </w:rPr>
        <w:t>Rámcové dohody pro jednotlivé části Veřejné zakázky</w:t>
      </w:r>
      <w:r w:rsidRPr="00F04A72">
        <w:rPr>
          <w:rFonts w:cs="Calibri"/>
        </w:rPr>
        <w:t xml:space="preserve">, který </w:t>
      </w:r>
      <w:proofErr w:type="gramStart"/>
      <w:r w:rsidRPr="00F04A72">
        <w:rPr>
          <w:rFonts w:cs="Calibri"/>
        </w:rPr>
        <w:t>tvoří</w:t>
      </w:r>
      <w:proofErr w:type="gramEnd"/>
      <w:r w:rsidRPr="00F04A72">
        <w:rPr>
          <w:rFonts w:cs="Calibri"/>
        </w:rPr>
        <w:t xml:space="preserve"> přílohu č.</w:t>
      </w:r>
      <w:r w:rsidR="00716EAF" w:rsidRPr="00F04A72">
        <w:rPr>
          <w:rFonts w:cs="Calibri"/>
        </w:rPr>
        <w:t> </w:t>
      </w:r>
      <w:r w:rsidR="009A394E" w:rsidRPr="00F04A72">
        <w:rPr>
          <w:rFonts w:cs="Calibri"/>
        </w:rPr>
        <w:t>2</w:t>
      </w:r>
      <w:r w:rsidR="00F74386">
        <w:rPr>
          <w:rFonts w:cs="Calibri"/>
        </w:rPr>
        <w:t xml:space="preserve"> a), 2 b), 2 c) a 2 d) této</w:t>
      </w:r>
      <w:r w:rsidRPr="00F04A72">
        <w:rPr>
          <w:rFonts w:cs="Calibri"/>
        </w:rPr>
        <w:t xml:space="preserve"> Zadávací dokumentace</w:t>
      </w:r>
      <w:r w:rsidR="00B10595">
        <w:rPr>
          <w:rFonts w:cs="Calibri"/>
        </w:rPr>
        <w:t>, podle toho, na kterou část Veřejné zakázky účastník podává nabídku</w:t>
      </w:r>
      <w:r w:rsidRPr="00F04A72">
        <w:rPr>
          <w:rFonts w:cs="Calibri"/>
        </w:rPr>
        <w:t>.</w:t>
      </w:r>
      <w:r w:rsidRPr="00F04A72">
        <w:rPr>
          <w:rFonts w:ascii="Calibri" w:eastAsia="Calibri" w:hAnsi="Calibri" w:cs="Calibri"/>
        </w:rPr>
        <w:t xml:space="preserve"> </w:t>
      </w:r>
      <w:r w:rsidRPr="00F04A72">
        <w:rPr>
          <w:rFonts w:cs="Calibri"/>
        </w:rPr>
        <w:t>Tyto podmínky vymezují rámec budoucího smluvního vztahu a účastník musí stanovené</w:t>
      </w:r>
      <w:r w:rsidRPr="00A53434">
        <w:rPr>
          <w:rFonts w:cs="Calibri"/>
        </w:rPr>
        <w:t xml:space="preserve"> podmínky respektovat</w:t>
      </w:r>
      <w:r>
        <w:rPr>
          <w:rFonts w:cs="Calibri"/>
        </w:rPr>
        <w:t>.</w:t>
      </w:r>
      <w:r w:rsidR="00B10595">
        <w:rPr>
          <w:rFonts w:cs="Calibri"/>
        </w:rPr>
        <w:t xml:space="preserve"> </w:t>
      </w:r>
    </w:p>
    <w:p w14:paraId="000E1982" w14:textId="3C75A87F" w:rsidR="001D1D08" w:rsidRPr="001D1D08" w:rsidRDefault="001D1D08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D1D08">
        <w:rPr>
          <w:rFonts w:asciiTheme="minorHAnsi" w:hAnsiTheme="minorHAnsi" w:cstheme="minorHAnsi"/>
          <w:b/>
          <w:bCs/>
          <w:szCs w:val="22"/>
        </w:rPr>
        <w:t xml:space="preserve">Účastník </w:t>
      </w:r>
      <w:proofErr w:type="gramStart"/>
      <w:r w:rsidRPr="001D1D08">
        <w:rPr>
          <w:rFonts w:asciiTheme="minorHAnsi" w:hAnsiTheme="minorHAnsi" w:cstheme="minorHAnsi"/>
          <w:b/>
          <w:bCs/>
          <w:szCs w:val="22"/>
        </w:rPr>
        <w:t>předloží</w:t>
      </w:r>
      <w:proofErr w:type="gramEnd"/>
      <w:r w:rsidRPr="001D1D08">
        <w:rPr>
          <w:rFonts w:asciiTheme="minorHAnsi" w:hAnsiTheme="minorHAnsi" w:cstheme="minorHAnsi"/>
          <w:b/>
          <w:bCs/>
          <w:szCs w:val="22"/>
        </w:rPr>
        <w:t xml:space="preserve"> v nabídce pro příslušnou část Veřejné zakázky vyplněný návrh </w:t>
      </w:r>
      <w:r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plnění Veřejné zakázky, který bude odpovídat příslušnému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ávaznému návrhu </w:t>
      </w:r>
      <w:r w:rsidR="004F6CF2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dle přílohy č. 2</w:t>
      </w:r>
      <w:r w:rsidR="004F6CF2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D1D08">
        <w:rPr>
          <w:rFonts w:asciiTheme="minorHAnsi" w:hAnsiTheme="minorHAnsi" w:cstheme="minorHAnsi"/>
          <w:b/>
          <w:bCs/>
          <w:szCs w:val="22"/>
        </w:rPr>
        <w:t>a</w:t>
      </w:r>
      <w:r w:rsidR="004F6CF2">
        <w:rPr>
          <w:rFonts w:asciiTheme="minorHAnsi" w:hAnsiTheme="minorHAnsi" w:cstheme="minorHAnsi"/>
          <w:b/>
          <w:bCs/>
          <w:szCs w:val="22"/>
        </w:rPr>
        <w:t>), 2 b), 2 c) nebo 2 d)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této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>adávací dokumentace (v závislosti na tom, do které části Veřejné zakázky podává dodavatel nabídku).</w:t>
      </w:r>
    </w:p>
    <w:p w14:paraId="37F53564" w14:textId="129ABB38" w:rsidR="001D1D08" w:rsidRDefault="001D1D08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D1D08">
        <w:rPr>
          <w:rFonts w:asciiTheme="minorHAnsi" w:hAnsiTheme="minorHAnsi" w:cstheme="minorHAnsi"/>
          <w:b/>
          <w:bCs/>
          <w:szCs w:val="22"/>
        </w:rPr>
        <w:t xml:space="preserve">Účastník není oprávněn měnit a doplňovat </w:t>
      </w:r>
      <w:r w:rsidR="004F6CF2">
        <w:rPr>
          <w:rFonts w:asciiTheme="minorHAnsi" w:hAnsiTheme="minorHAnsi" w:cstheme="minorHAnsi"/>
          <w:b/>
          <w:bCs/>
          <w:szCs w:val="22"/>
        </w:rPr>
        <w:t>z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ávazný návrh </w:t>
      </w:r>
      <w:r w:rsidR="004F6CF2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jiných než výslovně označených místech k doplnění, jež jsou označena „[</w:t>
      </w:r>
      <w:r w:rsidRPr="001D1D08">
        <w:rPr>
          <w:rFonts w:asciiTheme="minorHAnsi" w:hAnsiTheme="minorHAnsi" w:cstheme="minorHAnsi"/>
          <w:b/>
          <w:bCs/>
          <w:szCs w:val="22"/>
          <w:highlight w:val="green"/>
        </w:rPr>
        <w:t>DOPLNÍ DODAVATEL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]“. Účastník je povinen upravit návrh </w:t>
      </w:r>
      <w:r w:rsidR="00F7233F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v části identifikující smluvní strany na straně dodavatele, a to v souladu se skutečným stavem, aby bylo vymezení dodavatele dostatečně určité. V případě společné účasti dodavatelů budou v návrhu </w:t>
      </w:r>
      <w:r w:rsidR="00F7233F">
        <w:rPr>
          <w:rFonts w:asciiTheme="minorHAnsi" w:hAnsiTheme="minorHAnsi" w:cstheme="minorHAnsi"/>
          <w:b/>
          <w:bCs/>
          <w:szCs w:val="22"/>
        </w:rPr>
        <w:t>Rámcové dohody</w:t>
      </w:r>
      <w:r w:rsidRPr="001D1D08">
        <w:rPr>
          <w:rFonts w:asciiTheme="minorHAnsi" w:hAnsiTheme="minorHAnsi" w:cstheme="minorHAnsi"/>
          <w:b/>
          <w:bCs/>
          <w:szCs w:val="22"/>
        </w:rPr>
        <w:t xml:space="preserve"> na Veřejnou zakázku uvedeni všichni dodavatelé podávající společnou nabídku.</w:t>
      </w:r>
    </w:p>
    <w:p w14:paraId="550D14C1" w14:textId="6791BB97" w:rsidR="00717DE2" w:rsidRDefault="00717DE2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Dodavatel není povinen ve své nabídce přikládat všechny přílohy závazného návrhu Rámcové dohody</w:t>
      </w:r>
      <w:r w:rsidR="00475234">
        <w:rPr>
          <w:rFonts w:asciiTheme="minorHAnsi" w:hAnsiTheme="minorHAnsi" w:cstheme="minorHAnsi"/>
          <w:b/>
          <w:bCs/>
          <w:szCs w:val="22"/>
        </w:rPr>
        <w:t xml:space="preserve">, kromě přílohy č. 1 Rámcové dohody. Účastník tedy ve své nabídce </w:t>
      </w:r>
      <w:proofErr w:type="gramStart"/>
      <w:r w:rsidR="00475234">
        <w:rPr>
          <w:rFonts w:asciiTheme="minorHAnsi" w:hAnsiTheme="minorHAnsi" w:cstheme="minorHAnsi"/>
          <w:b/>
          <w:bCs/>
          <w:szCs w:val="22"/>
        </w:rPr>
        <w:t>předloží</w:t>
      </w:r>
      <w:proofErr w:type="gramEnd"/>
      <w:r w:rsidR="00475234">
        <w:rPr>
          <w:rFonts w:asciiTheme="minorHAnsi" w:hAnsiTheme="minorHAnsi" w:cstheme="minorHAnsi"/>
          <w:b/>
          <w:bCs/>
          <w:szCs w:val="22"/>
        </w:rPr>
        <w:t xml:space="preserve"> </w:t>
      </w:r>
      <w:r w:rsidR="00265D22">
        <w:rPr>
          <w:rFonts w:asciiTheme="minorHAnsi" w:hAnsiTheme="minorHAnsi" w:cstheme="minorHAnsi"/>
          <w:b/>
          <w:bCs/>
          <w:szCs w:val="22"/>
        </w:rPr>
        <w:t>oceněný soupis dodávek v souladu s čl. 6 této Zadávací dokumentace.</w:t>
      </w:r>
    </w:p>
    <w:p w14:paraId="5CD68EDC" w14:textId="74A488FE" w:rsidR="00265D22" w:rsidRDefault="008146C7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Účastník bere na vědomí, že vybraný dodavatel bude v rámci součinnosti před podpisem smlouvy povinen předložit zbylé přílohy Rámcové dohody, a tedy:</w:t>
      </w:r>
    </w:p>
    <w:p w14:paraId="67286BF6" w14:textId="60E0D2DE" w:rsidR="008146C7" w:rsidRDefault="008146C7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2,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doklad o provedení síťové analýzy</w:t>
      </w:r>
      <w:r w:rsidR="0069575A">
        <w:rPr>
          <w:rFonts w:asciiTheme="minorHAnsi" w:hAnsiTheme="minorHAnsi" w:cstheme="minorHAnsi"/>
          <w:szCs w:val="22"/>
        </w:rPr>
        <w:t xml:space="preserve"> pro sypké materiály podle vyhlášky č. 104/1997 Sb.;</w:t>
      </w:r>
    </w:p>
    <w:p w14:paraId="2C068124" w14:textId="733BDDA5" w:rsidR="0069575A" w:rsidRDefault="0069575A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3,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doklad </w:t>
      </w:r>
      <w:r w:rsidR="00C6361D">
        <w:rPr>
          <w:rFonts w:asciiTheme="minorHAnsi" w:hAnsiTheme="minorHAnsi" w:cstheme="minorHAnsi"/>
          <w:szCs w:val="22"/>
        </w:rPr>
        <w:t>o provedení chemického rozboru podle Standardu pro chemické a rozmrazovací materiály (součást předpisu Ministerstva dopravy TP 116);</w:t>
      </w:r>
    </w:p>
    <w:p w14:paraId="5AB2F8A7" w14:textId="53782C94" w:rsidR="00C6361D" w:rsidRDefault="00C6361D" w:rsidP="008146C7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4, kterou </w:t>
      </w:r>
      <w:proofErr w:type="gramStart"/>
      <w:r>
        <w:rPr>
          <w:rFonts w:asciiTheme="minorHAnsi" w:hAnsiTheme="minorHAnsi" w:cstheme="minorHAnsi"/>
          <w:szCs w:val="22"/>
        </w:rPr>
        <w:t>tvoří</w:t>
      </w:r>
      <w:proofErr w:type="gramEnd"/>
      <w:r>
        <w:rPr>
          <w:rFonts w:asciiTheme="minorHAnsi" w:hAnsiTheme="minorHAnsi" w:cstheme="minorHAnsi"/>
          <w:szCs w:val="22"/>
        </w:rPr>
        <w:t xml:space="preserve"> písemné prohlášení výrobce o záruce a ošetření soli proti spékavosti;</w:t>
      </w:r>
    </w:p>
    <w:p w14:paraId="44530C72" w14:textId="57F4BA5A" w:rsidR="00C6361D" w:rsidRPr="0063199B" w:rsidRDefault="00C6361D" w:rsidP="000228D6">
      <w:pPr>
        <w:pStyle w:val="Normal1"/>
        <w:numPr>
          <w:ilvl w:val="0"/>
          <w:numId w:val="44"/>
        </w:numPr>
        <w:spacing w:before="0"/>
        <w:rPr>
          <w:rFonts w:asciiTheme="minorHAnsi" w:hAnsiTheme="minorHAnsi" w:cstheme="minorHAnsi"/>
          <w:szCs w:val="22"/>
        </w:rPr>
      </w:pPr>
      <w:r w:rsidRPr="0063199B">
        <w:rPr>
          <w:rFonts w:asciiTheme="minorHAnsi" w:hAnsiTheme="minorHAnsi" w:cstheme="minorHAnsi"/>
          <w:szCs w:val="22"/>
        </w:rPr>
        <w:t xml:space="preserve">přílohu č. 5, kterou </w:t>
      </w:r>
      <w:proofErr w:type="gramStart"/>
      <w:r w:rsidRPr="0063199B">
        <w:rPr>
          <w:rFonts w:asciiTheme="minorHAnsi" w:hAnsiTheme="minorHAnsi" w:cstheme="minorHAnsi"/>
          <w:szCs w:val="22"/>
        </w:rPr>
        <w:t>tvoří</w:t>
      </w:r>
      <w:proofErr w:type="gramEnd"/>
      <w:r w:rsidRPr="0063199B">
        <w:rPr>
          <w:rFonts w:asciiTheme="minorHAnsi" w:hAnsiTheme="minorHAnsi" w:cstheme="minorHAnsi"/>
          <w:szCs w:val="22"/>
        </w:rPr>
        <w:t xml:space="preserve"> </w:t>
      </w:r>
      <w:r w:rsidR="00CC6EFE" w:rsidRPr="0063199B">
        <w:rPr>
          <w:rFonts w:asciiTheme="minorHAnsi" w:hAnsiTheme="minorHAnsi" w:cstheme="minorHAnsi"/>
          <w:szCs w:val="22"/>
        </w:rPr>
        <w:t>Bezpečnostní list podle Nařízení Evropského parlamentu a Rady (ES) č.</w:t>
      </w:r>
      <w:r w:rsidR="0063199B" w:rsidRPr="0063199B">
        <w:rPr>
          <w:rFonts w:asciiTheme="minorHAnsi" w:hAnsiTheme="minorHAnsi" w:cstheme="minorHAnsi"/>
          <w:szCs w:val="22"/>
        </w:rPr>
        <w:t> </w:t>
      </w:r>
      <w:r w:rsidR="00CC6EFE" w:rsidRPr="0063199B">
        <w:rPr>
          <w:rFonts w:asciiTheme="minorHAnsi" w:hAnsiTheme="minorHAnsi" w:cstheme="minorHAnsi"/>
          <w:szCs w:val="22"/>
        </w:rPr>
        <w:t>1907/2006</w:t>
      </w:r>
      <w:r w:rsidR="0063199B" w:rsidRPr="0063199B">
        <w:rPr>
          <w:rFonts w:asciiTheme="minorHAnsi" w:hAnsiTheme="minorHAnsi" w:cstheme="minorHAnsi"/>
          <w:szCs w:val="22"/>
        </w:rPr>
        <w:t xml:space="preserve">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CC6EFE" w:rsidRPr="0063199B">
        <w:rPr>
          <w:rFonts w:asciiTheme="minorHAnsi" w:hAnsiTheme="minorHAnsi" w:cstheme="minorHAnsi"/>
          <w:szCs w:val="22"/>
        </w:rPr>
        <w:t>.</w:t>
      </w:r>
    </w:p>
    <w:p w14:paraId="2709F820" w14:textId="10914E08" w:rsidR="001B2067" w:rsidRDefault="001D1D08" w:rsidP="001D1D08">
      <w:pPr>
        <w:spacing w:before="120"/>
        <w:rPr>
          <w:rFonts w:cstheme="minorHAnsi"/>
        </w:rPr>
      </w:pPr>
      <w:r w:rsidRPr="001D1D08">
        <w:rPr>
          <w:rFonts w:cstheme="minorHAnsi"/>
        </w:rPr>
        <w:t>Rámcová dohoda bude uzavřena v souladu s návrhem smlouvy předloženým v nabídce vybraného dodavatele.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6CE5A1F1" w14:textId="4CA702D0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Nabídková cena bude zpracována samostatně pro každou část Veřejné zakázky, a to oceněním soupisu dodávek, který je přílohou č. 1 závazného návrhu Rámcové smlouvy, </w:t>
      </w:r>
      <w:r w:rsidR="00A77A6E">
        <w:rPr>
          <w:rFonts w:asciiTheme="minorHAnsi" w:hAnsiTheme="minorHAnsi" w:cstheme="minorHAnsi"/>
          <w:sz w:val="22"/>
          <w:szCs w:val="22"/>
        </w:rPr>
        <w:t xml:space="preserve">přičemž dodavatel </w:t>
      </w:r>
      <w:r w:rsidR="00A100CD">
        <w:rPr>
          <w:rFonts w:asciiTheme="minorHAnsi" w:hAnsiTheme="minorHAnsi" w:cstheme="minorHAnsi"/>
          <w:sz w:val="22"/>
          <w:szCs w:val="22"/>
        </w:rPr>
        <w:t>nacení tabulku pro tu část Veřejné zakázky</w:t>
      </w:r>
      <w:r w:rsidRPr="009D441E">
        <w:rPr>
          <w:rFonts w:asciiTheme="minorHAnsi" w:hAnsiTheme="minorHAnsi" w:cstheme="minorHAnsi"/>
          <w:sz w:val="22"/>
          <w:szCs w:val="22"/>
        </w:rPr>
        <w:t xml:space="preserve">, na kterou podává nabídku. </w:t>
      </w:r>
      <w:r w:rsidR="00097941">
        <w:rPr>
          <w:rFonts w:asciiTheme="minorHAnsi" w:hAnsiTheme="minorHAnsi" w:cstheme="minorHAnsi"/>
          <w:sz w:val="22"/>
          <w:szCs w:val="22"/>
        </w:rPr>
        <w:t xml:space="preserve">Naceněná tabulka </w:t>
      </w:r>
      <w:r w:rsidR="003D0F7B">
        <w:rPr>
          <w:rFonts w:asciiTheme="minorHAnsi" w:hAnsiTheme="minorHAnsi" w:cstheme="minorHAnsi"/>
          <w:sz w:val="22"/>
          <w:szCs w:val="22"/>
        </w:rPr>
        <w:t xml:space="preserve">pro příslušnou část Veřejné zakázky, </w:t>
      </w:r>
      <w:r w:rsidR="00097941">
        <w:rPr>
          <w:rFonts w:asciiTheme="minorHAnsi" w:hAnsiTheme="minorHAnsi" w:cstheme="minorHAnsi"/>
          <w:sz w:val="22"/>
          <w:szCs w:val="22"/>
        </w:rPr>
        <w:t>uvedená v příloze č.</w:t>
      </w:r>
      <w:r w:rsidR="00C264CA">
        <w:rPr>
          <w:rFonts w:asciiTheme="minorHAnsi" w:hAnsiTheme="minorHAnsi" w:cstheme="minorHAnsi"/>
          <w:sz w:val="22"/>
          <w:szCs w:val="22"/>
        </w:rPr>
        <w:t> </w:t>
      </w:r>
      <w:r w:rsidR="00097941">
        <w:rPr>
          <w:rFonts w:asciiTheme="minorHAnsi" w:hAnsiTheme="minorHAnsi" w:cstheme="minorHAnsi"/>
          <w:sz w:val="22"/>
          <w:szCs w:val="22"/>
        </w:rPr>
        <w:t>1 závazného návrhu Rámcové dohody</w:t>
      </w:r>
      <w:r w:rsidR="003D0F7B">
        <w:rPr>
          <w:rFonts w:asciiTheme="minorHAnsi" w:hAnsiTheme="minorHAnsi" w:cstheme="minorHAnsi"/>
          <w:sz w:val="22"/>
          <w:szCs w:val="22"/>
        </w:rPr>
        <w:t>,</w:t>
      </w:r>
      <w:r w:rsidR="00097941">
        <w:rPr>
          <w:rFonts w:asciiTheme="minorHAnsi" w:hAnsiTheme="minorHAnsi" w:cstheme="minorHAnsi"/>
          <w:sz w:val="22"/>
          <w:szCs w:val="22"/>
        </w:rPr>
        <w:t xml:space="preserve"> bude součástí nabídky na každou část</w:t>
      </w:r>
      <w:r w:rsidR="003D0F7B">
        <w:rPr>
          <w:rFonts w:asciiTheme="minorHAnsi" w:hAnsiTheme="minorHAnsi" w:cstheme="minorHAnsi"/>
          <w:sz w:val="22"/>
          <w:szCs w:val="22"/>
        </w:rPr>
        <w:t>, na kterou účastník podává nabídku.</w:t>
      </w:r>
    </w:p>
    <w:p w14:paraId="408286BF" w14:textId="3372796E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stanovit cenu za 1 jednotku (tunu) každé z dodávek uvedených v soupisu dodávek. Předpokládaný počet jednotek (tun) je stanovený Zadavatelem a účastník není oprávněn do této hodnoty jakkoli zasahovat. Změna této hodnoty bude považována za nesplnění zadávacích podmínek s následkem vyloučení účastníka z účasti v </w:t>
      </w:r>
      <w:r w:rsidR="000D7522">
        <w:rPr>
          <w:rFonts w:asciiTheme="minorHAnsi" w:hAnsiTheme="minorHAnsi" w:cstheme="minorHAnsi"/>
          <w:sz w:val="22"/>
          <w:szCs w:val="22"/>
        </w:rPr>
        <w:t>Z</w:t>
      </w:r>
      <w:r w:rsidRPr="009D441E">
        <w:rPr>
          <w:rFonts w:asciiTheme="minorHAnsi" w:hAnsiTheme="minorHAnsi" w:cstheme="minorHAnsi"/>
          <w:sz w:val="22"/>
          <w:szCs w:val="22"/>
        </w:rPr>
        <w:t xml:space="preserve">adávacím řízení. </w:t>
      </w:r>
    </w:p>
    <w:p w14:paraId="6A783250" w14:textId="77777777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Celková nabídková cena bez DPH se rovná součtu: </w:t>
      </w:r>
    </w:p>
    <w:p w14:paraId="05819036" w14:textId="39288283" w:rsidR="00986898" w:rsidRDefault="00986898" w:rsidP="009D441E">
      <w:pPr>
        <w:pStyle w:val="Default"/>
        <w:numPr>
          <w:ilvl w:val="0"/>
          <w:numId w:val="45"/>
        </w:num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7522">
        <w:rPr>
          <w:rFonts w:asciiTheme="minorHAnsi" w:hAnsiTheme="minorHAnsi" w:cstheme="minorHAnsi"/>
          <w:sz w:val="22"/>
          <w:szCs w:val="22"/>
        </w:rPr>
        <w:t xml:space="preserve">násobku Zadavatelem stanoveného předpokladu rozsahu dodávek posypové kamenné soli dodávaných na základě objednávek odeslaných v období od 1. dubna do </w:t>
      </w:r>
      <w:r w:rsidR="000D2F23">
        <w:rPr>
          <w:rFonts w:asciiTheme="minorHAnsi" w:hAnsiTheme="minorHAnsi" w:cstheme="minorHAnsi"/>
          <w:sz w:val="22"/>
          <w:szCs w:val="22"/>
        </w:rPr>
        <w:t>31</w:t>
      </w:r>
      <w:r w:rsidRPr="000D7522">
        <w:rPr>
          <w:rFonts w:asciiTheme="minorHAnsi" w:hAnsiTheme="minorHAnsi" w:cstheme="minorHAnsi"/>
          <w:sz w:val="22"/>
          <w:szCs w:val="22"/>
        </w:rPr>
        <w:t>. října a účastníkem stanovené ceny za 1 tunu posypové kamenné soli dodané na základě objednávky odeslané v tomto období</w:t>
      </w:r>
      <w:r>
        <w:rPr>
          <w:rFonts w:asciiTheme="minorHAnsi" w:hAnsiTheme="minorHAnsi" w:cstheme="minorHAnsi"/>
          <w:sz w:val="22"/>
          <w:szCs w:val="22"/>
        </w:rPr>
        <w:t>; a</w:t>
      </w:r>
    </w:p>
    <w:p w14:paraId="3E17ADBE" w14:textId="0C8A0A71" w:rsidR="009D441E" w:rsidRPr="00986898" w:rsidRDefault="009D441E" w:rsidP="00383B9D">
      <w:pPr>
        <w:pStyle w:val="Default"/>
        <w:numPr>
          <w:ilvl w:val="0"/>
          <w:numId w:val="45"/>
        </w:num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86898">
        <w:rPr>
          <w:rFonts w:asciiTheme="minorHAnsi" w:hAnsiTheme="minorHAnsi" w:cstheme="minorHAnsi"/>
          <w:sz w:val="22"/>
          <w:szCs w:val="22"/>
        </w:rPr>
        <w:t xml:space="preserve">násobku Zadavatelem stanoveného předpokladu rozsahu dodávek posypové kamenné soli dodávaných na základě objednávek odeslaných v období od </w:t>
      </w:r>
      <w:r w:rsidR="000D2F23">
        <w:rPr>
          <w:rFonts w:asciiTheme="minorHAnsi" w:hAnsiTheme="minorHAnsi" w:cstheme="minorHAnsi"/>
          <w:sz w:val="22"/>
          <w:szCs w:val="22"/>
        </w:rPr>
        <w:t>1</w:t>
      </w:r>
      <w:r w:rsidRPr="00986898">
        <w:rPr>
          <w:rFonts w:asciiTheme="minorHAnsi" w:hAnsiTheme="minorHAnsi" w:cstheme="minorHAnsi"/>
          <w:sz w:val="22"/>
          <w:szCs w:val="22"/>
        </w:rPr>
        <w:t xml:space="preserve">. </w:t>
      </w:r>
      <w:r w:rsidR="000D2F23">
        <w:rPr>
          <w:rFonts w:asciiTheme="minorHAnsi" w:hAnsiTheme="minorHAnsi" w:cstheme="minorHAnsi"/>
          <w:sz w:val="22"/>
          <w:szCs w:val="22"/>
        </w:rPr>
        <w:t>listopadu</w:t>
      </w:r>
      <w:r w:rsidRPr="00986898">
        <w:rPr>
          <w:rFonts w:asciiTheme="minorHAnsi" w:hAnsiTheme="minorHAnsi" w:cstheme="minorHAnsi"/>
          <w:sz w:val="22"/>
          <w:szCs w:val="22"/>
        </w:rPr>
        <w:t xml:space="preserve"> do 31. března a účastníkem stanovené ceny za 1 tunu posypové kamenné soli dodané na základě objednávky odeslané v tomto období</w:t>
      </w:r>
      <w:r w:rsidR="000D7522" w:rsidRPr="00986898">
        <w:rPr>
          <w:rFonts w:asciiTheme="minorHAnsi" w:hAnsiTheme="minorHAnsi" w:cstheme="minorHAnsi"/>
          <w:sz w:val="22"/>
          <w:szCs w:val="22"/>
        </w:rPr>
        <w:t>.</w:t>
      </w:r>
    </w:p>
    <w:p w14:paraId="2D712DAA" w14:textId="2FE147F0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Pro každou část Veřejné zakázky je 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 xml:space="preserve">účastník povinen 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>zpracov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at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celkov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nabídkov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 zvlášť. Pro</w:t>
      </w:r>
      <w:r w:rsidR="00F944D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D441E">
        <w:rPr>
          <w:rFonts w:asciiTheme="minorHAnsi" w:hAnsiTheme="minorHAnsi" w:cstheme="minorHAnsi"/>
          <w:b/>
          <w:bCs/>
          <w:sz w:val="22"/>
          <w:szCs w:val="22"/>
        </w:rPr>
        <w:t xml:space="preserve">vyloučení pochybností Zadavatel uvádí, že v případě, že účastník podává nabídku pro více částí Veřejné zakázky, jednotlivé celkové nabídkové ceny se nesčítají. </w:t>
      </w:r>
    </w:p>
    <w:p w14:paraId="3D6EF016" w14:textId="77777777" w:rsidR="00C52DA9" w:rsidRDefault="009D441E" w:rsidP="00C52DA9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sz w:val="22"/>
          <w:szCs w:val="22"/>
        </w:rPr>
        <w:t xml:space="preserve">Účastník je povinen ocenit všechny položky soupisu dodávek </w:t>
      </w:r>
      <w:r w:rsidRPr="008E6B8E">
        <w:rPr>
          <w:rFonts w:asciiTheme="minorHAnsi" w:hAnsiTheme="minorHAnsi" w:cstheme="minorHAnsi"/>
          <w:color w:val="00B050"/>
          <w:sz w:val="22"/>
          <w:szCs w:val="22"/>
        </w:rPr>
        <w:t xml:space="preserve">(zvýrazněné </w:t>
      </w:r>
      <w:r w:rsidR="00E06528" w:rsidRPr="008E6B8E">
        <w:rPr>
          <w:rFonts w:asciiTheme="minorHAnsi" w:hAnsiTheme="minorHAnsi" w:cstheme="minorHAnsi"/>
          <w:color w:val="00B050"/>
          <w:sz w:val="22"/>
          <w:szCs w:val="22"/>
        </w:rPr>
        <w:t>zeleně</w:t>
      </w:r>
      <w:r w:rsidRPr="008E6B8E">
        <w:rPr>
          <w:rFonts w:asciiTheme="minorHAnsi" w:hAnsiTheme="minorHAnsi" w:cstheme="minorHAnsi"/>
          <w:color w:val="00B050"/>
          <w:sz w:val="22"/>
          <w:szCs w:val="22"/>
        </w:rPr>
        <w:t xml:space="preserve">). </w:t>
      </w:r>
      <w:r w:rsidRPr="009D441E">
        <w:rPr>
          <w:rFonts w:asciiTheme="minorHAnsi" w:hAnsiTheme="minorHAnsi" w:cstheme="minorHAnsi"/>
          <w:sz w:val="22"/>
          <w:szCs w:val="22"/>
        </w:rPr>
        <w:t xml:space="preserve">V případě, že účastník neocení některou z položek soupisu dodávek, bude toto posouzeno jako nesplnění zadávacích podmínek a může být důvodem pro vyloučení účastníka ze </w:t>
      </w:r>
      <w:r w:rsidR="00C52DA9">
        <w:rPr>
          <w:rFonts w:asciiTheme="minorHAnsi" w:hAnsiTheme="minorHAnsi" w:cstheme="minorHAnsi"/>
          <w:sz w:val="22"/>
          <w:szCs w:val="22"/>
        </w:rPr>
        <w:t>Z</w:t>
      </w:r>
      <w:r w:rsidRPr="009D441E">
        <w:rPr>
          <w:rFonts w:asciiTheme="minorHAnsi" w:hAnsiTheme="minorHAnsi" w:cstheme="minorHAnsi"/>
          <w:sz w:val="22"/>
          <w:szCs w:val="22"/>
        </w:rPr>
        <w:t>adávacího řízení.</w:t>
      </w:r>
    </w:p>
    <w:p w14:paraId="75F643C8" w14:textId="5604DE0A" w:rsidR="009D441E" w:rsidRPr="009D441E" w:rsidRDefault="009D441E" w:rsidP="00C52DA9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V soupisu dodávek je obsažen pouze model pro kalkulaci nabídkové ceny pro účely hodnocení (model vycházející z důvodných předpokladů Zadavatele) – cena za dodané zboží bude hrazena dle skutečně dodaného množství (viz návrh Rámcové </w:t>
      </w:r>
      <w:r w:rsidR="00A93D3F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039339FC" w14:textId="77777777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Účastníkem oceněný soupis dodávek bude předložen jako příloha Rámcové smlouvy. </w:t>
      </w:r>
    </w:p>
    <w:p w14:paraId="4224226F" w14:textId="75CCFF00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adávacího řízení. </w:t>
      </w:r>
    </w:p>
    <w:p w14:paraId="70E9DA3C" w14:textId="44C6E8B5" w:rsidR="009D441E" w:rsidRPr="009D441E" w:rsidRDefault="009D441E" w:rsidP="00EB6428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Nabídková cena bude 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účastníkem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uvedena v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struktuře Nabídková cena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 v Kč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, výše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DPH</w:t>
      </w:r>
      <w:r w:rsidR="00EB6428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 xml:space="preserve"> v Kč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včetně DPH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2A7157" w14:textId="4733390D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Ceny za dodávky uvedené v oceněném soupisu dodávek bude možné překročit pouze v souvislosti se změnou daňových právních předpisů týkajících se DPH, a to nejvýše o částku odpovídající této legislativní změně. </w:t>
      </w:r>
    </w:p>
    <w:p w14:paraId="684AE4FA" w14:textId="77777777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Není-li zájemce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A0C848D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podle hodnotícího kritéria, kterým je dle §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114 odst. 1 ZZVZ ekonomická výhodnost nabídky. Hodnocení ekonomické výhodnosti nabídek bude dle § 114 odst. 2 ZZVZ provedeno pouze podle nejnižší nabídkové ceny.</w:t>
      </w:r>
    </w:p>
    <w:p w14:paraId="1BE28C43" w14:textId="59A9A97D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Zadavatel upozorňuje, že předmětem hodnocení bude celková 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abídková cena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, uvedená v příslušné příloze č. 1 Rámcové dohody 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>dle přílohy č. 2 a), 2 b), 2 c) nebo 2 d)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>Zadávací dokumentace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 xml:space="preserve"> v závislosti na tom, na kterou část Veřejné zakázky podává účastník svou nabídku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1CD88D6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0C1CA7EB" w:rsidR="001E567F" w:rsidRPr="001E567F" w:rsidRDefault="001B66ED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>, má se za to, že neplánuje využít poddodavatele.</w:t>
      </w:r>
    </w:p>
    <w:p w14:paraId="2A59FC40" w14:textId="77777777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proofErr w:type="gramStart"/>
      <w:r w:rsidR="008010EF">
        <w:rPr>
          <w:rFonts w:asciiTheme="minorHAnsi" w:hAnsiTheme="minorHAnsi" w:cs="Tahoma"/>
          <w:sz w:val="22"/>
          <w:szCs w:val="24"/>
        </w:rPr>
        <w:t>tvoří</w:t>
      </w:r>
      <w:proofErr w:type="gramEnd"/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3265A">
        <w:rPr>
          <w:rFonts w:asciiTheme="minorHAnsi" w:hAnsiTheme="minorHAnsi" w:cs="Tahoma"/>
          <w:sz w:val="22"/>
          <w:szCs w:val="24"/>
        </w:rPr>
        <w:t xml:space="preserve">přílohu </w:t>
      </w:r>
      <w:r w:rsidRPr="00E3265A">
        <w:rPr>
          <w:rFonts w:asciiTheme="minorHAnsi" w:hAnsiTheme="minorHAnsi" w:cs="Tahoma"/>
          <w:sz w:val="22"/>
          <w:szCs w:val="24"/>
        </w:rPr>
        <w:t xml:space="preserve">č. </w:t>
      </w:r>
      <w:r w:rsidR="002F7267" w:rsidRPr="00E3265A">
        <w:rPr>
          <w:rFonts w:asciiTheme="minorHAnsi" w:hAnsiTheme="minorHAnsi" w:cs="Tahoma"/>
          <w:sz w:val="22"/>
          <w:szCs w:val="24"/>
        </w:rPr>
        <w:t>3</w:t>
      </w:r>
      <w:r w:rsidR="0082623C" w:rsidRPr="00E3265A">
        <w:rPr>
          <w:rFonts w:asciiTheme="minorHAnsi" w:hAnsiTheme="minorHAnsi" w:cs="Tahoma"/>
          <w:sz w:val="22"/>
          <w:szCs w:val="24"/>
        </w:rPr>
        <w:t xml:space="preserve"> </w:t>
      </w:r>
      <w:r w:rsidRPr="00E3265A">
        <w:rPr>
          <w:rFonts w:asciiTheme="minorHAnsi" w:hAnsiTheme="minorHAnsi" w:cs="Tahoma"/>
          <w:sz w:val="22"/>
          <w:szCs w:val="24"/>
        </w:rPr>
        <w:t>Zadávací</w:t>
      </w:r>
      <w:r w:rsidRPr="00ED4CA5">
        <w:rPr>
          <w:rFonts w:asciiTheme="minorHAnsi" w:hAnsiTheme="minorHAnsi" w:cs="Tahoma"/>
          <w:sz w:val="22"/>
          <w:szCs w:val="24"/>
        </w:rPr>
        <w:t xml:space="preserve"> dokumentace. </w:t>
      </w:r>
    </w:p>
    <w:p w14:paraId="7213A84C" w14:textId="4A5433A8" w:rsidR="001C619F" w:rsidRPr="00057161" w:rsidRDefault="001C619F" w:rsidP="001C619F">
      <w:pPr>
        <w:pStyle w:val="Nadpis2"/>
        <w:keepNext/>
        <w:ind w:left="936" w:hanging="431"/>
        <w:rPr>
          <w:rFonts w:cs="Tahoma"/>
          <w:szCs w:val="28"/>
        </w:rPr>
      </w:pPr>
      <w:r w:rsidRPr="00057161">
        <w:rPr>
          <w:rFonts w:cs="Tahoma"/>
          <w:szCs w:val="28"/>
        </w:rPr>
        <w:t>Mezinárodní sankce</w:t>
      </w:r>
    </w:p>
    <w:p w14:paraId="7A11AE6E" w14:textId="3D7E02A2" w:rsidR="001C619F" w:rsidRDefault="001C619F" w:rsidP="001C619F">
      <w:r w:rsidRPr="006A1A86">
        <w:t xml:space="preserve">Zadavatel ve vztahu k mezinárodním sankcím požaduje, aby každý účastník garantoval, že v případě výběru jeho nabídky, uzavření </w:t>
      </w:r>
      <w:r>
        <w:t>Rámcové dohody</w:t>
      </w:r>
      <w:r w:rsidRPr="006A1A86">
        <w:t xml:space="preserve"> a plnění veřejné zakázky, nedojde k porušení právních předpisů a rozhodnutí upravujících mezinárodní sankce, kterými jsou Česká republika nebo Zadavatel vázáni. Skutečnost, že dodavatel </w:t>
      </w:r>
      <w:r w:rsidR="007007F4">
        <w:t xml:space="preserve">ani žádný z jeho poddodavatelů </w:t>
      </w:r>
      <w:r w:rsidRPr="006A1A86">
        <w:t xml:space="preserve">neporušuje tyto normy prokáže dodavatel předložením čestného prohlášení ve své nabídce, jehož vzor </w:t>
      </w:r>
      <w:proofErr w:type="gramStart"/>
      <w:r w:rsidRPr="006A1A86">
        <w:t>tvoří</w:t>
      </w:r>
      <w:proofErr w:type="gramEnd"/>
      <w:r w:rsidRPr="006A1A86">
        <w:t xml:space="preserve"> přílohu č. 6 Zadávací dokumentace.</w:t>
      </w:r>
    </w:p>
    <w:p w14:paraId="2BDFFFDD" w14:textId="2759F00A" w:rsidR="001C619F" w:rsidRDefault="00847981" w:rsidP="00847981">
      <w:pPr>
        <w:pStyle w:val="Nadpis2"/>
        <w:keepNext/>
        <w:ind w:left="936" w:hanging="431"/>
      </w:pPr>
      <w:r>
        <w:lastRenderedPageBreak/>
        <w:t>Střet zájmů</w:t>
      </w:r>
    </w:p>
    <w:p w14:paraId="2CC8EF17" w14:textId="0E4ADE89" w:rsidR="0008585E" w:rsidRDefault="0008585E" w:rsidP="0008585E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proofErr w:type="gramStart"/>
      <w:r w:rsidRPr="003F5750">
        <w:rPr>
          <w:bCs/>
          <w:lang w:eastAsia="cs-CZ"/>
        </w:rPr>
        <w:t>tvoří</w:t>
      </w:r>
      <w:proofErr w:type="gramEnd"/>
      <w:r w:rsidRPr="003F5750">
        <w:rPr>
          <w:bCs/>
          <w:lang w:eastAsia="cs-CZ"/>
        </w:rPr>
        <w:t xml:space="preserve"> přílohu č. </w:t>
      </w:r>
      <w:r>
        <w:rPr>
          <w:bCs/>
          <w:lang w:eastAsia="cs-CZ"/>
        </w:rPr>
        <w:t>7</w:t>
      </w:r>
      <w:r w:rsidRPr="003F5750">
        <w:rPr>
          <w:bCs/>
          <w:lang w:eastAsia="cs-CZ"/>
        </w:rPr>
        <w:t xml:space="preserve">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3A3F2FDF" w14:textId="33891C59" w:rsidR="00847981" w:rsidRPr="00847981" w:rsidRDefault="0008585E" w:rsidP="00057161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7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8" w:name="_Hlk51233192"/>
      <w:bookmarkEnd w:id="7"/>
      <w:proofErr w:type="gramStart"/>
      <w:r w:rsidRPr="00762E52">
        <w:rPr>
          <w:rFonts w:eastAsia="Times New Roman" w:cs="Arial"/>
          <w:bCs/>
          <w:lang w:eastAsia="cs-CZ"/>
        </w:rPr>
        <w:t>Předloží</w:t>
      </w:r>
      <w:proofErr w:type="gramEnd"/>
      <w:r w:rsidRPr="00762E52">
        <w:rPr>
          <w:rFonts w:eastAsia="Times New Roman" w:cs="Arial"/>
          <w:bCs/>
          <w:lang w:eastAsia="cs-CZ"/>
        </w:rPr>
        <w:t xml:space="preserve">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8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  <w:bookmarkStart w:id="9" w:name="_Ref18578206"/>
    </w:p>
    <w:p w14:paraId="182DA825" w14:textId="2F3682EE" w:rsidR="00C72B92" w:rsidRPr="005613E7" w:rsidRDefault="005613E7" w:rsidP="005613E7">
      <w:r>
        <w:t xml:space="preserve">Dodavatel může v souladu s § 101 ZZVZ podat nabídku na všechny čtyři části Veřejné zakázky nebo jen na jednu, dvě, tři nebo čtyři části Veřejné zakázky dle libovolného výběru. </w:t>
      </w:r>
      <w:r w:rsidRPr="005613E7">
        <w:rPr>
          <w:b/>
          <w:bCs/>
        </w:rPr>
        <w:t xml:space="preserve">V případě podání nabídky na více částí Veřejné zakázky zpracuje dodavatel nabídku pro každou část Veřejné zakázky samostatně (doklady prokazující kvalifikaci pro více částí Veřejné zakázky však </w:t>
      </w:r>
      <w:proofErr w:type="gramStart"/>
      <w:r w:rsidRPr="005613E7">
        <w:rPr>
          <w:b/>
          <w:bCs/>
        </w:rPr>
        <w:t>postačí</w:t>
      </w:r>
      <w:proofErr w:type="gramEnd"/>
      <w:r w:rsidRPr="005613E7">
        <w:rPr>
          <w:b/>
          <w:bCs/>
        </w:rPr>
        <w:t xml:space="preserve"> předložit pouze jednou)</w:t>
      </w:r>
      <w:r>
        <w:t>.</w:t>
      </w:r>
      <w:r w:rsidR="00C72B92">
        <w:t xml:space="preserve"> </w:t>
      </w:r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0" w:name="_Ref95325236"/>
      <w:r w:rsidRPr="00062A7F">
        <w:t>Požadavky na členění nabídky</w:t>
      </w:r>
      <w:bookmarkEnd w:id="9"/>
      <w:bookmarkEnd w:id="10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Default="008E01D1" w:rsidP="005613E7">
      <w:pPr>
        <w:pStyle w:val="Odrky"/>
      </w:pPr>
      <w:r>
        <w:t xml:space="preserve">Krycí list nabídky </w:t>
      </w:r>
      <w:r w:rsidRPr="00E3265A">
        <w:t xml:space="preserve">dle přílohy č. </w:t>
      </w:r>
      <w:r w:rsidR="00E452FB" w:rsidRPr="00E3265A">
        <w:t>1</w:t>
      </w:r>
      <w:r w:rsidRPr="00E3265A">
        <w:t xml:space="preserve"> Zadávací</w:t>
      </w:r>
      <w:r>
        <w:t xml:space="preserve"> dokumentace</w:t>
      </w:r>
      <w:bookmarkStart w:id="11" w:name="_Hlk95410068"/>
      <w:r>
        <w:t>;</w:t>
      </w:r>
      <w:bookmarkEnd w:id="11"/>
    </w:p>
    <w:p w14:paraId="0073418C" w14:textId="79029AB6" w:rsidR="00FF066F" w:rsidRPr="00E3265A" w:rsidRDefault="004B1B60" w:rsidP="00B547E6">
      <w:pPr>
        <w:pStyle w:val="Odrky"/>
      </w:pPr>
      <w:r>
        <w:t>Doklady k prokázání kvalifikace</w:t>
      </w:r>
      <w:r w:rsidR="005613E7" w:rsidRPr="005613E7">
        <w:t>;</w:t>
      </w:r>
    </w:p>
    <w:p w14:paraId="6BB43F3B" w14:textId="698909AB" w:rsidR="00C45D37" w:rsidRDefault="003436EA" w:rsidP="005613E7">
      <w:pPr>
        <w:pStyle w:val="Odrky"/>
      </w:pPr>
      <w:r>
        <w:t>Řádně doplněný návrh Rámcové dohody, jejíž závazný vzor je uveden v příloze 2 a) až 2 d)</w:t>
      </w:r>
      <w:r w:rsidR="00B63269">
        <w:t xml:space="preserve"> Zadávací dokumentace podle toho, na kterou část veřejné zakázky účastník podává nabídku</w:t>
      </w:r>
      <w:r w:rsidR="005613E7">
        <w:t>;</w:t>
      </w:r>
    </w:p>
    <w:p w14:paraId="4944D5AA" w14:textId="52B6362F" w:rsidR="00B63269" w:rsidRDefault="00B63269" w:rsidP="005613E7">
      <w:pPr>
        <w:pStyle w:val="Odrky"/>
      </w:pPr>
      <w:r>
        <w:t>Cenová nabídka dodavatele, zpracovaná</w:t>
      </w:r>
      <w:r w:rsidR="00EB6D7E">
        <w:t xml:space="preserve"> v souladu s čl. 6 Zadávací dokumentace, která </w:t>
      </w:r>
      <w:proofErr w:type="gramStart"/>
      <w:r w:rsidR="00EB6D7E">
        <w:t>tvoří</w:t>
      </w:r>
      <w:proofErr w:type="gramEnd"/>
      <w:r w:rsidR="00EB6D7E">
        <w:t xml:space="preserve"> přílohu č. 1 příslušného závazného vzoru Rámcové dohody dle přílohy 2 a) až 2 d)</w:t>
      </w:r>
      <w:r w:rsidR="00AE4631">
        <w:t xml:space="preserve"> Zadávací dokumentace podle toho, na kterou část veřejné zakázky účastník podává nabídku;</w:t>
      </w:r>
    </w:p>
    <w:p w14:paraId="3349908D" w14:textId="39DA4CC8" w:rsidR="00AF5DA8" w:rsidRDefault="00AF5DA8" w:rsidP="005613E7">
      <w:pPr>
        <w:pStyle w:val="Odrky"/>
      </w:pPr>
      <w:r>
        <w:t>Čestné prohlášení ve vztahu k mezinárodním sankcím dle přílohy č. 6 Zadávací dokumentace;</w:t>
      </w:r>
    </w:p>
    <w:p w14:paraId="5B822BDF" w14:textId="72233B40" w:rsidR="00EA194F" w:rsidRPr="00C45D37" w:rsidRDefault="00EA194F" w:rsidP="005613E7">
      <w:pPr>
        <w:pStyle w:val="Odrky"/>
      </w:pPr>
      <w:r>
        <w:lastRenderedPageBreak/>
        <w:t>Čestné prohlášení o neexistenci střetu zájmů dle přílohy č. 7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DA0C4C7" w14:textId="6D820F01" w:rsidR="001F7191" w:rsidRPr="001F7191" w:rsidRDefault="009A65E8" w:rsidP="001F7191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AD7F1D">
      <w:pPr>
        <w:pStyle w:val="Nadpis2"/>
        <w:keepNext/>
        <w:ind w:left="93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2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602C4AC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C72B92">
        <w:rPr>
          <w:sz w:val="22"/>
          <w:lang w:eastAsia="cs-CZ"/>
        </w:rPr>
        <w:fldChar w:fldCharType="begin"/>
      </w:r>
      <w:r w:rsidR="00C72B92">
        <w:rPr>
          <w:sz w:val="22"/>
          <w:lang w:eastAsia="cs-CZ"/>
        </w:rPr>
        <w:instrText xml:space="preserve"> REF _Ref95325236 \r \h </w:instrText>
      </w:r>
      <w:r w:rsidR="00C72B92">
        <w:rPr>
          <w:sz w:val="22"/>
          <w:lang w:eastAsia="cs-CZ"/>
        </w:rPr>
      </w:r>
      <w:r w:rsidR="00C72B92">
        <w:rPr>
          <w:sz w:val="22"/>
          <w:lang w:eastAsia="cs-CZ"/>
        </w:rPr>
        <w:fldChar w:fldCharType="separate"/>
      </w:r>
      <w:r w:rsidR="00C72B92">
        <w:rPr>
          <w:sz w:val="22"/>
          <w:lang w:eastAsia="cs-CZ"/>
        </w:rPr>
        <w:t>9.3</w:t>
      </w:r>
      <w:r w:rsidR="00C72B92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35ECC19E" w14:textId="33ACDA47" w:rsidR="00B547E6" w:rsidRPr="00760B83" w:rsidRDefault="00735B49" w:rsidP="00B547E6">
      <w:pPr>
        <w:rPr>
          <w:rFonts w:eastAsia="Times New Roman" w:cs="Arial"/>
          <w:b/>
          <w:bCs/>
          <w:lang w:eastAsia="cs-CZ"/>
        </w:rPr>
      </w:pPr>
      <w:r>
        <w:rPr>
          <w:b/>
          <w:bCs/>
        </w:rPr>
        <w:t xml:space="preserve">Lhůta pro podání nabídek </w:t>
      </w:r>
      <w:proofErr w:type="gramStart"/>
      <w:r>
        <w:rPr>
          <w:b/>
          <w:bCs/>
        </w:rPr>
        <w:t>končí</w:t>
      </w:r>
      <w:proofErr w:type="gramEnd"/>
      <w:r>
        <w:rPr>
          <w:b/>
          <w:bCs/>
        </w:rPr>
        <w:t xml:space="preserve"> dnem uvedeným v uveřejněném Oznámení o zahájení zadávacího řízení ve</w:t>
      </w:r>
      <w:r w:rsidR="00C62055">
        <w:rPr>
          <w:b/>
          <w:bCs/>
        </w:rPr>
        <w:t> </w:t>
      </w:r>
      <w:r>
        <w:rPr>
          <w:b/>
          <w:bCs/>
        </w:rPr>
        <w:t>Věstníku veřejných zakázek. Všechny nabídky musí být doručeny Zadavateli před skončením lhůty pro</w:t>
      </w:r>
      <w:r w:rsidR="00C62055">
        <w:rPr>
          <w:b/>
          <w:bCs/>
        </w:rPr>
        <w:t> </w:t>
      </w:r>
      <w:r>
        <w:rPr>
          <w:b/>
          <w:bCs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2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2D30A50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02569">
        <w:rPr>
          <w:rFonts w:eastAsia="Times New Roman" w:cs="Arial"/>
          <w:bCs/>
          <w:lang w:eastAsia="cs-CZ"/>
        </w:rPr>
        <w:t xml:space="preserve">příslušnou část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02569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02569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</w:t>
      </w:r>
      <w:r w:rsidR="00002569">
        <w:rPr>
          <w:rFonts w:eastAsia="Times New Roman" w:cs="Arial"/>
          <w:bCs/>
          <w:lang w:eastAsia="cs-CZ"/>
        </w:rPr>
        <w:t> 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 </w:t>
      </w:r>
      <w:r w:rsidR="00800934" w:rsidRPr="00800934">
        <w:rPr>
          <w:rFonts w:eastAsia="Times New Roman" w:cs="Arial"/>
          <w:bCs/>
          <w:lang w:eastAsia="cs-CZ"/>
        </w:rPr>
        <w:lastRenderedPageBreak/>
        <w:t>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7E3F0976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F27E75" w:rsidRPr="00C72B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55147728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 xml:space="preserve">nejpozději </w:t>
      </w:r>
      <w:r w:rsidR="00EE728C">
        <w:rPr>
          <w:rFonts w:cs="Arial"/>
          <w:b/>
          <w:bCs/>
        </w:rPr>
        <w:t>8</w:t>
      </w:r>
      <w:r w:rsidRPr="00700F7F">
        <w:rPr>
          <w:rFonts w:cs="Arial"/>
          <w:b/>
          <w:bCs/>
        </w:rPr>
        <w:t xml:space="preserve"> pracovních dnů</w:t>
      </w:r>
      <w:r w:rsidRPr="00700F7F">
        <w:rPr>
          <w:rFonts w:cs="Arial"/>
        </w:rPr>
        <w:t xml:space="preserve"> před uplynutím lhůty pro podání nabídek. Pokud nebude žádost doručena alespoň </w:t>
      </w:r>
      <w:r w:rsidR="00EE728C">
        <w:rPr>
          <w:rFonts w:cs="Arial"/>
        </w:rPr>
        <w:t>8</w:t>
      </w:r>
      <w:r w:rsidRPr="00700F7F">
        <w:rPr>
          <w:rFonts w:cs="Arial"/>
        </w:rPr>
        <w:t xml:space="preserve">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AC10DCD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="007F1BE1">
        <w:rPr>
          <w:rFonts w:cs="Arial"/>
          <w:b/>
          <w:bCs/>
        </w:rPr>
        <w:t>do 3pracovních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6B07FF3C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CD780EE" w14:textId="47F1BFC6" w:rsidR="00824715" w:rsidRPr="00E20E5E" w:rsidRDefault="00824715" w:rsidP="00E20E5E">
      <w:r>
        <w:t xml:space="preserve">Zadavatel si zároveň od vybraného dodavatele vyžádá předložení příloh č. </w:t>
      </w:r>
      <w:proofErr w:type="gramStart"/>
      <w:r>
        <w:t>2 – 5</w:t>
      </w:r>
      <w:proofErr w:type="gramEnd"/>
      <w:r>
        <w:t xml:space="preserve"> Rámcové dohody v souladu s čl. 5 Zadávací dokumentace (pokud je již nebude mít k dispozici). 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lastRenderedPageBreak/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7A45BD96" w:rsidR="004C51F1" w:rsidRPr="001B4FC6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7 ZZVZ </w:t>
      </w:r>
      <w:proofErr w:type="gramStart"/>
      <w:r w:rsidRPr="00732633">
        <w:t>vyloučí</w:t>
      </w:r>
      <w:proofErr w:type="gramEnd"/>
      <w:r w:rsidRPr="00732633">
        <w:t xml:space="preserve">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26035694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146F08">
        <w:t>dodávek</w:t>
      </w:r>
      <w:r w:rsidR="00C86015">
        <w:t>;</w:t>
      </w:r>
    </w:p>
    <w:p w14:paraId="4DC5E8BB" w14:textId="5B54B68D" w:rsidR="00B547E6" w:rsidRPr="00DD5531" w:rsidRDefault="00B27CC7" w:rsidP="00696DE6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B77623">
        <w:t>Rámcovou dohodu</w:t>
      </w:r>
      <w:r w:rsidR="00B547E6" w:rsidRPr="00DD5531">
        <w:t xml:space="preserve"> včetně jejích příloh a dodatků a skutečně uhrazené ceny na profilu Zadavatele v souladu s § 219 ZZVZ a uveřejnit uzavřenou </w:t>
      </w:r>
      <w:r w:rsidR="00B77623">
        <w:t>Rámcovou dohodu</w:t>
      </w:r>
      <w:r w:rsidR="00B547E6"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</w:t>
      </w:r>
      <w:r w:rsidR="00B77623">
        <w:t> </w:t>
      </w:r>
      <w:r w:rsidR="00B547E6" w:rsidRPr="00DD5531">
        <w:t>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 xml:space="preserve">adávacího řízení, který je akciovou společností nebo má právní formu obdobnou akciové společnosti a nemá vydány výlučně zaknihované akcie. Zadavatel u vybraného dodavatele </w:t>
      </w:r>
      <w:proofErr w:type="gramStart"/>
      <w:r w:rsidR="00B547E6" w:rsidRPr="00DD5531">
        <w:t>ověří</w:t>
      </w:r>
      <w:proofErr w:type="gramEnd"/>
      <w:r w:rsidR="00B547E6" w:rsidRPr="00DD5531">
        <w:t xml:space="preserve">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</w:t>
      </w:r>
      <w:proofErr w:type="gramStart"/>
      <w:r w:rsidR="00B547E6" w:rsidRPr="00DD5531">
        <w:t>vyloučí</w:t>
      </w:r>
      <w:proofErr w:type="gramEnd"/>
      <w:r w:rsidR="00B547E6" w:rsidRPr="00DD5531">
        <w:t xml:space="preserve">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6ECB3F2A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>
        <w:t>S</w:t>
      </w:r>
      <w:r w:rsidRPr="009D57F3">
        <w:t xml:space="preserve">mlouvy.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3" w:name="_Toc336123834"/>
      <w:bookmarkStart w:id="14" w:name="_Toc336204361"/>
      <w:bookmarkStart w:id="15" w:name="_Toc417051937"/>
      <w:bookmarkStart w:id="16" w:name="_Toc421037329"/>
      <w:bookmarkStart w:id="17" w:name="_Toc440404456"/>
      <w:bookmarkStart w:id="18" w:name="_Toc496803145"/>
      <w:bookmarkStart w:id="19" w:name="_Toc526266177"/>
      <w:bookmarkStart w:id="20" w:name="_Toc15986164"/>
      <w:bookmarkStart w:id="21" w:name="_Toc61777722"/>
      <w:bookmarkStart w:id="22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 xml:space="preserve">součást této Zadávací dokumentace </w:t>
      </w:r>
      <w:proofErr w:type="gramStart"/>
      <w:r w:rsidRPr="00E936E6">
        <w:rPr>
          <w:rFonts w:cs="Calibri"/>
        </w:rPr>
        <w:t>tvoří</w:t>
      </w:r>
      <w:proofErr w:type="gramEnd"/>
      <w:r w:rsidRPr="00E936E6">
        <w:rPr>
          <w:rFonts w:cs="Calibri"/>
        </w:rPr>
        <w:t xml:space="preserve"> následující přílohy:</w:t>
      </w:r>
    </w:p>
    <w:p w14:paraId="48BFBFDD" w14:textId="49374A03" w:rsidR="00C07A40" w:rsidRPr="00E936E6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3" w:name="_Ref380758048"/>
      <w:r w:rsidRPr="00E936E6">
        <w:t>Krycí list nabídky</w:t>
      </w:r>
    </w:p>
    <w:p w14:paraId="22A842A7" w14:textId="2B3938D8" w:rsidR="00637BA7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E936E6">
        <w:lastRenderedPageBreak/>
        <w:t>Z</w:t>
      </w:r>
      <w:r w:rsidR="00901C7A" w:rsidRPr="00E936E6">
        <w:t xml:space="preserve">ávazný návrh </w:t>
      </w:r>
      <w:r w:rsidR="00747EA2">
        <w:t>Rámcové dohody:</w:t>
      </w:r>
    </w:p>
    <w:p w14:paraId="4D4688F7" w14:textId="14B98A34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a) </w:t>
      </w:r>
      <w:r w:rsidRPr="00E936E6">
        <w:t xml:space="preserve">Závazný návrh </w:t>
      </w:r>
      <w:r>
        <w:t>Rámcové dohody pro část 1</w:t>
      </w:r>
    </w:p>
    <w:p w14:paraId="2CF7A28A" w14:textId="445917D8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b) </w:t>
      </w:r>
      <w:r w:rsidRPr="00E936E6">
        <w:t xml:space="preserve">Závazný návrh </w:t>
      </w:r>
      <w:r>
        <w:t>Rámcové dohody pro část 2</w:t>
      </w:r>
    </w:p>
    <w:p w14:paraId="28F48D04" w14:textId="3BAF7603" w:rsidR="00747EA2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r>
        <w:t xml:space="preserve">2 c) </w:t>
      </w:r>
      <w:r w:rsidRPr="00E936E6">
        <w:t xml:space="preserve">Závazný návrh </w:t>
      </w:r>
      <w:r>
        <w:t>Rámcové dohody pro část 3</w:t>
      </w:r>
    </w:p>
    <w:p w14:paraId="554F1C18" w14:textId="2D74C92B" w:rsidR="00747EA2" w:rsidRPr="00747EA2" w:rsidRDefault="00747EA2" w:rsidP="00747EA2">
      <w:pPr>
        <w:pStyle w:val="slovn"/>
        <w:numPr>
          <w:ilvl w:val="0"/>
          <w:numId w:val="0"/>
        </w:numPr>
        <w:spacing w:after="0"/>
        <w:ind w:left="851"/>
        <w:rPr>
          <w:b/>
          <w:bCs/>
        </w:rPr>
      </w:pPr>
      <w:r>
        <w:t xml:space="preserve">2 d) </w:t>
      </w:r>
      <w:r w:rsidRPr="00E936E6">
        <w:t xml:space="preserve">Závazný návrh </w:t>
      </w:r>
      <w:r>
        <w:t>Rámcové dohody pro část 4</w:t>
      </w:r>
    </w:p>
    <w:bookmarkEnd w:id="23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6576B46A" w:rsidR="0082623C" w:rsidRDefault="0082623C" w:rsidP="001A7A97">
      <w:pPr>
        <w:pStyle w:val="slovn"/>
        <w:spacing w:after="0"/>
      </w:pPr>
      <w:r w:rsidRPr="00E936E6">
        <w:t>Požadavky na elektronickou komunikaci JOSEPHINE</w:t>
      </w:r>
    </w:p>
    <w:p w14:paraId="15F441D8" w14:textId="49686F85" w:rsidR="00363C48" w:rsidRDefault="00CF5D1C" w:rsidP="001A7A97">
      <w:pPr>
        <w:pStyle w:val="slovn"/>
        <w:spacing w:after="0"/>
      </w:pPr>
      <w:r>
        <w:t>Čestné prohlášení ve vztahu k mezinárodním sankcím</w:t>
      </w:r>
    </w:p>
    <w:p w14:paraId="42D5A308" w14:textId="416FB93A" w:rsidR="00962370" w:rsidRPr="00E936E6" w:rsidRDefault="00962370" w:rsidP="001A7A97">
      <w:pPr>
        <w:pStyle w:val="slovn"/>
        <w:spacing w:after="0"/>
      </w:pPr>
      <w:r>
        <w:t>Čestné prohlášení o neexistenci střetu zájmů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2477278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4" w:name="_Hlk51231334"/>
      <w:bookmarkStart w:id="25" w:name="_Hlk51233900"/>
      <w:r>
        <w:rPr>
          <w:rFonts w:ascii="Calibri" w:eastAsia="Calibri" w:hAnsi="Calibri" w:cs="Arial"/>
        </w:rPr>
        <w:t xml:space="preserve">V Jablonci nad Nisou </w:t>
      </w:r>
      <w:bookmarkEnd w:id="24"/>
    </w:p>
    <w:bookmarkEnd w:id="25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6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6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057161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 xml:space="preserve">Ing. </w:t>
            </w:r>
            <w:r w:rsidR="00011F56" w:rsidRPr="00057161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057161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057161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57161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171C84AF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B9EF0D" w14:textId="3C1AEB2A" w:rsidR="00756069" w:rsidRDefault="00756069" w:rsidP="00756069">
      <w:pPr>
        <w:rPr>
          <w:lang w:eastAsia="cs-CZ"/>
        </w:rPr>
      </w:pPr>
    </w:p>
    <w:p w14:paraId="2FEAB052" w14:textId="17F42813" w:rsidR="00506EC1" w:rsidRDefault="002D52AA" w:rsidP="00506EC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06EC1" w14:paraId="31472269" w14:textId="77777777" w:rsidTr="005B70B8">
        <w:tc>
          <w:tcPr>
            <w:tcW w:w="2977" w:type="dxa"/>
            <w:shd w:val="clear" w:color="auto" w:fill="auto"/>
            <w:vAlign w:val="center"/>
          </w:tcPr>
          <w:p w14:paraId="597B143A" w14:textId="0B8D9072" w:rsidR="00506EC1" w:rsidRPr="000E7D16" w:rsidRDefault="002D52AA" w:rsidP="005B70B8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1C3D820" w14:textId="77777777" w:rsidR="00506EC1" w:rsidRPr="001A50E0" w:rsidRDefault="00506EC1" w:rsidP="005B70B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6FBC8FEF" w14:textId="77777777" w:rsidR="00506EC1" w:rsidRPr="00756069" w:rsidRDefault="00506EC1" w:rsidP="00756069">
      <w:pPr>
        <w:rPr>
          <w:lang w:eastAsia="cs-CZ"/>
        </w:rPr>
      </w:pP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0ECB72D4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 xml:space="preserve">na uzavření smlouvy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="00146F08" w:rsidRPr="00146F08">
        <w:rPr>
          <w:rFonts w:eastAsia="Times New Roman" w:cs="Arial"/>
          <w:i/>
          <w:iCs/>
          <w:lang w:eastAsia="cs-CZ"/>
        </w:rPr>
        <w:t>DODÁVKA PRŮMYSLOVÉ KAMENNÉ SOLI – OKRES LIBEREC, ČESKÁ LÍPA, SEMILY, JABLONEC NAD NISOU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 xml:space="preserve">závazný návrh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 xml:space="preserve">, který je obsažen </w:t>
      </w:r>
      <w:r w:rsidR="00F27E75" w:rsidRPr="00AB1A88">
        <w:rPr>
          <w:rFonts w:eastAsia="Times New Roman" w:cs="Arial"/>
          <w:lang w:eastAsia="cs-CZ"/>
        </w:rPr>
        <w:t>v příloze č. 2 zadávací dokumentace</w:t>
      </w:r>
      <w:r w:rsidR="00F27E75">
        <w:rPr>
          <w:rFonts w:eastAsia="Times New Roman" w:cs="Arial"/>
          <w:lang w:eastAsia="cs-CZ"/>
        </w:rPr>
        <w:t>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proofErr w:type="gramStart"/>
      <w:r w:rsidRPr="00FE753A">
        <w:rPr>
          <w:rFonts w:cs="Arial"/>
          <w:b/>
          <w:szCs w:val="20"/>
          <w:highlight w:val="green"/>
        </w:rPr>
        <w:t>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 w:rsidRPr="00FE753A">
        <w:rPr>
          <w:rFonts w:cs="Arial"/>
          <w:szCs w:val="20"/>
          <w:highlight w:val="green"/>
        </w:rPr>
        <w:t xml:space="preserve">účastníka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proofErr w:type="gramStart"/>
      <w:r w:rsidRPr="00FE753A">
        <w:rPr>
          <w:rFonts w:cs="Arial"/>
          <w:szCs w:val="20"/>
          <w:highlight w:val="green"/>
        </w:rPr>
        <w:t xml:space="preserve">oprávnění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63B7563E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E753A">
        <w:rPr>
          <w:rFonts w:cstheme="minorHAnsi"/>
          <w:b/>
          <w:bCs/>
        </w:rPr>
        <w:t>Rámcové dohody</w:t>
      </w:r>
    </w:p>
    <w:p w14:paraId="506CCF79" w14:textId="31A26C28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a) </w:t>
      </w:r>
      <w:r>
        <w:rPr>
          <w:rFonts w:cstheme="minorHAnsi"/>
        </w:rPr>
        <w:t>Závazný návrh Rámcové dohody pro část 1</w:t>
      </w:r>
    </w:p>
    <w:p w14:paraId="3F1C138C" w14:textId="27A9C949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b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2</w:t>
      </w:r>
    </w:p>
    <w:p w14:paraId="1BA9673A" w14:textId="6D2A2837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c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3</w:t>
      </w:r>
    </w:p>
    <w:p w14:paraId="13DB5DB8" w14:textId="44D4DF83" w:rsidR="00FE753A" w:rsidRP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d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>Závazný návrh Rámcové dohody pro část 4</w:t>
      </w:r>
    </w:p>
    <w:p w14:paraId="367631D7" w14:textId="223DB93C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</w:t>
      </w:r>
      <w:r w:rsidR="00FE753A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dokument</w:t>
      </w:r>
      <w:r w:rsidR="00FE753A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>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1E19D028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E9508A">
        <w:t xml:space="preserve">části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="00E9508A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7777777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77777777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5A6A" w:rsidRPr="00A324F6" w14:paraId="5898B32D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CD6DFA6" w14:textId="4A9117DC" w:rsidR="00DE5A6A" w:rsidRPr="00A324F6" w:rsidRDefault="00DE5A6A" w:rsidP="00DE5A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1A4EB594" w14:textId="70EE0699" w:rsidR="00DE5A6A" w:rsidRPr="00A558E9" w:rsidRDefault="00DE5A6A" w:rsidP="00DE5A6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27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27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Doba  poskytování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50506C4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C6B96">
        <w:rPr>
          <w:rFonts w:cstheme="minorHAnsi"/>
        </w:rPr>
        <w:t>s</w:t>
      </w:r>
      <w:r>
        <w:rPr>
          <w:rFonts w:cstheme="minorHAnsi"/>
        </w:rPr>
        <w:t>mlouvy</w:t>
      </w:r>
      <w:r w:rsidR="005C6B96">
        <w:rPr>
          <w:rFonts w:cstheme="minorHAnsi"/>
        </w:rPr>
        <w:t xml:space="preserve"> o dílo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1, 2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0A34FD4E" w:rsidR="00CF5D1C" w:rsidRDefault="00CF5D1C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D5F3337" w14:textId="77777777" w:rsidR="00636F0B" w:rsidRDefault="00636F0B" w:rsidP="00636F0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283C9E72" w14:textId="77777777" w:rsidR="00636F0B" w:rsidRDefault="00636F0B" w:rsidP="00636F0B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97509C" w14:textId="77777777" w:rsidR="00636F0B" w:rsidRDefault="00636F0B" w:rsidP="00636F0B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B26ABE9" w14:textId="77777777" w:rsidR="00636F0B" w:rsidRPr="005A0818" w:rsidRDefault="00636F0B" w:rsidP="00636F0B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36F0B" w:rsidRPr="00A324F6" w14:paraId="7CD9E6E2" w14:textId="77777777" w:rsidTr="008A44D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08D4B1" w14:textId="77777777" w:rsidR="00636F0B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</w:p>
          <w:p w14:paraId="2FD4414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636F0B" w:rsidRPr="00A324F6" w14:paraId="0D5D5982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4E7B69F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9DA204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C573AE6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513F92F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F6C7AF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3B66390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97B577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BD7DFEC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7A446B2A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716447C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C4E133A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58B84AE7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DD014F5" w14:textId="77777777" w:rsidR="00636F0B" w:rsidRPr="00A324F6" w:rsidRDefault="00636F0B" w:rsidP="008A44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22C0C7A8" w14:textId="77777777" w:rsidR="00636F0B" w:rsidRPr="00A558E9" w:rsidRDefault="00636F0B" w:rsidP="008A44D0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11E55B6" w14:textId="77777777" w:rsidR="00636F0B" w:rsidRPr="00A324F6" w:rsidRDefault="00636F0B" w:rsidP="00636F0B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3CB0021" w14:textId="77777777" w:rsidR="00636F0B" w:rsidRDefault="00636F0B" w:rsidP="00636F0B">
      <w:pPr>
        <w:autoSpaceDE w:val="0"/>
        <w:rPr>
          <w:rFonts w:cstheme="minorHAnsi"/>
          <w:bCs/>
        </w:rPr>
      </w:pPr>
    </w:p>
    <w:p w14:paraId="4DD0EA19" w14:textId="77777777" w:rsidR="00636F0B" w:rsidRPr="005B5117" w:rsidRDefault="00636F0B" w:rsidP="00636F0B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2B1A183" w14:textId="77777777" w:rsidR="00636F0B" w:rsidRPr="005B5117" w:rsidRDefault="00636F0B" w:rsidP="00636F0B">
      <w:pPr>
        <w:autoSpaceDE w:val="0"/>
        <w:rPr>
          <w:rFonts w:cstheme="minorHAnsi"/>
          <w:bCs/>
        </w:rPr>
      </w:pPr>
    </w:p>
    <w:p w14:paraId="538E1606" w14:textId="77777777" w:rsidR="00636F0B" w:rsidRPr="005B5117" w:rsidRDefault="00636F0B" w:rsidP="00636F0B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0CEFD28D" w14:textId="77777777" w:rsidR="00636F0B" w:rsidRPr="005B5117" w:rsidRDefault="00636F0B" w:rsidP="00636F0B">
      <w:pPr>
        <w:autoSpaceDE w:val="0"/>
        <w:rPr>
          <w:rFonts w:cstheme="minorHAnsi"/>
          <w:bCs/>
          <w:highlight w:val="yellow"/>
        </w:rPr>
      </w:pPr>
    </w:p>
    <w:p w14:paraId="6372C5D7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51CB141" w14:textId="77777777" w:rsidR="00636F0B" w:rsidRPr="005B5117" w:rsidRDefault="00636F0B" w:rsidP="00636F0B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8C8F6E2" w14:textId="77777777" w:rsidR="00636F0B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0B427F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2A6F510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0B8563C0" w14:textId="52FA0E0F" w:rsidR="0036301E" w:rsidRDefault="00636F0B" w:rsidP="00636F0B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proofErr w:type="gramStart"/>
      <w:r w:rsidRPr="005B5117">
        <w:rPr>
          <w:rFonts w:cstheme="minorHAnsi"/>
          <w:bCs/>
          <w:highlight w:val="green"/>
        </w:rPr>
        <w:t>DODAVATEL - Jméno</w:t>
      </w:r>
      <w:proofErr w:type="gramEnd"/>
      <w:r w:rsidRPr="005B5117">
        <w:rPr>
          <w:rFonts w:cstheme="minorHAnsi"/>
          <w:bCs/>
          <w:highlight w:val="green"/>
        </w:rPr>
        <w:t xml:space="preserve"> oprávněné osoby / označení funkce</w:t>
      </w:r>
      <w:r w:rsidRPr="005B5117">
        <w:rPr>
          <w:rFonts w:cstheme="minorHAnsi"/>
          <w:bCs/>
        </w:rPr>
        <w:t>]</w:t>
      </w:r>
    </w:p>
    <w:p w14:paraId="5DFA2BB1" w14:textId="77777777" w:rsidR="0036301E" w:rsidRDefault="0036301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2722148" w14:textId="171C4A45" w:rsidR="0036301E" w:rsidRDefault="0036301E" w:rsidP="0036301E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7</w:t>
      </w:r>
    </w:p>
    <w:p w14:paraId="7F739694" w14:textId="77777777" w:rsidR="0036301E" w:rsidRDefault="0036301E" w:rsidP="0036301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10649A4A" w14:textId="77777777" w:rsidR="0036301E" w:rsidRDefault="0036301E" w:rsidP="0036301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E7FB95C" w14:textId="5AA5FBBC" w:rsidR="0036301E" w:rsidRPr="005A0818" w:rsidRDefault="0036301E" w:rsidP="0036301E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301E" w:rsidRPr="00A324F6" w14:paraId="25C10108" w14:textId="77777777" w:rsidTr="00EE6C7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4F6EC45" w14:textId="77777777" w:rsidR="0036301E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</w:p>
          <w:p w14:paraId="0FD2D1A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301E" w:rsidRPr="00A324F6" w14:paraId="4D26D5CA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785146D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1171253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1F0F546E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5E485D7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AEF72AF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55C41FC2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2A26C3EC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3704E9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6CF7D31B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0032965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457F250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A6AB04F" w14:textId="77777777" w:rsidR="0036301E" w:rsidRPr="00A324F6" w:rsidRDefault="0036301E" w:rsidP="0036301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9FAD07D" w14:textId="77777777" w:rsidR="0036301E" w:rsidRDefault="0036301E" w:rsidP="0036301E">
      <w:pPr>
        <w:autoSpaceDE w:val="0"/>
        <w:rPr>
          <w:rFonts w:cstheme="minorHAnsi"/>
          <w:bCs/>
        </w:rPr>
      </w:pPr>
    </w:p>
    <w:p w14:paraId="561D4D1C" w14:textId="77777777" w:rsidR="0036301E" w:rsidRPr="005B5117" w:rsidRDefault="0036301E" w:rsidP="0036301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D24151F" w14:textId="77777777" w:rsidR="0036301E" w:rsidRPr="005B5117" w:rsidRDefault="0036301E" w:rsidP="0036301E">
      <w:pPr>
        <w:autoSpaceDE w:val="0"/>
        <w:rPr>
          <w:rFonts w:cstheme="minorHAnsi"/>
          <w:bCs/>
        </w:rPr>
      </w:pPr>
    </w:p>
    <w:p w14:paraId="2C4B19F5" w14:textId="77777777" w:rsidR="0036301E" w:rsidRPr="005B5117" w:rsidRDefault="0036301E" w:rsidP="0036301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582FA1B9" w14:textId="77777777" w:rsidR="0036301E" w:rsidRPr="005B5117" w:rsidRDefault="0036301E" w:rsidP="0036301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365C0841" w14:textId="77777777" w:rsidR="0036301E" w:rsidRPr="00A324F6" w:rsidRDefault="0036301E" w:rsidP="0036301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3B57B7C" w14:textId="77777777" w:rsidR="0036301E" w:rsidRPr="00A324F6" w:rsidRDefault="0036301E" w:rsidP="0036301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644EFDAA" w14:textId="77777777" w:rsidR="0036301E" w:rsidRDefault="0036301E" w:rsidP="0036301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6656BF" w14:textId="77777777" w:rsidR="0036301E" w:rsidRPr="00F71239" w:rsidRDefault="0036301E" w:rsidP="0036301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DE64BD7" w14:textId="77777777" w:rsidR="00B547E6" w:rsidRPr="0070290F" w:rsidRDefault="00B547E6" w:rsidP="0070290F">
      <w:pPr>
        <w:spacing w:after="200"/>
        <w:jc w:val="left"/>
        <w:rPr>
          <w:rFonts w:cstheme="minorHAnsi"/>
        </w:rPr>
      </w:pPr>
    </w:p>
    <w:sectPr w:rsidR="00B547E6" w:rsidRPr="0070290F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3F07" w14:textId="77777777" w:rsidR="00C50CB8" w:rsidRDefault="00C50CB8" w:rsidP="00AB5244">
      <w:r>
        <w:separator/>
      </w:r>
    </w:p>
  </w:endnote>
  <w:endnote w:type="continuationSeparator" w:id="0">
    <w:p w14:paraId="265AAB85" w14:textId="77777777" w:rsidR="00C50CB8" w:rsidRDefault="00C50CB8" w:rsidP="00AB5244">
      <w:r>
        <w:continuationSeparator/>
      </w:r>
    </w:p>
  </w:endnote>
  <w:endnote w:type="continuationNotice" w:id="1">
    <w:p w14:paraId="75B33FDB" w14:textId="77777777" w:rsidR="00C50CB8" w:rsidRDefault="00C50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86F9" w14:textId="77777777" w:rsidR="00C50CB8" w:rsidRDefault="00C50CB8" w:rsidP="00AB5244">
      <w:r>
        <w:separator/>
      </w:r>
    </w:p>
  </w:footnote>
  <w:footnote w:type="continuationSeparator" w:id="0">
    <w:p w14:paraId="45DDDBC8" w14:textId="77777777" w:rsidR="00C50CB8" w:rsidRDefault="00C50CB8" w:rsidP="00AB5244">
      <w:r>
        <w:continuationSeparator/>
      </w:r>
    </w:p>
  </w:footnote>
  <w:footnote w:type="continuationNotice" w:id="1">
    <w:p w14:paraId="60D6AA01" w14:textId="77777777" w:rsidR="00C50CB8" w:rsidRDefault="00C50CB8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</w:t>
      </w:r>
      <w:proofErr w:type="gramStart"/>
      <w:r w:rsidR="003F1294" w:rsidRPr="003F1294">
        <w:rPr>
          <w:sz w:val="16"/>
          <w:szCs w:val="16"/>
        </w:rPr>
        <w:t>slouží</w:t>
      </w:r>
      <w:proofErr w:type="gramEnd"/>
      <w:r w:rsidR="003F1294" w:rsidRPr="003F1294">
        <w:rPr>
          <w:sz w:val="16"/>
          <w:szCs w:val="16"/>
        </w:rPr>
        <w:t xml:space="preserve">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62E07"/>
    <w:multiLevelType w:val="hybridMultilevel"/>
    <w:tmpl w:val="FCA75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6BCA8"/>
    <w:multiLevelType w:val="hybridMultilevel"/>
    <w:tmpl w:val="AEDF3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EA028C"/>
    <w:multiLevelType w:val="hybridMultilevel"/>
    <w:tmpl w:val="D0B66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964E6"/>
    <w:multiLevelType w:val="hybridMultilevel"/>
    <w:tmpl w:val="37D66536"/>
    <w:lvl w:ilvl="0" w:tplc="235CD412">
      <w:start w:val="1"/>
      <w:numFmt w:val="lowerLetter"/>
      <w:lvlText w:val="%1)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90EDC0"/>
    <w:multiLevelType w:val="hybridMultilevel"/>
    <w:tmpl w:val="F0506C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1759C"/>
    <w:multiLevelType w:val="hybridMultilevel"/>
    <w:tmpl w:val="0EF06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BBB1D"/>
    <w:multiLevelType w:val="hybridMultilevel"/>
    <w:tmpl w:val="A97367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A5E1ED"/>
    <w:multiLevelType w:val="hybridMultilevel"/>
    <w:tmpl w:val="E7A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7511"/>
    <w:multiLevelType w:val="hybridMultilevel"/>
    <w:tmpl w:val="9FDE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4642">
    <w:abstractNumId w:val="10"/>
  </w:num>
  <w:num w:numId="2" w16cid:durableId="1775247035">
    <w:abstractNumId w:val="18"/>
  </w:num>
  <w:num w:numId="3" w16cid:durableId="1148479163">
    <w:abstractNumId w:val="24"/>
  </w:num>
  <w:num w:numId="4" w16cid:durableId="1147042551">
    <w:abstractNumId w:val="31"/>
  </w:num>
  <w:num w:numId="5" w16cid:durableId="62528282">
    <w:abstractNumId w:val="7"/>
  </w:num>
  <w:num w:numId="6" w16cid:durableId="736827036">
    <w:abstractNumId w:val="29"/>
  </w:num>
  <w:num w:numId="7" w16cid:durableId="49698602">
    <w:abstractNumId w:val="29"/>
    <w:lvlOverride w:ilvl="0">
      <w:startOverride w:val="1"/>
    </w:lvlOverride>
  </w:num>
  <w:num w:numId="8" w16cid:durableId="1262494291">
    <w:abstractNumId w:val="20"/>
  </w:num>
  <w:num w:numId="9" w16cid:durableId="533274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184852">
    <w:abstractNumId w:val="30"/>
  </w:num>
  <w:num w:numId="11" w16cid:durableId="971056833">
    <w:abstractNumId w:val="22"/>
  </w:num>
  <w:num w:numId="12" w16cid:durableId="1724475883">
    <w:abstractNumId w:val="16"/>
  </w:num>
  <w:num w:numId="13" w16cid:durableId="1762407053">
    <w:abstractNumId w:val="15"/>
  </w:num>
  <w:num w:numId="14" w16cid:durableId="52167806">
    <w:abstractNumId w:val="29"/>
  </w:num>
  <w:num w:numId="15" w16cid:durableId="1684824641">
    <w:abstractNumId w:val="29"/>
  </w:num>
  <w:num w:numId="16" w16cid:durableId="1727530357">
    <w:abstractNumId w:val="29"/>
  </w:num>
  <w:num w:numId="17" w16cid:durableId="996349374">
    <w:abstractNumId w:val="19"/>
  </w:num>
  <w:num w:numId="18" w16cid:durableId="2057584425">
    <w:abstractNumId w:val="29"/>
  </w:num>
  <w:num w:numId="19" w16cid:durableId="1897082097">
    <w:abstractNumId w:val="29"/>
    <w:lvlOverride w:ilvl="0">
      <w:startOverride w:val="1"/>
    </w:lvlOverride>
  </w:num>
  <w:num w:numId="20" w16cid:durableId="1708329917">
    <w:abstractNumId w:val="29"/>
  </w:num>
  <w:num w:numId="21" w16cid:durableId="1523782014">
    <w:abstractNumId w:val="29"/>
  </w:num>
  <w:num w:numId="22" w16cid:durableId="1111122453">
    <w:abstractNumId w:val="29"/>
  </w:num>
  <w:num w:numId="23" w16cid:durableId="743189426">
    <w:abstractNumId w:val="29"/>
  </w:num>
  <w:num w:numId="24" w16cid:durableId="858394600">
    <w:abstractNumId w:val="26"/>
  </w:num>
  <w:num w:numId="25" w16cid:durableId="813839690">
    <w:abstractNumId w:val="32"/>
  </w:num>
  <w:num w:numId="26" w16cid:durableId="1738239180">
    <w:abstractNumId w:val="8"/>
  </w:num>
  <w:num w:numId="27" w16cid:durableId="25059300">
    <w:abstractNumId w:val="18"/>
  </w:num>
  <w:num w:numId="28" w16cid:durableId="792408478">
    <w:abstractNumId w:val="27"/>
  </w:num>
  <w:num w:numId="29" w16cid:durableId="973408172">
    <w:abstractNumId w:val="5"/>
  </w:num>
  <w:num w:numId="30" w16cid:durableId="22097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618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9639938">
    <w:abstractNumId w:val="2"/>
  </w:num>
  <w:num w:numId="33" w16cid:durableId="1549149524">
    <w:abstractNumId w:val="6"/>
  </w:num>
  <w:num w:numId="34" w16cid:durableId="759718775">
    <w:abstractNumId w:val="23"/>
  </w:num>
  <w:num w:numId="35" w16cid:durableId="2080395698">
    <w:abstractNumId w:val="1"/>
  </w:num>
  <w:num w:numId="36" w16cid:durableId="422410731">
    <w:abstractNumId w:val="25"/>
  </w:num>
  <w:num w:numId="37" w16cid:durableId="57284557">
    <w:abstractNumId w:val="0"/>
  </w:num>
  <w:num w:numId="38" w16cid:durableId="834954359">
    <w:abstractNumId w:val="12"/>
  </w:num>
  <w:num w:numId="39" w16cid:durableId="1761177746">
    <w:abstractNumId w:val="14"/>
  </w:num>
  <w:num w:numId="40" w16cid:durableId="377361376">
    <w:abstractNumId w:val="11"/>
  </w:num>
  <w:num w:numId="41" w16cid:durableId="1617835687">
    <w:abstractNumId w:val="21"/>
  </w:num>
  <w:num w:numId="42" w16cid:durableId="1563786591">
    <w:abstractNumId w:val="4"/>
  </w:num>
  <w:num w:numId="43" w16cid:durableId="1122963982">
    <w:abstractNumId w:val="9"/>
  </w:num>
  <w:num w:numId="44" w16cid:durableId="1567645865">
    <w:abstractNumId w:val="28"/>
  </w:num>
  <w:num w:numId="45" w16cid:durableId="2083141891">
    <w:abstractNumId w:val="13"/>
  </w:num>
  <w:num w:numId="46" w16cid:durableId="660618093">
    <w:abstractNumId w:val="17"/>
  </w:num>
  <w:num w:numId="47" w16cid:durableId="616983344">
    <w:abstractNumId w:val="18"/>
  </w:num>
  <w:num w:numId="48" w16cid:durableId="128984604">
    <w:abstractNumId w:val="18"/>
  </w:num>
  <w:num w:numId="49" w16cid:durableId="93317318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2569"/>
    <w:rsid w:val="00002E28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39D4"/>
    <w:rsid w:val="00035368"/>
    <w:rsid w:val="00036E5B"/>
    <w:rsid w:val="00042FCF"/>
    <w:rsid w:val="00044779"/>
    <w:rsid w:val="00051AC4"/>
    <w:rsid w:val="00052C3D"/>
    <w:rsid w:val="00053AD6"/>
    <w:rsid w:val="00057161"/>
    <w:rsid w:val="000573CB"/>
    <w:rsid w:val="00064997"/>
    <w:rsid w:val="0006512C"/>
    <w:rsid w:val="00066197"/>
    <w:rsid w:val="00071071"/>
    <w:rsid w:val="0007122F"/>
    <w:rsid w:val="0007315F"/>
    <w:rsid w:val="00075D89"/>
    <w:rsid w:val="00077196"/>
    <w:rsid w:val="00081B96"/>
    <w:rsid w:val="00081C3A"/>
    <w:rsid w:val="00084803"/>
    <w:rsid w:val="0008585E"/>
    <w:rsid w:val="00087BA0"/>
    <w:rsid w:val="00090C3D"/>
    <w:rsid w:val="000915CA"/>
    <w:rsid w:val="00094D15"/>
    <w:rsid w:val="00097941"/>
    <w:rsid w:val="000A2D4F"/>
    <w:rsid w:val="000A31A0"/>
    <w:rsid w:val="000A68A6"/>
    <w:rsid w:val="000A7FE6"/>
    <w:rsid w:val="000B008A"/>
    <w:rsid w:val="000B3376"/>
    <w:rsid w:val="000B39DD"/>
    <w:rsid w:val="000B7669"/>
    <w:rsid w:val="000C4605"/>
    <w:rsid w:val="000C4AE5"/>
    <w:rsid w:val="000C4AEE"/>
    <w:rsid w:val="000C696D"/>
    <w:rsid w:val="000C7C49"/>
    <w:rsid w:val="000D2F23"/>
    <w:rsid w:val="000D4571"/>
    <w:rsid w:val="000D5DFE"/>
    <w:rsid w:val="000D7522"/>
    <w:rsid w:val="000E7EEE"/>
    <w:rsid w:val="000F02CD"/>
    <w:rsid w:val="000F3B3E"/>
    <w:rsid w:val="000F6355"/>
    <w:rsid w:val="000F65AC"/>
    <w:rsid w:val="0010001B"/>
    <w:rsid w:val="00100726"/>
    <w:rsid w:val="00102ECC"/>
    <w:rsid w:val="00106A2B"/>
    <w:rsid w:val="00114029"/>
    <w:rsid w:val="0011518D"/>
    <w:rsid w:val="001178DD"/>
    <w:rsid w:val="001216FF"/>
    <w:rsid w:val="00122D1D"/>
    <w:rsid w:val="00123ABC"/>
    <w:rsid w:val="00123C25"/>
    <w:rsid w:val="001247F4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3000"/>
    <w:rsid w:val="001631B5"/>
    <w:rsid w:val="001656F4"/>
    <w:rsid w:val="00165895"/>
    <w:rsid w:val="00165FDA"/>
    <w:rsid w:val="00166FE9"/>
    <w:rsid w:val="001720AF"/>
    <w:rsid w:val="0017547A"/>
    <w:rsid w:val="00175B01"/>
    <w:rsid w:val="00176138"/>
    <w:rsid w:val="00176CB0"/>
    <w:rsid w:val="00177D5F"/>
    <w:rsid w:val="0018055F"/>
    <w:rsid w:val="0018673C"/>
    <w:rsid w:val="00187B83"/>
    <w:rsid w:val="00190229"/>
    <w:rsid w:val="00192048"/>
    <w:rsid w:val="00193AA8"/>
    <w:rsid w:val="00193B7A"/>
    <w:rsid w:val="00194A15"/>
    <w:rsid w:val="00194E21"/>
    <w:rsid w:val="00195F33"/>
    <w:rsid w:val="001967EC"/>
    <w:rsid w:val="00196C15"/>
    <w:rsid w:val="00197873"/>
    <w:rsid w:val="00197AF0"/>
    <w:rsid w:val="001A50E0"/>
    <w:rsid w:val="001A5832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2576"/>
    <w:rsid w:val="001C2710"/>
    <w:rsid w:val="001C5C04"/>
    <w:rsid w:val="001C619F"/>
    <w:rsid w:val="001C62FF"/>
    <w:rsid w:val="001D1D08"/>
    <w:rsid w:val="001D3348"/>
    <w:rsid w:val="001D3974"/>
    <w:rsid w:val="001D41D9"/>
    <w:rsid w:val="001E06DA"/>
    <w:rsid w:val="001E0713"/>
    <w:rsid w:val="001E567F"/>
    <w:rsid w:val="001F1B9D"/>
    <w:rsid w:val="001F20D1"/>
    <w:rsid w:val="001F3782"/>
    <w:rsid w:val="001F3A6C"/>
    <w:rsid w:val="001F3A6D"/>
    <w:rsid w:val="001F3DBA"/>
    <w:rsid w:val="001F42B4"/>
    <w:rsid w:val="001F4B6F"/>
    <w:rsid w:val="001F637B"/>
    <w:rsid w:val="001F7191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22D77"/>
    <w:rsid w:val="00233190"/>
    <w:rsid w:val="0024184E"/>
    <w:rsid w:val="00241A1A"/>
    <w:rsid w:val="0024402F"/>
    <w:rsid w:val="002441A0"/>
    <w:rsid w:val="00247E2D"/>
    <w:rsid w:val="00250FC9"/>
    <w:rsid w:val="00253100"/>
    <w:rsid w:val="00260F45"/>
    <w:rsid w:val="00264773"/>
    <w:rsid w:val="00265D22"/>
    <w:rsid w:val="00266833"/>
    <w:rsid w:val="00267A7E"/>
    <w:rsid w:val="0027394C"/>
    <w:rsid w:val="00274F6E"/>
    <w:rsid w:val="00277794"/>
    <w:rsid w:val="00280901"/>
    <w:rsid w:val="00280FA1"/>
    <w:rsid w:val="0029168F"/>
    <w:rsid w:val="00294C38"/>
    <w:rsid w:val="00295D1E"/>
    <w:rsid w:val="0029623C"/>
    <w:rsid w:val="002A3805"/>
    <w:rsid w:val="002A70F1"/>
    <w:rsid w:val="002B2BD0"/>
    <w:rsid w:val="002B36C4"/>
    <w:rsid w:val="002B49C0"/>
    <w:rsid w:val="002C1220"/>
    <w:rsid w:val="002C27B4"/>
    <w:rsid w:val="002D0082"/>
    <w:rsid w:val="002D30B2"/>
    <w:rsid w:val="002D3330"/>
    <w:rsid w:val="002D5149"/>
    <w:rsid w:val="002D52AA"/>
    <w:rsid w:val="002D5736"/>
    <w:rsid w:val="002D7185"/>
    <w:rsid w:val="002E4517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54DB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0725A"/>
    <w:rsid w:val="00314C79"/>
    <w:rsid w:val="00316A19"/>
    <w:rsid w:val="00316CF8"/>
    <w:rsid w:val="00317CFB"/>
    <w:rsid w:val="00320571"/>
    <w:rsid w:val="0033490B"/>
    <w:rsid w:val="00342EFB"/>
    <w:rsid w:val="003436EA"/>
    <w:rsid w:val="00344119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301E"/>
    <w:rsid w:val="003632E2"/>
    <w:rsid w:val="00363C48"/>
    <w:rsid w:val="0036416E"/>
    <w:rsid w:val="00366AB3"/>
    <w:rsid w:val="00370022"/>
    <w:rsid w:val="0037150D"/>
    <w:rsid w:val="003736A6"/>
    <w:rsid w:val="00373718"/>
    <w:rsid w:val="00373A6F"/>
    <w:rsid w:val="00375D49"/>
    <w:rsid w:val="00382541"/>
    <w:rsid w:val="003843B5"/>
    <w:rsid w:val="003848A6"/>
    <w:rsid w:val="00386AD5"/>
    <w:rsid w:val="00386EAD"/>
    <w:rsid w:val="00396FFB"/>
    <w:rsid w:val="003A1903"/>
    <w:rsid w:val="003A1FCF"/>
    <w:rsid w:val="003A4FE4"/>
    <w:rsid w:val="003B017D"/>
    <w:rsid w:val="003B0915"/>
    <w:rsid w:val="003B1582"/>
    <w:rsid w:val="003B354A"/>
    <w:rsid w:val="003C4285"/>
    <w:rsid w:val="003C6C84"/>
    <w:rsid w:val="003D0F7B"/>
    <w:rsid w:val="003D2553"/>
    <w:rsid w:val="003D2B0B"/>
    <w:rsid w:val="003D2D6D"/>
    <w:rsid w:val="003D3364"/>
    <w:rsid w:val="003D60FA"/>
    <w:rsid w:val="003D6B4C"/>
    <w:rsid w:val="003E091F"/>
    <w:rsid w:val="003E1219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6107"/>
    <w:rsid w:val="004302E3"/>
    <w:rsid w:val="00431838"/>
    <w:rsid w:val="00433B54"/>
    <w:rsid w:val="00433FA8"/>
    <w:rsid w:val="00437F61"/>
    <w:rsid w:val="004409A8"/>
    <w:rsid w:val="00441CFF"/>
    <w:rsid w:val="00444175"/>
    <w:rsid w:val="0044573D"/>
    <w:rsid w:val="00445804"/>
    <w:rsid w:val="00446A17"/>
    <w:rsid w:val="004510FC"/>
    <w:rsid w:val="00451B08"/>
    <w:rsid w:val="0045218B"/>
    <w:rsid w:val="00453D8C"/>
    <w:rsid w:val="004560C7"/>
    <w:rsid w:val="00463601"/>
    <w:rsid w:val="00467E00"/>
    <w:rsid w:val="00474B20"/>
    <w:rsid w:val="00474D56"/>
    <w:rsid w:val="00475234"/>
    <w:rsid w:val="004846E3"/>
    <w:rsid w:val="004A01D0"/>
    <w:rsid w:val="004A02BA"/>
    <w:rsid w:val="004A2D12"/>
    <w:rsid w:val="004B1B60"/>
    <w:rsid w:val="004B572C"/>
    <w:rsid w:val="004C51F1"/>
    <w:rsid w:val="004C6337"/>
    <w:rsid w:val="004C74C1"/>
    <w:rsid w:val="004C7D07"/>
    <w:rsid w:val="004D0E5B"/>
    <w:rsid w:val="004D3C77"/>
    <w:rsid w:val="004D47BB"/>
    <w:rsid w:val="004D4B04"/>
    <w:rsid w:val="004E0792"/>
    <w:rsid w:val="004E0FBF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4F05"/>
    <w:rsid w:val="004F6CF2"/>
    <w:rsid w:val="0050692C"/>
    <w:rsid w:val="00506EC1"/>
    <w:rsid w:val="0051038E"/>
    <w:rsid w:val="00510E46"/>
    <w:rsid w:val="00511B41"/>
    <w:rsid w:val="00512CE5"/>
    <w:rsid w:val="00512D4D"/>
    <w:rsid w:val="00512D81"/>
    <w:rsid w:val="00520EBB"/>
    <w:rsid w:val="005313FD"/>
    <w:rsid w:val="00532231"/>
    <w:rsid w:val="0054645C"/>
    <w:rsid w:val="00547BE5"/>
    <w:rsid w:val="00552D9B"/>
    <w:rsid w:val="00553561"/>
    <w:rsid w:val="0055595B"/>
    <w:rsid w:val="00557552"/>
    <w:rsid w:val="00560767"/>
    <w:rsid w:val="005613E7"/>
    <w:rsid w:val="00561754"/>
    <w:rsid w:val="00562396"/>
    <w:rsid w:val="00562AFC"/>
    <w:rsid w:val="00566551"/>
    <w:rsid w:val="00567A97"/>
    <w:rsid w:val="005704D5"/>
    <w:rsid w:val="00573D03"/>
    <w:rsid w:val="005803DE"/>
    <w:rsid w:val="00580C99"/>
    <w:rsid w:val="00581A5D"/>
    <w:rsid w:val="00582AE7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7D40"/>
    <w:rsid w:val="005C3D05"/>
    <w:rsid w:val="005C6617"/>
    <w:rsid w:val="005C6801"/>
    <w:rsid w:val="005C6B96"/>
    <w:rsid w:val="005C6C30"/>
    <w:rsid w:val="005C6DBF"/>
    <w:rsid w:val="005C75D0"/>
    <w:rsid w:val="005D0DB9"/>
    <w:rsid w:val="005D11D9"/>
    <w:rsid w:val="005E0871"/>
    <w:rsid w:val="005E1109"/>
    <w:rsid w:val="005E3A71"/>
    <w:rsid w:val="005E6193"/>
    <w:rsid w:val="005F131A"/>
    <w:rsid w:val="005F13BC"/>
    <w:rsid w:val="005F4164"/>
    <w:rsid w:val="005F7EFD"/>
    <w:rsid w:val="006006C0"/>
    <w:rsid w:val="00601EF0"/>
    <w:rsid w:val="00604BF6"/>
    <w:rsid w:val="006062B2"/>
    <w:rsid w:val="00606AEE"/>
    <w:rsid w:val="00616E4C"/>
    <w:rsid w:val="00617E6B"/>
    <w:rsid w:val="006213E1"/>
    <w:rsid w:val="00626043"/>
    <w:rsid w:val="0063199B"/>
    <w:rsid w:val="00633F51"/>
    <w:rsid w:val="006344C2"/>
    <w:rsid w:val="00636F0B"/>
    <w:rsid w:val="00637BA7"/>
    <w:rsid w:val="00637BDC"/>
    <w:rsid w:val="0064627D"/>
    <w:rsid w:val="00646D52"/>
    <w:rsid w:val="0065247C"/>
    <w:rsid w:val="00655D9A"/>
    <w:rsid w:val="006562F4"/>
    <w:rsid w:val="006572CF"/>
    <w:rsid w:val="00663F58"/>
    <w:rsid w:val="006640FC"/>
    <w:rsid w:val="00667074"/>
    <w:rsid w:val="006679C5"/>
    <w:rsid w:val="006703DD"/>
    <w:rsid w:val="00675472"/>
    <w:rsid w:val="00675EE0"/>
    <w:rsid w:val="00677EAE"/>
    <w:rsid w:val="0068017A"/>
    <w:rsid w:val="006835C3"/>
    <w:rsid w:val="0068410B"/>
    <w:rsid w:val="006879A3"/>
    <w:rsid w:val="00690244"/>
    <w:rsid w:val="006902FD"/>
    <w:rsid w:val="0069138B"/>
    <w:rsid w:val="00693375"/>
    <w:rsid w:val="00695540"/>
    <w:rsid w:val="0069575A"/>
    <w:rsid w:val="006961FE"/>
    <w:rsid w:val="00696DA5"/>
    <w:rsid w:val="00696DE6"/>
    <w:rsid w:val="00697972"/>
    <w:rsid w:val="006A1A86"/>
    <w:rsid w:val="006A366A"/>
    <w:rsid w:val="006A4869"/>
    <w:rsid w:val="006A4E06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7608"/>
    <w:rsid w:val="006F7867"/>
    <w:rsid w:val="007001E9"/>
    <w:rsid w:val="007007F4"/>
    <w:rsid w:val="00700F7F"/>
    <w:rsid w:val="0070290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17DE2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40852"/>
    <w:rsid w:val="00740C26"/>
    <w:rsid w:val="007416F7"/>
    <w:rsid w:val="007418EB"/>
    <w:rsid w:val="00742C02"/>
    <w:rsid w:val="00747EA2"/>
    <w:rsid w:val="00751273"/>
    <w:rsid w:val="007526FF"/>
    <w:rsid w:val="0075373F"/>
    <w:rsid w:val="00756069"/>
    <w:rsid w:val="00760B83"/>
    <w:rsid w:val="0076147E"/>
    <w:rsid w:val="00761978"/>
    <w:rsid w:val="00762AE6"/>
    <w:rsid w:val="00765404"/>
    <w:rsid w:val="00781C6C"/>
    <w:rsid w:val="00792817"/>
    <w:rsid w:val="007943A4"/>
    <w:rsid w:val="007974A2"/>
    <w:rsid w:val="007A228E"/>
    <w:rsid w:val="007A75E2"/>
    <w:rsid w:val="007B158F"/>
    <w:rsid w:val="007B4002"/>
    <w:rsid w:val="007B4530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F1305"/>
    <w:rsid w:val="007F1ACC"/>
    <w:rsid w:val="007F1BE1"/>
    <w:rsid w:val="007F32E6"/>
    <w:rsid w:val="007F7763"/>
    <w:rsid w:val="00800934"/>
    <w:rsid w:val="008010EF"/>
    <w:rsid w:val="00801AA0"/>
    <w:rsid w:val="00803665"/>
    <w:rsid w:val="00810A0C"/>
    <w:rsid w:val="00811FD9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13E"/>
    <w:rsid w:val="0084328B"/>
    <w:rsid w:val="00845210"/>
    <w:rsid w:val="00845A22"/>
    <w:rsid w:val="00847981"/>
    <w:rsid w:val="008563E6"/>
    <w:rsid w:val="00857550"/>
    <w:rsid w:val="00860591"/>
    <w:rsid w:val="00861D7E"/>
    <w:rsid w:val="008627E2"/>
    <w:rsid w:val="00863E14"/>
    <w:rsid w:val="00866A54"/>
    <w:rsid w:val="0087148D"/>
    <w:rsid w:val="00872B49"/>
    <w:rsid w:val="00880500"/>
    <w:rsid w:val="00880647"/>
    <w:rsid w:val="00880672"/>
    <w:rsid w:val="0088345A"/>
    <w:rsid w:val="00887B27"/>
    <w:rsid w:val="0089032C"/>
    <w:rsid w:val="00890619"/>
    <w:rsid w:val="00891120"/>
    <w:rsid w:val="008927BC"/>
    <w:rsid w:val="00895217"/>
    <w:rsid w:val="008956B3"/>
    <w:rsid w:val="00895A43"/>
    <w:rsid w:val="00897595"/>
    <w:rsid w:val="008A316F"/>
    <w:rsid w:val="008A3A0A"/>
    <w:rsid w:val="008A5243"/>
    <w:rsid w:val="008A78B5"/>
    <w:rsid w:val="008A7E9A"/>
    <w:rsid w:val="008B4FC8"/>
    <w:rsid w:val="008B5F13"/>
    <w:rsid w:val="008B7192"/>
    <w:rsid w:val="008C6B3A"/>
    <w:rsid w:val="008D16C8"/>
    <w:rsid w:val="008D6351"/>
    <w:rsid w:val="008D687B"/>
    <w:rsid w:val="008D7DC5"/>
    <w:rsid w:val="008E01D1"/>
    <w:rsid w:val="008E074D"/>
    <w:rsid w:val="008E085D"/>
    <w:rsid w:val="008E3310"/>
    <w:rsid w:val="008E3E1F"/>
    <w:rsid w:val="008E5B51"/>
    <w:rsid w:val="008E6B8E"/>
    <w:rsid w:val="008E720D"/>
    <w:rsid w:val="008F1C99"/>
    <w:rsid w:val="008F2B70"/>
    <w:rsid w:val="008F5AC1"/>
    <w:rsid w:val="009003C6"/>
    <w:rsid w:val="00900947"/>
    <w:rsid w:val="00901C7A"/>
    <w:rsid w:val="0090201F"/>
    <w:rsid w:val="009066E9"/>
    <w:rsid w:val="00913E39"/>
    <w:rsid w:val="009178F1"/>
    <w:rsid w:val="00921BF3"/>
    <w:rsid w:val="00922C14"/>
    <w:rsid w:val="00922F2D"/>
    <w:rsid w:val="00925266"/>
    <w:rsid w:val="00927168"/>
    <w:rsid w:val="00931A6A"/>
    <w:rsid w:val="009326D2"/>
    <w:rsid w:val="00933EE9"/>
    <w:rsid w:val="0093522E"/>
    <w:rsid w:val="009367B9"/>
    <w:rsid w:val="00953179"/>
    <w:rsid w:val="00955B05"/>
    <w:rsid w:val="0095608F"/>
    <w:rsid w:val="009570D8"/>
    <w:rsid w:val="0096000B"/>
    <w:rsid w:val="00960CF5"/>
    <w:rsid w:val="00962370"/>
    <w:rsid w:val="009642F5"/>
    <w:rsid w:val="0096629E"/>
    <w:rsid w:val="00974249"/>
    <w:rsid w:val="00981341"/>
    <w:rsid w:val="00981B80"/>
    <w:rsid w:val="00983A38"/>
    <w:rsid w:val="00986898"/>
    <w:rsid w:val="00987748"/>
    <w:rsid w:val="00987AE2"/>
    <w:rsid w:val="00990879"/>
    <w:rsid w:val="00994983"/>
    <w:rsid w:val="00997691"/>
    <w:rsid w:val="00997F1E"/>
    <w:rsid w:val="009A09EC"/>
    <w:rsid w:val="009A394E"/>
    <w:rsid w:val="009A5DED"/>
    <w:rsid w:val="009A65E8"/>
    <w:rsid w:val="009A6E01"/>
    <w:rsid w:val="009B1B41"/>
    <w:rsid w:val="009B393E"/>
    <w:rsid w:val="009C05E4"/>
    <w:rsid w:val="009C1EAE"/>
    <w:rsid w:val="009C2426"/>
    <w:rsid w:val="009C46E6"/>
    <w:rsid w:val="009D0741"/>
    <w:rsid w:val="009D0C53"/>
    <w:rsid w:val="009D441E"/>
    <w:rsid w:val="009D57F3"/>
    <w:rsid w:val="009D7BAC"/>
    <w:rsid w:val="009E2568"/>
    <w:rsid w:val="009F0933"/>
    <w:rsid w:val="009F13A8"/>
    <w:rsid w:val="009F36C6"/>
    <w:rsid w:val="009F4FA8"/>
    <w:rsid w:val="009F5050"/>
    <w:rsid w:val="009F5D40"/>
    <w:rsid w:val="00A009DF"/>
    <w:rsid w:val="00A0419F"/>
    <w:rsid w:val="00A100CD"/>
    <w:rsid w:val="00A10573"/>
    <w:rsid w:val="00A10B35"/>
    <w:rsid w:val="00A10B5C"/>
    <w:rsid w:val="00A138D9"/>
    <w:rsid w:val="00A13F8F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32F1"/>
    <w:rsid w:val="00A437AF"/>
    <w:rsid w:val="00A44126"/>
    <w:rsid w:val="00A60D3B"/>
    <w:rsid w:val="00A630C1"/>
    <w:rsid w:val="00A6501C"/>
    <w:rsid w:val="00A71357"/>
    <w:rsid w:val="00A765A1"/>
    <w:rsid w:val="00A76C92"/>
    <w:rsid w:val="00A77733"/>
    <w:rsid w:val="00A77A6E"/>
    <w:rsid w:val="00A807FF"/>
    <w:rsid w:val="00A838D6"/>
    <w:rsid w:val="00A86139"/>
    <w:rsid w:val="00A90600"/>
    <w:rsid w:val="00A93D3F"/>
    <w:rsid w:val="00A949B2"/>
    <w:rsid w:val="00A95535"/>
    <w:rsid w:val="00A961B1"/>
    <w:rsid w:val="00A965D4"/>
    <w:rsid w:val="00A96A58"/>
    <w:rsid w:val="00A96E6C"/>
    <w:rsid w:val="00AA0C47"/>
    <w:rsid w:val="00AA106B"/>
    <w:rsid w:val="00AA11D0"/>
    <w:rsid w:val="00AA5860"/>
    <w:rsid w:val="00AA5DEA"/>
    <w:rsid w:val="00AA5E8E"/>
    <w:rsid w:val="00AB1A88"/>
    <w:rsid w:val="00AB20DB"/>
    <w:rsid w:val="00AB3D2A"/>
    <w:rsid w:val="00AB5244"/>
    <w:rsid w:val="00AC0681"/>
    <w:rsid w:val="00AC0C01"/>
    <w:rsid w:val="00AC3477"/>
    <w:rsid w:val="00AC56B0"/>
    <w:rsid w:val="00AC5A7B"/>
    <w:rsid w:val="00AC76AC"/>
    <w:rsid w:val="00AD529D"/>
    <w:rsid w:val="00AD660B"/>
    <w:rsid w:val="00AD684D"/>
    <w:rsid w:val="00AD7289"/>
    <w:rsid w:val="00AD7F1D"/>
    <w:rsid w:val="00AD7FC4"/>
    <w:rsid w:val="00AE1468"/>
    <w:rsid w:val="00AE45B5"/>
    <w:rsid w:val="00AE4631"/>
    <w:rsid w:val="00AE4869"/>
    <w:rsid w:val="00AE7740"/>
    <w:rsid w:val="00AF0BF0"/>
    <w:rsid w:val="00AF1ED3"/>
    <w:rsid w:val="00AF3810"/>
    <w:rsid w:val="00AF4D73"/>
    <w:rsid w:val="00AF5DA8"/>
    <w:rsid w:val="00B01ABA"/>
    <w:rsid w:val="00B040C7"/>
    <w:rsid w:val="00B05BA9"/>
    <w:rsid w:val="00B1003C"/>
    <w:rsid w:val="00B10595"/>
    <w:rsid w:val="00B128A8"/>
    <w:rsid w:val="00B13FA1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082E"/>
    <w:rsid w:val="00B51D09"/>
    <w:rsid w:val="00B524C1"/>
    <w:rsid w:val="00B54315"/>
    <w:rsid w:val="00B547E6"/>
    <w:rsid w:val="00B555FC"/>
    <w:rsid w:val="00B60289"/>
    <w:rsid w:val="00B60E78"/>
    <w:rsid w:val="00B61706"/>
    <w:rsid w:val="00B63269"/>
    <w:rsid w:val="00B63671"/>
    <w:rsid w:val="00B63CED"/>
    <w:rsid w:val="00B63E01"/>
    <w:rsid w:val="00B64AA1"/>
    <w:rsid w:val="00B65A08"/>
    <w:rsid w:val="00B70288"/>
    <w:rsid w:val="00B767C0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9B1"/>
    <w:rsid w:val="00BA0041"/>
    <w:rsid w:val="00BA248A"/>
    <w:rsid w:val="00BA2537"/>
    <w:rsid w:val="00BA2603"/>
    <w:rsid w:val="00BB1788"/>
    <w:rsid w:val="00BB1D01"/>
    <w:rsid w:val="00BB36A0"/>
    <w:rsid w:val="00BB4FE5"/>
    <w:rsid w:val="00BB561D"/>
    <w:rsid w:val="00BB57A4"/>
    <w:rsid w:val="00BB6B56"/>
    <w:rsid w:val="00BB7F6C"/>
    <w:rsid w:val="00BC09E6"/>
    <w:rsid w:val="00BC627B"/>
    <w:rsid w:val="00BC6791"/>
    <w:rsid w:val="00BD102F"/>
    <w:rsid w:val="00BD1E69"/>
    <w:rsid w:val="00BD3FF8"/>
    <w:rsid w:val="00BD666D"/>
    <w:rsid w:val="00BD6C08"/>
    <w:rsid w:val="00BD7C6E"/>
    <w:rsid w:val="00BD7E13"/>
    <w:rsid w:val="00BE4D3C"/>
    <w:rsid w:val="00BE4D5D"/>
    <w:rsid w:val="00BE7544"/>
    <w:rsid w:val="00BE79F6"/>
    <w:rsid w:val="00BF07F6"/>
    <w:rsid w:val="00BF0DDB"/>
    <w:rsid w:val="00BF2E6D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5E02"/>
    <w:rsid w:val="00C172DF"/>
    <w:rsid w:val="00C21B0F"/>
    <w:rsid w:val="00C22DA8"/>
    <w:rsid w:val="00C238B6"/>
    <w:rsid w:val="00C264CA"/>
    <w:rsid w:val="00C3437F"/>
    <w:rsid w:val="00C40038"/>
    <w:rsid w:val="00C4293F"/>
    <w:rsid w:val="00C43389"/>
    <w:rsid w:val="00C45D37"/>
    <w:rsid w:val="00C45F55"/>
    <w:rsid w:val="00C46479"/>
    <w:rsid w:val="00C50276"/>
    <w:rsid w:val="00C5052C"/>
    <w:rsid w:val="00C5064C"/>
    <w:rsid w:val="00C50CB8"/>
    <w:rsid w:val="00C5105E"/>
    <w:rsid w:val="00C5122E"/>
    <w:rsid w:val="00C51D82"/>
    <w:rsid w:val="00C5259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A3499"/>
    <w:rsid w:val="00CB292B"/>
    <w:rsid w:val="00CB41A7"/>
    <w:rsid w:val="00CB6F9F"/>
    <w:rsid w:val="00CC0180"/>
    <w:rsid w:val="00CC06CE"/>
    <w:rsid w:val="00CC4696"/>
    <w:rsid w:val="00CC4974"/>
    <w:rsid w:val="00CC5CA6"/>
    <w:rsid w:val="00CC6EFE"/>
    <w:rsid w:val="00CD1765"/>
    <w:rsid w:val="00CD2496"/>
    <w:rsid w:val="00CD3FF3"/>
    <w:rsid w:val="00CD6CC8"/>
    <w:rsid w:val="00CE136A"/>
    <w:rsid w:val="00CE20AD"/>
    <w:rsid w:val="00CE46AC"/>
    <w:rsid w:val="00CE6D54"/>
    <w:rsid w:val="00CF43C7"/>
    <w:rsid w:val="00CF456A"/>
    <w:rsid w:val="00CF518E"/>
    <w:rsid w:val="00CF5D1C"/>
    <w:rsid w:val="00CF6A2C"/>
    <w:rsid w:val="00D02E08"/>
    <w:rsid w:val="00D123E7"/>
    <w:rsid w:val="00D14036"/>
    <w:rsid w:val="00D15734"/>
    <w:rsid w:val="00D224A2"/>
    <w:rsid w:val="00D2310F"/>
    <w:rsid w:val="00D23BB3"/>
    <w:rsid w:val="00D26262"/>
    <w:rsid w:val="00D279C4"/>
    <w:rsid w:val="00D303E3"/>
    <w:rsid w:val="00D30E8E"/>
    <w:rsid w:val="00D34A52"/>
    <w:rsid w:val="00D3647E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609B0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81F17"/>
    <w:rsid w:val="00D82578"/>
    <w:rsid w:val="00D9138F"/>
    <w:rsid w:val="00D9275F"/>
    <w:rsid w:val="00D9284B"/>
    <w:rsid w:val="00D93991"/>
    <w:rsid w:val="00D97A24"/>
    <w:rsid w:val="00DA1C50"/>
    <w:rsid w:val="00DA1CEC"/>
    <w:rsid w:val="00DA406E"/>
    <w:rsid w:val="00DA6709"/>
    <w:rsid w:val="00DB2403"/>
    <w:rsid w:val="00DB391A"/>
    <w:rsid w:val="00DB3FEC"/>
    <w:rsid w:val="00DB585C"/>
    <w:rsid w:val="00DC2126"/>
    <w:rsid w:val="00DC2DB8"/>
    <w:rsid w:val="00DC3AEA"/>
    <w:rsid w:val="00DC4DD6"/>
    <w:rsid w:val="00DC4FE0"/>
    <w:rsid w:val="00DD2212"/>
    <w:rsid w:val="00DD2F27"/>
    <w:rsid w:val="00DD3984"/>
    <w:rsid w:val="00DD42A9"/>
    <w:rsid w:val="00DD534C"/>
    <w:rsid w:val="00DD5531"/>
    <w:rsid w:val="00DE5A6A"/>
    <w:rsid w:val="00DE6048"/>
    <w:rsid w:val="00DF1A1E"/>
    <w:rsid w:val="00DF37AE"/>
    <w:rsid w:val="00DF3BF0"/>
    <w:rsid w:val="00DF6700"/>
    <w:rsid w:val="00DF69BE"/>
    <w:rsid w:val="00DF6BEC"/>
    <w:rsid w:val="00E0442F"/>
    <w:rsid w:val="00E04E77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40A0F"/>
    <w:rsid w:val="00E41012"/>
    <w:rsid w:val="00E41224"/>
    <w:rsid w:val="00E4498D"/>
    <w:rsid w:val="00E452FB"/>
    <w:rsid w:val="00E46F8D"/>
    <w:rsid w:val="00E47E8B"/>
    <w:rsid w:val="00E5025F"/>
    <w:rsid w:val="00E56659"/>
    <w:rsid w:val="00E62C26"/>
    <w:rsid w:val="00E66D91"/>
    <w:rsid w:val="00E71503"/>
    <w:rsid w:val="00E72FBD"/>
    <w:rsid w:val="00E74E0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194F"/>
    <w:rsid w:val="00EA224B"/>
    <w:rsid w:val="00EA4C36"/>
    <w:rsid w:val="00EA70F9"/>
    <w:rsid w:val="00EB5E75"/>
    <w:rsid w:val="00EB5EAA"/>
    <w:rsid w:val="00EB6428"/>
    <w:rsid w:val="00EB6D7E"/>
    <w:rsid w:val="00EC42BE"/>
    <w:rsid w:val="00EC6655"/>
    <w:rsid w:val="00EC74F6"/>
    <w:rsid w:val="00ED40D6"/>
    <w:rsid w:val="00ED4CA5"/>
    <w:rsid w:val="00EE4339"/>
    <w:rsid w:val="00EE5364"/>
    <w:rsid w:val="00EE728C"/>
    <w:rsid w:val="00EF269D"/>
    <w:rsid w:val="00EF43D8"/>
    <w:rsid w:val="00EF6390"/>
    <w:rsid w:val="00F015C1"/>
    <w:rsid w:val="00F03EE4"/>
    <w:rsid w:val="00F04A72"/>
    <w:rsid w:val="00F07736"/>
    <w:rsid w:val="00F153CF"/>
    <w:rsid w:val="00F17E75"/>
    <w:rsid w:val="00F24A44"/>
    <w:rsid w:val="00F27E75"/>
    <w:rsid w:val="00F301F7"/>
    <w:rsid w:val="00F303A3"/>
    <w:rsid w:val="00F33FA2"/>
    <w:rsid w:val="00F35DBE"/>
    <w:rsid w:val="00F36439"/>
    <w:rsid w:val="00F367A5"/>
    <w:rsid w:val="00F36870"/>
    <w:rsid w:val="00F46548"/>
    <w:rsid w:val="00F46B84"/>
    <w:rsid w:val="00F56ABA"/>
    <w:rsid w:val="00F5726A"/>
    <w:rsid w:val="00F605CA"/>
    <w:rsid w:val="00F633B6"/>
    <w:rsid w:val="00F64F67"/>
    <w:rsid w:val="00F66336"/>
    <w:rsid w:val="00F67B10"/>
    <w:rsid w:val="00F711D0"/>
    <w:rsid w:val="00F7233F"/>
    <w:rsid w:val="00F74386"/>
    <w:rsid w:val="00F754F5"/>
    <w:rsid w:val="00F774E4"/>
    <w:rsid w:val="00F77C30"/>
    <w:rsid w:val="00F81C04"/>
    <w:rsid w:val="00F83773"/>
    <w:rsid w:val="00F83B0F"/>
    <w:rsid w:val="00F86FB0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557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1DEC"/>
    <w:rsid w:val="00FD2CEA"/>
    <w:rsid w:val="00FD7A09"/>
    <w:rsid w:val="00FE28B7"/>
    <w:rsid w:val="00FE584B"/>
    <w:rsid w:val="00FE5A31"/>
    <w:rsid w:val="00FE753A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6739</Words>
  <Characters>39765</Characters>
  <Application>Microsoft Office Word</Application>
  <DocSecurity>0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5</cp:revision>
  <cp:lastPrinted>2022-01-17T15:42:00Z</cp:lastPrinted>
  <dcterms:created xsi:type="dcterms:W3CDTF">2023-06-15T07:11:00Z</dcterms:created>
  <dcterms:modified xsi:type="dcterms:W3CDTF">2023-06-15T07:13:00Z</dcterms:modified>
</cp:coreProperties>
</file>