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BA7C7" w14:textId="77777777" w:rsidR="004F3BFF" w:rsidRPr="00330EEF" w:rsidRDefault="007F1AF6" w:rsidP="004F3BFF">
      <w:pPr>
        <w:pStyle w:val="Nzev"/>
        <w:jc w:val="both"/>
        <w:rPr>
          <w:b w:val="0"/>
          <w:sz w:val="24"/>
          <w:szCs w:val="24"/>
        </w:rPr>
      </w:pPr>
      <w:bookmarkStart w:id="0" w:name="_GoBack"/>
      <w:bookmarkEnd w:id="0"/>
      <w:r w:rsidRPr="00330EEF">
        <w:rPr>
          <w:sz w:val="22"/>
        </w:rPr>
        <w:t xml:space="preserve">                                                                                </w:t>
      </w:r>
    </w:p>
    <w:p w14:paraId="0BB053D7" w14:textId="77777777" w:rsidR="00BA6B09" w:rsidRDefault="00BA6B09" w:rsidP="00CA11B5">
      <w:pPr>
        <w:pStyle w:val="Nzev"/>
        <w:pBdr>
          <w:bottom w:val="single" w:sz="4" w:space="1" w:color="auto"/>
        </w:pBdr>
        <w:rPr>
          <w:smallCaps/>
          <w:sz w:val="40"/>
          <w:szCs w:val="40"/>
        </w:rPr>
      </w:pPr>
    </w:p>
    <w:p w14:paraId="068D0AB8" w14:textId="77777777" w:rsidR="00CA11B5" w:rsidRPr="00330EEF" w:rsidRDefault="00CA11B5" w:rsidP="00CA11B5">
      <w:pPr>
        <w:pStyle w:val="Nzev"/>
        <w:pBdr>
          <w:bottom w:val="single" w:sz="4" w:space="1" w:color="auto"/>
        </w:pBdr>
        <w:rPr>
          <w:smallCaps/>
          <w:sz w:val="40"/>
          <w:szCs w:val="40"/>
        </w:rPr>
      </w:pPr>
      <w:r w:rsidRPr="00330EEF">
        <w:rPr>
          <w:smallCaps/>
          <w:sz w:val="40"/>
          <w:szCs w:val="40"/>
        </w:rPr>
        <w:t>P</w:t>
      </w:r>
      <w:r w:rsidR="00940550" w:rsidRPr="00330EEF">
        <w:rPr>
          <w:smallCaps/>
          <w:sz w:val="40"/>
          <w:szCs w:val="40"/>
        </w:rPr>
        <w:t xml:space="preserve">ísemná zpráva </w:t>
      </w:r>
      <w:r w:rsidR="00F64E5A">
        <w:rPr>
          <w:smallCaps/>
          <w:sz w:val="40"/>
          <w:szCs w:val="40"/>
        </w:rPr>
        <w:t>zadavatele</w:t>
      </w:r>
      <w:r w:rsidR="00940550" w:rsidRPr="00330EEF">
        <w:rPr>
          <w:smallCaps/>
          <w:sz w:val="40"/>
          <w:szCs w:val="40"/>
        </w:rPr>
        <w:t xml:space="preserve"> </w:t>
      </w:r>
      <w:r w:rsidRPr="00330EEF">
        <w:rPr>
          <w:smallCaps/>
          <w:sz w:val="40"/>
          <w:szCs w:val="40"/>
        </w:rPr>
        <w:t xml:space="preserve"> </w:t>
      </w:r>
    </w:p>
    <w:p w14:paraId="6BE0DD61" w14:textId="77777777" w:rsidR="0060763F" w:rsidRPr="00330EEF" w:rsidRDefault="0060763F" w:rsidP="0060763F">
      <w:pPr>
        <w:pStyle w:val="Nzev"/>
        <w:rPr>
          <w:b w:val="0"/>
          <w:sz w:val="24"/>
        </w:rPr>
      </w:pPr>
      <w:r w:rsidRPr="00330EEF">
        <w:rPr>
          <w:b w:val="0"/>
          <w:sz w:val="24"/>
        </w:rPr>
        <w:t>d</w:t>
      </w:r>
      <w:r w:rsidR="00C75239" w:rsidRPr="00330EEF">
        <w:rPr>
          <w:b w:val="0"/>
          <w:sz w:val="24"/>
        </w:rPr>
        <w:t>le</w:t>
      </w:r>
      <w:r w:rsidR="00940550" w:rsidRPr="00330EEF">
        <w:rPr>
          <w:b w:val="0"/>
          <w:sz w:val="24"/>
        </w:rPr>
        <w:t xml:space="preserve"> § </w:t>
      </w:r>
      <w:r w:rsidR="003A0CDF">
        <w:rPr>
          <w:b w:val="0"/>
          <w:sz w:val="24"/>
        </w:rPr>
        <w:t>217</w:t>
      </w:r>
      <w:r w:rsidRPr="00330EEF">
        <w:rPr>
          <w:b w:val="0"/>
          <w:sz w:val="24"/>
        </w:rPr>
        <w:t xml:space="preserve"> odst. </w:t>
      </w:r>
      <w:r w:rsidR="003A0CDF">
        <w:rPr>
          <w:b w:val="0"/>
          <w:sz w:val="24"/>
        </w:rPr>
        <w:t>1</w:t>
      </w:r>
      <w:r w:rsidR="00940550" w:rsidRPr="00330EEF">
        <w:rPr>
          <w:b w:val="0"/>
          <w:sz w:val="24"/>
        </w:rPr>
        <w:t xml:space="preserve"> zákona č. 134/2016 Sb. zákona o zadávání veřejných zakázek </w:t>
      </w:r>
      <w:r w:rsidRPr="00330EEF">
        <w:rPr>
          <w:b w:val="0"/>
          <w:sz w:val="24"/>
        </w:rPr>
        <w:t xml:space="preserve">ve znění pozdějších předpisů (dále jen </w:t>
      </w:r>
      <w:r w:rsidR="007D5F58">
        <w:rPr>
          <w:b w:val="0"/>
          <w:sz w:val="24"/>
        </w:rPr>
        <w:t>„</w:t>
      </w:r>
      <w:r w:rsidRPr="00330EEF">
        <w:rPr>
          <w:b w:val="0"/>
          <w:sz w:val="24"/>
        </w:rPr>
        <w:t>zákon“)</w:t>
      </w:r>
      <w:r w:rsidR="003E5C5D">
        <w:rPr>
          <w:b w:val="0"/>
          <w:sz w:val="24"/>
        </w:rPr>
        <w:t>.</w:t>
      </w:r>
    </w:p>
    <w:p w14:paraId="2C99B658" w14:textId="77777777" w:rsidR="007824FD" w:rsidRPr="00330EEF" w:rsidRDefault="007824FD" w:rsidP="007824FD">
      <w:pPr>
        <w:pStyle w:val="Nzev"/>
        <w:rPr>
          <w:b w:val="0"/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61"/>
        <w:gridCol w:w="5827"/>
      </w:tblGrid>
      <w:tr w:rsidR="003E5C5D" w:rsidRPr="004B4701" w14:paraId="1922179A" w14:textId="77777777" w:rsidTr="003C60AC">
        <w:trPr>
          <w:trHeight w:val="588"/>
          <w:jc w:val="center"/>
        </w:trPr>
        <w:tc>
          <w:tcPr>
            <w:tcW w:w="9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FF51B39" w14:textId="77777777" w:rsidR="003E5C5D" w:rsidRPr="004B4701" w:rsidRDefault="003E5C5D" w:rsidP="003C60AC">
            <w:pPr>
              <w:spacing w:before="60" w:after="60"/>
              <w:jc w:val="center"/>
              <w:rPr>
                <w:b/>
              </w:rPr>
            </w:pPr>
            <w:r w:rsidRPr="004B4701">
              <w:rPr>
                <w:b/>
              </w:rPr>
              <w:t>SPECIFIKACE VEŘEJNÉ ZAKÁZKY</w:t>
            </w:r>
          </w:p>
        </w:tc>
      </w:tr>
      <w:tr w:rsidR="003E5C5D" w:rsidRPr="004B4701" w14:paraId="4A50C1B4" w14:textId="77777777" w:rsidTr="003C60AC">
        <w:trPr>
          <w:trHeight w:val="799"/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dotDash" w:sz="4" w:space="0" w:color="auto"/>
              <w:right w:val="dotDash" w:sz="4" w:space="0" w:color="auto"/>
            </w:tcBorders>
            <w:vAlign w:val="center"/>
            <w:hideMark/>
          </w:tcPr>
          <w:p w14:paraId="4BF023C5" w14:textId="77777777" w:rsidR="003E5C5D" w:rsidRPr="004B4701" w:rsidRDefault="003E5C5D" w:rsidP="003C60AC">
            <w:pPr>
              <w:rPr>
                <w:b/>
              </w:rPr>
            </w:pPr>
            <w:r w:rsidRPr="004B4701">
              <w:rPr>
                <w:b/>
              </w:rPr>
              <w:t>Zadavatel:</w:t>
            </w:r>
          </w:p>
        </w:tc>
        <w:tc>
          <w:tcPr>
            <w:tcW w:w="5827" w:type="dxa"/>
            <w:tcBorders>
              <w:top w:val="single" w:sz="6" w:space="0" w:color="auto"/>
              <w:left w:val="dotDash" w:sz="4" w:space="0" w:color="auto"/>
              <w:bottom w:val="dotDash" w:sz="4" w:space="0" w:color="auto"/>
              <w:right w:val="single" w:sz="6" w:space="0" w:color="auto"/>
            </w:tcBorders>
            <w:vAlign w:val="center"/>
            <w:hideMark/>
          </w:tcPr>
          <w:p w14:paraId="56991894" w14:textId="77777777" w:rsidR="003E5C5D" w:rsidRPr="004B4701" w:rsidRDefault="003E5C5D" w:rsidP="003C60AC">
            <w:pPr>
              <w:rPr>
                <w:b/>
              </w:rPr>
            </w:pPr>
            <w:r w:rsidRPr="004B4701">
              <w:rPr>
                <w:bCs/>
              </w:rPr>
              <w:t>Krajská správa silnic Libereckého kraje, příspěvková organizace, IČ</w:t>
            </w:r>
            <w:r>
              <w:rPr>
                <w:bCs/>
              </w:rPr>
              <w:t>O</w:t>
            </w:r>
            <w:r w:rsidRPr="004B4701">
              <w:rPr>
                <w:bCs/>
              </w:rPr>
              <w:t>: 709 46 078, se sídlem České mládeže 632/32, 460 06 Liberec VI</w:t>
            </w:r>
            <w:r w:rsidRPr="004B4701">
              <w:rPr>
                <w:b/>
                <w:bCs/>
              </w:rPr>
              <w:t xml:space="preserve"> </w:t>
            </w:r>
            <w:r w:rsidRPr="004B4701">
              <w:t>(dále jen „zadavatel“)</w:t>
            </w:r>
          </w:p>
        </w:tc>
      </w:tr>
      <w:tr w:rsidR="001F41DB" w:rsidRPr="004B4701" w14:paraId="6C8BD74D" w14:textId="77777777" w:rsidTr="003C60AC">
        <w:trPr>
          <w:trHeight w:val="799"/>
          <w:jc w:val="center"/>
        </w:trPr>
        <w:tc>
          <w:tcPr>
            <w:tcW w:w="3261" w:type="dxa"/>
            <w:tcBorders>
              <w:top w:val="dotDash" w:sz="4" w:space="0" w:color="auto"/>
              <w:left w:val="single" w:sz="6" w:space="0" w:color="auto"/>
              <w:bottom w:val="dotDash" w:sz="4" w:space="0" w:color="auto"/>
              <w:right w:val="dotDash" w:sz="4" w:space="0" w:color="auto"/>
            </w:tcBorders>
            <w:vAlign w:val="center"/>
            <w:hideMark/>
          </w:tcPr>
          <w:p w14:paraId="1723EB5D" w14:textId="77777777" w:rsidR="001F41DB" w:rsidRPr="004B4701" w:rsidRDefault="001F41DB" w:rsidP="003C60AC">
            <w:pPr>
              <w:rPr>
                <w:b/>
              </w:rPr>
            </w:pPr>
            <w:r w:rsidRPr="004B4701">
              <w:rPr>
                <w:b/>
              </w:rPr>
              <w:t xml:space="preserve">Název </w:t>
            </w:r>
            <w:r w:rsidR="007D2F18">
              <w:rPr>
                <w:b/>
              </w:rPr>
              <w:t xml:space="preserve">a číslo </w:t>
            </w:r>
            <w:r w:rsidRPr="004B4701">
              <w:rPr>
                <w:b/>
              </w:rPr>
              <w:t>veřejné zakázky:</w:t>
            </w:r>
          </w:p>
        </w:tc>
        <w:tc>
          <w:tcPr>
            <w:tcW w:w="582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6" w:space="0" w:color="auto"/>
            </w:tcBorders>
            <w:vAlign w:val="center"/>
            <w:hideMark/>
          </w:tcPr>
          <w:p w14:paraId="58090183" w14:textId="77777777" w:rsidR="001F41DB" w:rsidRPr="004B4701" w:rsidRDefault="00596C78" w:rsidP="00B404E0">
            <w:pPr>
              <w:rPr>
                <w:bCs/>
              </w:rPr>
            </w:pPr>
            <w:r>
              <w:rPr>
                <w:b/>
                <w:bCs/>
              </w:rPr>
              <w:t>„</w:t>
            </w:r>
            <w:r w:rsidR="00B404E0" w:rsidRPr="00B404E0">
              <w:rPr>
                <w:b/>
                <w:bCs/>
              </w:rPr>
              <w:t>Provedení hlavních a mimořádných prohlídek mostů a technická pomoc při správě a údržbě mostních objektů na silnicích II. a III. třídy v Libereckém kraji</w:t>
            </w:r>
            <w:r w:rsidR="007D2F18" w:rsidRPr="007D2F18">
              <w:rPr>
                <w:b/>
                <w:bCs/>
              </w:rPr>
              <w:t xml:space="preserve">“, </w:t>
            </w:r>
            <w:r>
              <w:rPr>
                <w:b/>
                <w:bCs/>
              </w:rPr>
              <w:t>4</w:t>
            </w:r>
            <w:r w:rsidR="00B404E0">
              <w:rPr>
                <w:b/>
                <w:bCs/>
              </w:rPr>
              <w:t>4</w:t>
            </w:r>
            <w:r w:rsidR="007D2F18" w:rsidRPr="007D2F18">
              <w:rPr>
                <w:b/>
                <w:bCs/>
              </w:rPr>
              <w:t>/201</w:t>
            </w:r>
            <w:r w:rsidR="007D2F18">
              <w:rPr>
                <w:b/>
                <w:bCs/>
              </w:rPr>
              <w:t>9</w:t>
            </w:r>
            <w:r w:rsidR="001F41DB">
              <w:rPr>
                <w:b/>
                <w:bCs/>
              </w:rPr>
              <w:t xml:space="preserve">, </w:t>
            </w:r>
            <w:r w:rsidR="001F41DB" w:rsidRPr="004B4701">
              <w:rPr>
                <w:bCs/>
              </w:rPr>
              <w:t>(dále jen „VZ“)</w:t>
            </w:r>
          </w:p>
        </w:tc>
      </w:tr>
      <w:tr w:rsidR="001F41DB" w:rsidRPr="004B4701" w14:paraId="0F329295" w14:textId="77777777" w:rsidTr="003C60AC">
        <w:trPr>
          <w:trHeight w:val="567"/>
          <w:jc w:val="center"/>
        </w:trPr>
        <w:tc>
          <w:tcPr>
            <w:tcW w:w="3261" w:type="dxa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dotDash" w:sz="4" w:space="0" w:color="auto"/>
            </w:tcBorders>
            <w:vAlign w:val="center"/>
            <w:hideMark/>
          </w:tcPr>
          <w:p w14:paraId="4BCFA793" w14:textId="77777777" w:rsidR="001F41DB" w:rsidRPr="004B4701" w:rsidRDefault="001F41DB" w:rsidP="003C60AC">
            <w:pPr>
              <w:rPr>
                <w:b/>
              </w:rPr>
            </w:pPr>
            <w:r w:rsidRPr="004B4701">
              <w:rPr>
                <w:b/>
              </w:rPr>
              <w:t>Druh a předmět veřejné zakázky:</w:t>
            </w:r>
          </w:p>
        </w:tc>
        <w:tc>
          <w:tcPr>
            <w:tcW w:w="5827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5C7CF4" w14:textId="77777777" w:rsidR="001F41DB" w:rsidRPr="004B4701" w:rsidRDefault="001F41DB" w:rsidP="00596C78">
            <w:r w:rsidRPr="004B4701">
              <w:t xml:space="preserve">veřejná zakázka na </w:t>
            </w:r>
            <w:r w:rsidR="007D2F18">
              <w:t>služby</w:t>
            </w:r>
            <w:r w:rsidRPr="004B4701">
              <w:t xml:space="preserve">, </w:t>
            </w:r>
            <w:r>
              <w:t>zadávaná v</w:t>
            </w:r>
            <w:r w:rsidR="00596C78">
              <w:t xml:space="preserve"> otevřeném řízení dle </w:t>
            </w:r>
            <w:r>
              <w:t>§ 5</w:t>
            </w:r>
            <w:r w:rsidR="00596C78">
              <w:t>6</w:t>
            </w:r>
            <w:r>
              <w:t xml:space="preserve"> </w:t>
            </w:r>
            <w:r w:rsidRPr="00775ABC">
              <w:t xml:space="preserve">zákona </w:t>
            </w:r>
          </w:p>
        </w:tc>
      </w:tr>
    </w:tbl>
    <w:p w14:paraId="222E0E03" w14:textId="77777777" w:rsidR="003E5C5D" w:rsidRPr="00330EEF" w:rsidRDefault="003E5C5D" w:rsidP="007824FD">
      <w:pPr>
        <w:pStyle w:val="Nzev"/>
        <w:rPr>
          <w:sz w:val="24"/>
        </w:rPr>
      </w:pPr>
    </w:p>
    <w:p w14:paraId="5BDC3F30" w14:textId="77777777" w:rsidR="003C03B8" w:rsidRPr="00EE2DE2" w:rsidRDefault="0005583E" w:rsidP="003C03B8">
      <w:pPr>
        <w:pStyle w:val="Nzev"/>
        <w:rPr>
          <w:b w:val="0"/>
          <w:sz w:val="24"/>
        </w:rPr>
      </w:pPr>
      <w:r w:rsidRPr="00EE2DE2">
        <w:rPr>
          <w:b w:val="0"/>
          <w:sz w:val="24"/>
        </w:rPr>
        <w:t>sepsaná</w:t>
      </w:r>
      <w:r w:rsidR="003C03B8" w:rsidRPr="00EE2DE2">
        <w:rPr>
          <w:b w:val="0"/>
          <w:sz w:val="24"/>
        </w:rPr>
        <w:t xml:space="preserve"> v rámci zjednodušeného podl</w:t>
      </w:r>
      <w:r w:rsidR="00097B0A">
        <w:rPr>
          <w:b w:val="0"/>
          <w:sz w:val="24"/>
        </w:rPr>
        <w:t>imitního řízení veřejné zakázky.</w:t>
      </w:r>
    </w:p>
    <w:p w14:paraId="2B70F3D3" w14:textId="77777777" w:rsidR="003C03B8" w:rsidRPr="00330EEF" w:rsidRDefault="003C03B8" w:rsidP="003C03B8">
      <w:pPr>
        <w:pStyle w:val="Nzev"/>
        <w:jc w:val="both"/>
        <w:rPr>
          <w:b w:val="0"/>
          <w:i/>
          <w:sz w:val="16"/>
          <w:szCs w:val="16"/>
        </w:rPr>
      </w:pPr>
    </w:p>
    <w:p w14:paraId="2746A1E6" w14:textId="77777777" w:rsidR="006735DD" w:rsidRPr="00330EEF" w:rsidRDefault="006735DD" w:rsidP="000646A2">
      <w:pPr>
        <w:pStyle w:val="Zkladntext"/>
        <w:spacing w:before="120" w:after="120"/>
        <w:rPr>
          <w:i w:val="0"/>
          <w:iCs w:val="0"/>
          <w:sz w:val="32"/>
          <w:szCs w:val="32"/>
          <w:u w:val="none"/>
        </w:rPr>
      </w:pPr>
    </w:p>
    <w:sdt>
      <w:sdtPr>
        <w:rPr>
          <w:b/>
          <w:bCs/>
        </w:rPr>
        <w:id w:val="771665352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5BBDA987" w14:textId="77777777" w:rsidR="0060763F" w:rsidRPr="00A170BE" w:rsidRDefault="0060763F" w:rsidP="00A170BE">
          <w:pPr>
            <w:rPr>
              <w:b/>
            </w:rPr>
          </w:pPr>
          <w:r w:rsidRPr="00A170BE">
            <w:rPr>
              <w:b/>
            </w:rPr>
            <w:t>Obsah</w:t>
          </w:r>
        </w:p>
        <w:p w14:paraId="161D89FF" w14:textId="77777777" w:rsidR="00BA6B09" w:rsidRDefault="0060763F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30EEF">
            <w:fldChar w:fldCharType="begin"/>
          </w:r>
          <w:r w:rsidRPr="00330EEF">
            <w:instrText xml:space="preserve"> TOC \o "1-3" \h \z \u </w:instrText>
          </w:r>
          <w:r w:rsidRPr="00330EEF">
            <w:fldChar w:fldCharType="separate"/>
          </w:r>
          <w:hyperlink w:anchor="_Toc27386743" w:history="1">
            <w:r w:rsidR="00BA6B09" w:rsidRPr="00B67C66">
              <w:rPr>
                <w:rStyle w:val="Hypertextovodkaz"/>
                <w:noProof/>
              </w:rPr>
              <w:t>1.</w:t>
            </w:r>
            <w:r w:rsidR="00BA6B0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A6B09" w:rsidRPr="00B67C66">
              <w:rPr>
                <w:rStyle w:val="Hypertextovodkaz"/>
                <w:noProof/>
              </w:rPr>
              <w:t>Identifikace zadavatele, druh a předmět zadávacího řízení, cena</w:t>
            </w:r>
            <w:r w:rsidR="00BA6B09">
              <w:rPr>
                <w:noProof/>
                <w:webHidden/>
              </w:rPr>
              <w:tab/>
            </w:r>
            <w:r w:rsidR="00BA6B09">
              <w:rPr>
                <w:noProof/>
                <w:webHidden/>
              </w:rPr>
              <w:fldChar w:fldCharType="begin"/>
            </w:r>
            <w:r w:rsidR="00BA6B09">
              <w:rPr>
                <w:noProof/>
                <w:webHidden/>
              </w:rPr>
              <w:instrText xml:space="preserve"> PAGEREF _Toc27386743 \h </w:instrText>
            </w:r>
            <w:r w:rsidR="00BA6B09">
              <w:rPr>
                <w:noProof/>
                <w:webHidden/>
              </w:rPr>
            </w:r>
            <w:r w:rsidR="00BA6B09">
              <w:rPr>
                <w:noProof/>
                <w:webHidden/>
              </w:rPr>
              <w:fldChar w:fldCharType="separate"/>
            </w:r>
            <w:r w:rsidR="00BA6B09">
              <w:rPr>
                <w:noProof/>
                <w:webHidden/>
              </w:rPr>
              <w:t>2</w:t>
            </w:r>
            <w:r w:rsidR="00BA6B09">
              <w:rPr>
                <w:noProof/>
                <w:webHidden/>
              </w:rPr>
              <w:fldChar w:fldCharType="end"/>
            </w:r>
          </w:hyperlink>
        </w:p>
        <w:p w14:paraId="0643A8F9" w14:textId="77777777" w:rsidR="00BA6B09" w:rsidRDefault="002C3194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386751" w:history="1">
            <w:r w:rsidR="00BA6B09" w:rsidRPr="00B67C66">
              <w:rPr>
                <w:rStyle w:val="Hypertextovodkaz"/>
                <w:noProof/>
              </w:rPr>
              <w:t>2.</w:t>
            </w:r>
            <w:r w:rsidR="00BA6B0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A6B09" w:rsidRPr="00B67C66">
              <w:rPr>
                <w:rStyle w:val="Hypertextovodkaz"/>
                <w:noProof/>
              </w:rPr>
              <w:t>Identifikační údaje všech účastníků a jejich nabídková cena</w:t>
            </w:r>
            <w:r w:rsidR="00BA6B09">
              <w:rPr>
                <w:noProof/>
                <w:webHidden/>
              </w:rPr>
              <w:tab/>
            </w:r>
            <w:r w:rsidR="00BA6B09">
              <w:rPr>
                <w:noProof/>
                <w:webHidden/>
              </w:rPr>
              <w:fldChar w:fldCharType="begin"/>
            </w:r>
            <w:r w:rsidR="00BA6B09">
              <w:rPr>
                <w:noProof/>
                <w:webHidden/>
              </w:rPr>
              <w:instrText xml:space="preserve"> PAGEREF _Toc27386751 \h </w:instrText>
            </w:r>
            <w:r w:rsidR="00BA6B09">
              <w:rPr>
                <w:noProof/>
                <w:webHidden/>
              </w:rPr>
            </w:r>
            <w:r w:rsidR="00BA6B09">
              <w:rPr>
                <w:noProof/>
                <w:webHidden/>
              </w:rPr>
              <w:fldChar w:fldCharType="separate"/>
            </w:r>
            <w:r w:rsidR="00BA6B09">
              <w:rPr>
                <w:noProof/>
                <w:webHidden/>
              </w:rPr>
              <w:t>3</w:t>
            </w:r>
            <w:r w:rsidR="00BA6B09">
              <w:rPr>
                <w:noProof/>
                <w:webHidden/>
              </w:rPr>
              <w:fldChar w:fldCharType="end"/>
            </w:r>
          </w:hyperlink>
        </w:p>
        <w:p w14:paraId="6CB607CF" w14:textId="77777777" w:rsidR="00BA6B09" w:rsidRDefault="002C3194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386752" w:history="1">
            <w:r w:rsidR="00BA6B09" w:rsidRPr="00B67C66">
              <w:rPr>
                <w:rStyle w:val="Hypertextovodkaz"/>
                <w:noProof/>
              </w:rPr>
              <w:t>3.</w:t>
            </w:r>
            <w:r w:rsidR="00BA6B0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A6B09" w:rsidRPr="00B67C66">
              <w:rPr>
                <w:rStyle w:val="Hypertextovodkaz"/>
                <w:noProof/>
              </w:rPr>
              <w:t>Identifikační údaje všech vyloučených účastníků</w:t>
            </w:r>
            <w:r w:rsidR="00BA6B09">
              <w:rPr>
                <w:noProof/>
                <w:webHidden/>
              </w:rPr>
              <w:tab/>
            </w:r>
            <w:r w:rsidR="00BA6B09">
              <w:rPr>
                <w:noProof/>
                <w:webHidden/>
              </w:rPr>
              <w:fldChar w:fldCharType="begin"/>
            </w:r>
            <w:r w:rsidR="00BA6B09">
              <w:rPr>
                <w:noProof/>
                <w:webHidden/>
              </w:rPr>
              <w:instrText xml:space="preserve"> PAGEREF _Toc27386752 \h </w:instrText>
            </w:r>
            <w:r w:rsidR="00BA6B09">
              <w:rPr>
                <w:noProof/>
                <w:webHidden/>
              </w:rPr>
            </w:r>
            <w:r w:rsidR="00BA6B09">
              <w:rPr>
                <w:noProof/>
                <w:webHidden/>
              </w:rPr>
              <w:fldChar w:fldCharType="separate"/>
            </w:r>
            <w:r w:rsidR="00BA6B09">
              <w:rPr>
                <w:noProof/>
                <w:webHidden/>
              </w:rPr>
              <w:t>3</w:t>
            </w:r>
            <w:r w:rsidR="00BA6B09">
              <w:rPr>
                <w:noProof/>
                <w:webHidden/>
              </w:rPr>
              <w:fldChar w:fldCharType="end"/>
            </w:r>
          </w:hyperlink>
        </w:p>
        <w:p w14:paraId="1E56889D" w14:textId="77777777" w:rsidR="00BA6B09" w:rsidRDefault="002C3194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386753" w:history="1">
            <w:r w:rsidR="00BA6B09" w:rsidRPr="00B67C66">
              <w:rPr>
                <w:rStyle w:val="Hypertextovodkaz"/>
                <w:noProof/>
              </w:rPr>
              <w:t>4.</w:t>
            </w:r>
            <w:r w:rsidR="00BA6B0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A6B09" w:rsidRPr="00B67C66">
              <w:rPr>
                <w:rStyle w:val="Hypertextovodkaz"/>
                <w:noProof/>
              </w:rPr>
              <w:t>Identifikační údaje vybraného dodavatele</w:t>
            </w:r>
            <w:r w:rsidR="00BA6B09">
              <w:rPr>
                <w:noProof/>
                <w:webHidden/>
              </w:rPr>
              <w:tab/>
            </w:r>
            <w:r w:rsidR="00BA6B09">
              <w:rPr>
                <w:noProof/>
                <w:webHidden/>
              </w:rPr>
              <w:fldChar w:fldCharType="begin"/>
            </w:r>
            <w:r w:rsidR="00BA6B09">
              <w:rPr>
                <w:noProof/>
                <w:webHidden/>
              </w:rPr>
              <w:instrText xml:space="preserve"> PAGEREF _Toc27386753 \h </w:instrText>
            </w:r>
            <w:r w:rsidR="00BA6B09">
              <w:rPr>
                <w:noProof/>
                <w:webHidden/>
              </w:rPr>
            </w:r>
            <w:r w:rsidR="00BA6B09">
              <w:rPr>
                <w:noProof/>
                <w:webHidden/>
              </w:rPr>
              <w:fldChar w:fldCharType="separate"/>
            </w:r>
            <w:r w:rsidR="00BA6B09">
              <w:rPr>
                <w:noProof/>
                <w:webHidden/>
              </w:rPr>
              <w:t>4</w:t>
            </w:r>
            <w:r w:rsidR="00BA6B09">
              <w:rPr>
                <w:noProof/>
                <w:webHidden/>
              </w:rPr>
              <w:fldChar w:fldCharType="end"/>
            </w:r>
          </w:hyperlink>
        </w:p>
        <w:p w14:paraId="78C39E9D" w14:textId="77777777" w:rsidR="00BA6B09" w:rsidRDefault="002C3194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386754" w:history="1">
            <w:r w:rsidR="00BA6B09" w:rsidRPr="00B67C66">
              <w:rPr>
                <w:rStyle w:val="Hypertextovodkaz"/>
                <w:noProof/>
              </w:rPr>
              <w:t>1.</w:t>
            </w:r>
            <w:r w:rsidR="00BA6B0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A6B09" w:rsidRPr="00B67C66">
              <w:rPr>
                <w:rStyle w:val="Hypertextovodkaz"/>
                <w:noProof/>
              </w:rPr>
              <w:t>Celková nabídková cena bez DPH: váha dílčího kritéria: 90 %</w:t>
            </w:r>
            <w:r w:rsidR="00BA6B09">
              <w:rPr>
                <w:noProof/>
                <w:webHidden/>
              </w:rPr>
              <w:tab/>
            </w:r>
            <w:r w:rsidR="00BA6B09">
              <w:rPr>
                <w:noProof/>
                <w:webHidden/>
              </w:rPr>
              <w:fldChar w:fldCharType="begin"/>
            </w:r>
            <w:r w:rsidR="00BA6B09">
              <w:rPr>
                <w:noProof/>
                <w:webHidden/>
              </w:rPr>
              <w:instrText xml:space="preserve"> PAGEREF _Toc27386754 \h </w:instrText>
            </w:r>
            <w:r w:rsidR="00BA6B09">
              <w:rPr>
                <w:noProof/>
                <w:webHidden/>
              </w:rPr>
            </w:r>
            <w:r w:rsidR="00BA6B09">
              <w:rPr>
                <w:noProof/>
                <w:webHidden/>
              </w:rPr>
              <w:fldChar w:fldCharType="separate"/>
            </w:r>
            <w:r w:rsidR="00BA6B09">
              <w:rPr>
                <w:noProof/>
                <w:webHidden/>
              </w:rPr>
              <w:t>4</w:t>
            </w:r>
            <w:r w:rsidR="00BA6B09">
              <w:rPr>
                <w:noProof/>
                <w:webHidden/>
              </w:rPr>
              <w:fldChar w:fldCharType="end"/>
            </w:r>
          </w:hyperlink>
        </w:p>
        <w:p w14:paraId="03A8D3FE" w14:textId="77777777" w:rsidR="00BA6B09" w:rsidRDefault="002C3194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386755" w:history="1">
            <w:r w:rsidR="00BA6B09" w:rsidRPr="00B67C66">
              <w:rPr>
                <w:rStyle w:val="Hypertextovodkaz"/>
                <w:noProof/>
              </w:rPr>
              <w:t>2.</w:t>
            </w:r>
            <w:r w:rsidR="00BA6B0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A6B09" w:rsidRPr="00B67C66">
              <w:rPr>
                <w:rStyle w:val="Hypertextovodkaz"/>
                <w:noProof/>
              </w:rPr>
              <w:t>Délka odborné praxe hlavního technika č. 1: váha dílčího kritéria 5 %</w:t>
            </w:r>
            <w:r w:rsidR="00BA6B09">
              <w:rPr>
                <w:noProof/>
                <w:webHidden/>
              </w:rPr>
              <w:tab/>
            </w:r>
            <w:r w:rsidR="00BA6B09">
              <w:rPr>
                <w:noProof/>
                <w:webHidden/>
              </w:rPr>
              <w:fldChar w:fldCharType="begin"/>
            </w:r>
            <w:r w:rsidR="00BA6B09">
              <w:rPr>
                <w:noProof/>
                <w:webHidden/>
              </w:rPr>
              <w:instrText xml:space="preserve"> PAGEREF _Toc27386755 \h </w:instrText>
            </w:r>
            <w:r w:rsidR="00BA6B09">
              <w:rPr>
                <w:noProof/>
                <w:webHidden/>
              </w:rPr>
            </w:r>
            <w:r w:rsidR="00BA6B09">
              <w:rPr>
                <w:noProof/>
                <w:webHidden/>
              </w:rPr>
              <w:fldChar w:fldCharType="separate"/>
            </w:r>
            <w:r w:rsidR="00BA6B09">
              <w:rPr>
                <w:noProof/>
                <w:webHidden/>
              </w:rPr>
              <w:t>4</w:t>
            </w:r>
            <w:r w:rsidR="00BA6B09">
              <w:rPr>
                <w:noProof/>
                <w:webHidden/>
              </w:rPr>
              <w:fldChar w:fldCharType="end"/>
            </w:r>
          </w:hyperlink>
        </w:p>
        <w:p w14:paraId="7ED95A90" w14:textId="77777777" w:rsidR="00BA6B09" w:rsidRDefault="002C3194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386756" w:history="1">
            <w:r w:rsidR="00BA6B09" w:rsidRPr="00B67C66">
              <w:rPr>
                <w:rStyle w:val="Hypertextovodkaz"/>
                <w:noProof/>
              </w:rPr>
              <w:t>3.</w:t>
            </w:r>
            <w:r w:rsidR="00BA6B0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A6B09" w:rsidRPr="00B67C66">
              <w:rPr>
                <w:rStyle w:val="Hypertextovodkaz"/>
                <w:noProof/>
              </w:rPr>
              <w:t>Délka odborné praxe hlavního technika č. 2: váha dílčího kritéria 5 %</w:t>
            </w:r>
            <w:r w:rsidR="00BA6B09">
              <w:rPr>
                <w:noProof/>
                <w:webHidden/>
              </w:rPr>
              <w:tab/>
            </w:r>
            <w:r w:rsidR="00BA6B09">
              <w:rPr>
                <w:noProof/>
                <w:webHidden/>
              </w:rPr>
              <w:fldChar w:fldCharType="begin"/>
            </w:r>
            <w:r w:rsidR="00BA6B09">
              <w:rPr>
                <w:noProof/>
                <w:webHidden/>
              </w:rPr>
              <w:instrText xml:space="preserve"> PAGEREF _Toc27386756 \h </w:instrText>
            </w:r>
            <w:r w:rsidR="00BA6B09">
              <w:rPr>
                <w:noProof/>
                <w:webHidden/>
              </w:rPr>
            </w:r>
            <w:r w:rsidR="00BA6B09">
              <w:rPr>
                <w:noProof/>
                <w:webHidden/>
              </w:rPr>
              <w:fldChar w:fldCharType="separate"/>
            </w:r>
            <w:r w:rsidR="00BA6B09">
              <w:rPr>
                <w:noProof/>
                <w:webHidden/>
              </w:rPr>
              <w:t>5</w:t>
            </w:r>
            <w:r w:rsidR="00BA6B09">
              <w:rPr>
                <w:noProof/>
                <w:webHidden/>
              </w:rPr>
              <w:fldChar w:fldCharType="end"/>
            </w:r>
          </w:hyperlink>
        </w:p>
        <w:p w14:paraId="7374355A" w14:textId="77777777" w:rsidR="00BA6B09" w:rsidRDefault="002C3194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386758" w:history="1">
            <w:r w:rsidR="00BA6B09" w:rsidRPr="00B67C66">
              <w:rPr>
                <w:rStyle w:val="Hypertextovodkaz"/>
                <w:noProof/>
              </w:rPr>
              <w:t>4.</w:t>
            </w:r>
            <w:r w:rsidR="00BA6B0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A6B09" w:rsidRPr="00B67C66">
              <w:rPr>
                <w:rStyle w:val="Hypertextovodkaz"/>
                <w:noProof/>
              </w:rPr>
              <w:t>Seznam poddodavatelů</w:t>
            </w:r>
            <w:r w:rsidR="00BA6B09">
              <w:rPr>
                <w:noProof/>
                <w:webHidden/>
              </w:rPr>
              <w:tab/>
            </w:r>
            <w:r w:rsidR="00BA6B09">
              <w:rPr>
                <w:noProof/>
                <w:webHidden/>
              </w:rPr>
              <w:fldChar w:fldCharType="begin"/>
            </w:r>
            <w:r w:rsidR="00BA6B09">
              <w:rPr>
                <w:noProof/>
                <w:webHidden/>
              </w:rPr>
              <w:instrText xml:space="preserve"> PAGEREF _Toc27386758 \h </w:instrText>
            </w:r>
            <w:r w:rsidR="00BA6B09">
              <w:rPr>
                <w:noProof/>
                <w:webHidden/>
              </w:rPr>
            </w:r>
            <w:r w:rsidR="00BA6B09">
              <w:rPr>
                <w:noProof/>
                <w:webHidden/>
              </w:rPr>
              <w:fldChar w:fldCharType="separate"/>
            </w:r>
            <w:r w:rsidR="00BA6B09">
              <w:rPr>
                <w:noProof/>
                <w:webHidden/>
              </w:rPr>
              <w:t>6</w:t>
            </w:r>
            <w:r w:rsidR="00BA6B09">
              <w:rPr>
                <w:noProof/>
                <w:webHidden/>
              </w:rPr>
              <w:fldChar w:fldCharType="end"/>
            </w:r>
          </w:hyperlink>
        </w:p>
        <w:p w14:paraId="4C2FC564" w14:textId="77777777" w:rsidR="00BA6B09" w:rsidRDefault="002C3194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386759" w:history="1">
            <w:r w:rsidR="00BA6B09" w:rsidRPr="00B67C66">
              <w:rPr>
                <w:rStyle w:val="Hypertextovodkaz"/>
                <w:noProof/>
              </w:rPr>
              <w:t>5.</w:t>
            </w:r>
            <w:r w:rsidR="00BA6B0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A6B09" w:rsidRPr="00B67C66">
              <w:rPr>
                <w:rStyle w:val="Hypertextovodkaz"/>
                <w:noProof/>
              </w:rPr>
              <w:t>Zdůvodnění nerozdělení veřejné zakázky na části</w:t>
            </w:r>
            <w:r w:rsidR="00BA6B09">
              <w:rPr>
                <w:noProof/>
                <w:webHidden/>
              </w:rPr>
              <w:tab/>
            </w:r>
            <w:r w:rsidR="00BA6B09">
              <w:rPr>
                <w:noProof/>
                <w:webHidden/>
              </w:rPr>
              <w:fldChar w:fldCharType="begin"/>
            </w:r>
            <w:r w:rsidR="00BA6B09">
              <w:rPr>
                <w:noProof/>
                <w:webHidden/>
              </w:rPr>
              <w:instrText xml:space="preserve"> PAGEREF _Toc27386759 \h </w:instrText>
            </w:r>
            <w:r w:rsidR="00BA6B09">
              <w:rPr>
                <w:noProof/>
                <w:webHidden/>
              </w:rPr>
            </w:r>
            <w:r w:rsidR="00BA6B09">
              <w:rPr>
                <w:noProof/>
                <w:webHidden/>
              </w:rPr>
              <w:fldChar w:fldCharType="separate"/>
            </w:r>
            <w:r w:rsidR="00BA6B09">
              <w:rPr>
                <w:noProof/>
                <w:webHidden/>
              </w:rPr>
              <w:t>6</w:t>
            </w:r>
            <w:r w:rsidR="00BA6B09">
              <w:rPr>
                <w:noProof/>
                <w:webHidden/>
              </w:rPr>
              <w:fldChar w:fldCharType="end"/>
            </w:r>
          </w:hyperlink>
        </w:p>
        <w:p w14:paraId="5FB4655E" w14:textId="77777777" w:rsidR="0060763F" w:rsidRPr="00330EEF" w:rsidRDefault="0060763F">
          <w:r w:rsidRPr="00330EEF">
            <w:rPr>
              <w:b/>
              <w:bCs/>
            </w:rPr>
            <w:fldChar w:fldCharType="end"/>
          </w:r>
        </w:p>
      </w:sdtContent>
    </w:sdt>
    <w:p w14:paraId="26A1B166" w14:textId="77777777" w:rsidR="00980A04" w:rsidRPr="00A170BE" w:rsidRDefault="00B21087" w:rsidP="00A170BE">
      <w:pPr>
        <w:pStyle w:val="Nadpis1"/>
      </w:pPr>
      <w:bookmarkStart w:id="1" w:name="_Toc27386743"/>
      <w:r w:rsidRPr="00A170BE">
        <w:t>I</w:t>
      </w:r>
      <w:r w:rsidR="0060763F" w:rsidRPr="00A170BE">
        <w:t xml:space="preserve">dentifikace </w:t>
      </w:r>
      <w:r w:rsidR="001F41DB">
        <w:t xml:space="preserve">zadavatele, druh a předmět </w:t>
      </w:r>
      <w:r w:rsidR="0060763F" w:rsidRPr="00A170BE">
        <w:t>zadávacího řízení</w:t>
      </w:r>
      <w:r w:rsidR="001F41DB">
        <w:t>, cena</w:t>
      </w:r>
      <w:bookmarkEnd w:id="1"/>
    </w:p>
    <w:p w14:paraId="241F5F43" w14:textId="77777777" w:rsidR="0005583E" w:rsidRPr="00330EEF" w:rsidRDefault="0005583E" w:rsidP="00BE2C5E">
      <w:pPr>
        <w:pStyle w:val="Nadpis2"/>
        <w:rPr>
          <w:i/>
        </w:rPr>
      </w:pPr>
      <w:bookmarkStart w:id="2" w:name="_Toc482263600"/>
      <w:bookmarkStart w:id="3" w:name="_Toc484425080"/>
      <w:bookmarkStart w:id="4" w:name="_Toc1643330"/>
      <w:bookmarkStart w:id="5" w:name="_Toc4399964"/>
      <w:bookmarkStart w:id="6" w:name="_Toc18991662"/>
      <w:bookmarkStart w:id="7" w:name="_Toc19182860"/>
      <w:bookmarkStart w:id="8" w:name="_Toc27386744"/>
      <w:r w:rsidRPr="00330EEF">
        <w:t>Identifikace zadavatele</w:t>
      </w:r>
      <w:bookmarkEnd w:id="2"/>
      <w:bookmarkEnd w:id="3"/>
      <w:bookmarkEnd w:id="4"/>
      <w:bookmarkEnd w:id="5"/>
      <w:bookmarkEnd w:id="6"/>
      <w:bookmarkEnd w:id="7"/>
      <w:bookmarkEnd w:id="8"/>
      <w:r w:rsidRPr="00330EEF">
        <w:t xml:space="preserve"> </w:t>
      </w:r>
    </w:p>
    <w:p w14:paraId="62965292" w14:textId="77777777" w:rsidR="0005583E" w:rsidRPr="00330EEF" w:rsidRDefault="0005583E" w:rsidP="0005583E">
      <w:pPr>
        <w:spacing w:after="120"/>
      </w:pPr>
      <w:r w:rsidRPr="00330EEF">
        <w:t>Název zadavatele</w:t>
      </w:r>
      <w:r w:rsidRPr="00330EEF">
        <w:tab/>
        <w:t xml:space="preserve">: </w:t>
      </w:r>
      <w:r w:rsidR="003E5C5D" w:rsidRPr="00775ABC">
        <w:rPr>
          <w:b/>
        </w:rPr>
        <w:t>Krajská správa silnic Libereckého kraje, příspěvková organizace</w:t>
      </w:r>
    </w:p>
    <w:p w14:paraId="3BEAA4F3" w14:textId="77777777" w:rsidR="0005583E" w:rsidRPr="00330EEF" w:rsidRDefault="0005583E" w:rsidP="0005583E">
      <w:pPr>
        <w:spacing w:after="120"/>
      </w:pPr>
      <w:r w:rsidRPr="00330EEF">
        <w:t>Sídlo</w:t>
      </w:r>
      <w:r w:rsidRPr="00330EEF">
        <w:tab/>
      </w:r>
      <w:r w:rsidRPr="00330EEF">
        <w:tab/>
      </w:r>
      <w:r w:rsidRPr="00330EEF">
        <w:tab/>
        <w:t xml:space="preserve">: </w:t>
      </w:r>
      <w:r w:rsidR="003E5C5D" w:rsidRPr="00775ABC">
        <w:t>České mládeže 632/32, Liberec VI-Rochlice, 460 06 Liberec</w:t>
      </w:r>
    </w:p>
    <w:p w14:paraId="33C6C60F" w14:textId="77777777" w:rsidR="0005583E" w:rsidRPr="00330EEF" w:rsidRDefault="0005583E" w:rsidP="0005583E">
      <w:pPr>
        <w:spacing w:after="120"/>
      </w:pPr>
      <w:r w:rsidRPr="00330EEF">
        <w:t>IČO</w:t>
      </w:r>
      <w:r w:rsidRPr="00330EEF">
        <w:tab/>
      </w:r>
      <w:r w:rsidRPr="00330EEF">
        <w:tab/>
      </w:r>
      <w:r w:rsidRPr="00330EEF">
        <w:tab/>
        <w:t>:</w:t>
      </w:r>
      <w:r w:rsidR="000646A2" w:rsidRPr="00330EEF">
        <w:t xml:space="preserve"> </w:t>
      </w:r>
      <w:r w:rsidR="003E5C5D" w:rsidRPr="00775ABC">
        <w:t>70946078</w:t>
      </w:r>
    </w:p>
    <w:p w14:paraId="6BA907BC" w14:textId="77777777" w:rsidR="00146B50" w:rsidRPr="00330EEF" w:rsidRDefault="00146B50" w:rsidP="00BE2C5E">
      <w:pPr>
        <w:pStyle w:val="Nadpis2"/>
        <w:rPr>
          <w:i/>
        </w:rPr>
      </w:pPr>
      <w:bookmarkStart w:id="9" w:name="_Toc482263601"/>
      <w:bookmarkStart w:id="10" w:name="_Toc484425081"/>
      <w:bookmarkStart w:id="11" w:name="_Toc1643331"/>
      <w:bookmarkStart w:id="12" w:name="_Toc4399965"/>
      <w:bookmarkStart w:id="13" w:name="_Toc18991663"/>
      <w:bookmarkStart w:id="14" w:name="_Toc19182861"/>
      <w:bookmarkStart w:id="15" w:name="_Toc27386745"/>
      <w:r w:rsidRPr="00330EEF">
        <w:lastRenderedPageBreak/>
        <w:t>Režim veřejné zakázky</w:t>
      </w:r>
      <w:bookmarkEnd w:id="9"/>
      <w:bookmarkEnd w:id="10"/>
      <w:bookmarkEnd w:id="11"/>
      <w:bookmarkEnd w:id="12"/>
      <w:bookmarkEnd w:id="13"/>
      <w:bookmarkEnd w:id="14"/>
      <w:bookmarkEnd w:id="15"/>
      <w:r w:rsidRPr="00330EEF">
        <w:t xml:space="preserve"> </w:t>
      </w:r>
    </w:p>
    <w:p w14:paraId="4E9AB2C7" w14:textId="77777777" w:rsidR="00146B50" w:rsidRPr="00330EEF" w:rsidRDefault="00146B50" w:rsidP="00586F2D">
      <w:r w:rsidRPr="00330EEF">
        <w:t xml:space="preserve">Tato </w:t>
      </w:r>
      <w:r w:rsidR="00596C78">
        <w:t>nadlimitní</w:t>
      </w:r>
      <w:r w:rsidRPr="00330EEF">
        <w:t xml:space="preserve"> veřejná zakázka byla vypsána v režimu </w:t>
      </w:r>
      <w:r w:rsidR="00596C78">
        <w:t>otevřeného</w:t>
      </w:r>
      <w:r w:rsidRPr="00330EEF">
        <w:t xml:space="preserve"> řízení dle § 5</w:t>
      </w:r>
      <w:r w:rsidR="00596C78">
        <w:t>6</w:t>
      </w:r>
      <w:r w:rsidRPr="00330EEF">
        <w:t xml:space="preserve"> zákona.</w:t>
      </w:r>
    </w:p>
    <w:p w14:paraId="1FC96352" w14:textId="77777777" w:rsidR="00097B0A" w:rsidRPr="00097B0A" w:rsidRDefault="00146B50" w:rsidP="00BE2C5E">
      <w:pPr>
        <w:pStyle w:val="Nadpis2"/>
        <w:rPr>
          <w:i/>
        </w:rPr>
      </w:pPr>
      <w:bookmarkStart w:id="16" w:name="_Toc4399966"/>
      <w:bookmarkStart w:id="17" w:name="_Toc18991664"/>
      <w:bookmarkStart w:id="18" w:name="_Toc19182862"/>
      <w:bookmarkStart w:id="19" w:name="_Toc27386746"/>
      <w:bookmarkStart w:id="20" w:name="_Toc482263602"/>
      <w:bookmarkStart w:id="21" w:name="_Toc484425082"/>
      <w:bookmarkStart w:id="22" w:name="_Toc1643332"/>
      <w:r w:rsidRPr="00330EEF">
        <w:t>Druh veřejné zakázky</w:t>
      </w:r>
      <w:bookmarkEnd w:id="16"/>
      <w:bookmarkEnd w:id="17"/>
      <w:bookmarkEnd w:id="18"/>
      <w:bookmarkEnd w:id="19"/>
      <w:r w:rsidRPr="00330EEF">
        <w:t xml:space="preserve"> </w:t>
      </w:r>
    </w:p>
    <w:p w14:paraId="0BF41144" w14:textId="77777777" w:rsidR="00097B0A" w:rsidRPr="00097B0A" w:rsidRDefault="007D2F18" w:rsidP="00097B0A">
      <w:pPr>
        <w:pStyle w:val="Nadpis2"/>
        <w:numPr>
          <w:ilvl w:val="0"/>
          <w:numId w:val="22"/>
        </w:numPr>
        <w:rPr>
          <w:b w:val="0"/>
          <w:i/>
        </w:rPr>
      </w:pPr>
      <w:bookmarkStart w:id="23" w:name="_Toc18991665"/>
      <w:bookmarkStart w:id="24" w:name="_Toc19182863"/>
      <w:bookmarkStart w:id="25" w:name="_Toc27386747"/>
      <w:r>
        <w:rPr>
          <w:b w:val="0"/>
        </w:rPr>
        <w:t>služby</w:t>
      </w:r>
      <w:bookmarkEnd w:id="23"/>
      <w:bookmarkEnd w:id="24"/>
      <w:bookmarkEnd w:id="25"/>
    </w:p>
    <w:p w14:paraId="2D471454" w14:textId="77777777" w:rsidR="00146B50" w:rsidRDefault="000646A2" w:rsidP="00097B0A">
      <w:pPr>
        <w:pStyle w:val="Nadpis2"/>
      </w:pPr>
      <w:bookmarkStart w:id="26" w:name="_Toc4399968"/>
      <w:bookmarkStart w:id="27" w:name="_Toc18991666"/>
      <w:bookmarkStart w:id="28" w:name="_Toc19182864"/>
      <w:bookmarkStart w:id="29" w:name="_Toc27386748"/>
      <w:r w:rsidRPr="00330EEF">
        <w:t>CPV kó</w:t>
      </w:r>
      <w:r w:rsidR="0005583E" w:rsidRPr="00330EEF">
        <w:t>dy</w:t>
      </w:r>
      <w:bookmarkEnd w:id="20"/>
      <w:bookmarkEnd w:id="21"/>
      <w:bookmarkEnd w:id="22"/>
      <w:bookmarkEnd w:id="26"/>
      <w:bookmarkEnd w:id="27"/>
      <w:bookmarkEnd w:id="28"/>
      <w:bookmarkEnd w:id="29"/>
    </w:p>
    <w:p w14:paraId="1AE39DF4" w14:textId="77777777" w:rsidR="00B404E0" w:rsidRDefault="00B404E0" w:rsidP="00B404E0">
      <w:r>
        <w:t>71631450-9</w:t>
      </w:r>
      <w:r>
        <w:tab/>
        <w:t>Inspekce mostů</w:t>
      </w:r>
    </w:p>
    <w:p w14:paraId="292F5F67" w14:textId="77777777" w:rsidR="00B404E0" w:rsidRDefault="00B404E0" w:rsidP="00B404E0">
      <w:r>
        <w:t>71322300-4</w:t>
      </w:r>
      <w:r>
        <w:tab/>
        <w:t xml:space="preserve">Projektování mostů </w:t>
      </w:r>
    </w:p>
    <w:p w14:paraId="196BAA04" w14:textId="77777777" w:rsidR="00596C78" w:rsidRPr="00596C78" w:rsidRDefault="00B404E0" w:rsidP="00B404E0">
      <w:r>
        <w:t>74232200-6</w:t>
      </w:r>
      <w:r>
        <w:tab/>
        <w:t>Technické projekty pro provádění stavebně inženýrských prací</w:t>
      </w:r>
    </w:p>
    <w:p w14:paraId="52662CC0" w14:textId="77777777" w:rsidR="00146B50" w:rsidRPr="00330EEF" w:rsidRDefault="00146B50" w:rsidP="00BE2C5E">
      <w:pPr>
        <w:pStyle w:val="Nadpis2"/>
        <w:rPr>
          <w:i/>
        </w:rPr>
      </w:pPr>
      <w:bookmarkStart w:id="30" w:name="_Toc482263603"/>
      <w:bookmarkStart w:id="31" w:name="_Toc484425083"/>
      <w:bookmarkStart w:id="32" w:name="_Toc1643333"/>
      <w:bookmarkStart w:id="33" w:name="_Toc4399969"/>
      <w:bookmarkStart w:id="34" w:name="_Toc18991667"/>
      <w:bookmarkStart w:id="35" w:name="_Toc19182865"/>
      <w:bookmarkStart w:id="36" w:name="_Toc27386749"/>
      <w:r w:rsidRPr="00330EEF">
        <w:t>Popis předmětu veřejné zakázky</w:t>
      </w:r>
      <w:bookmarkEnd w:id="30"/>
      <w:bookmarkEnd w:id="31"/>
      <w:bookmarkEnd w:id="32"/>
      <w:bookmarkEnd w:id="33"/>
      <w:bookmarkEnd w:id="34"/>
      <w:bookmarkEnd w:id="35"/>
      <w:bookmarkEnd w:id="36"/>
      <w:r w:rsidRPr="00330EEF">
        <w:t xml:space="preserve"> </w:t>
      </w:r>
    </w:p>
    <w:p w14:paraId="34CF9EA9" w14:textId="77777777" w:rsidR="00B404E0" w:rsidRDefault="00B404E0" w:rsidP="00B404E0">
      <w:pPr>
        <w:autoSpaceDE w:val="0"/>
        <w:autoSpaceDN w:val="0"/>
        <w:adjustRightInd w:val="0"/>
        <w:spacing w:before="120"/>
      </w:pPr>
      <w:r w:rsidRPr="00356E10">
        <w:t xml:space="preserve">Předmětem veřejné zakázky je provádění hlavních mostních prohlídek (dále </w:t>
      </w:r>
      <w:r w:rsidRPr="00DE0862">
        <w:t>také „HMP“)</w:t>
      </w:r>
      <w:r w:rsidRPr="00356E10">
        <w:t xml:space="preserve"> na silničních mostech v Libereckém kraji, které jsou ve vlastnictví Libereckého kraje a ve správě </w:t>
      </w:r>
      <w:r>
        <w:t>z</w:t>
      </w:r>
      <w:r w:rsidRPr="00356E10">
        <w:t>adavatele</w:t>
      </w:r>
      <w:r>
        <w:t xml:space="preserve"> na základě</w:t>
      </w:r>
      <w:r w:rsidRPr="00356E10">
        <w:t xml:space="preserve"> </w:t>
      </w:r>
      <w:r w:rsidRPr="00DE0862">
        <w:t>uzavření rámcové smlouvy s jedním dodavatelem</w:t>
      </w:r>
      <w:r>
        <w:t xml:space="preserve"> na dobu 72 měsíců.</w:t>
      </w:r>
    </w:p>
    <w:p w14:paraId="1C069C3A" w14:textId="77777777" w:rsidR="00B404E0" w:rsidRDefault="00B404E0" w:rsidP="00B404E0">
      <w:pPr>
        <w:autoSpaceDE w:val="0"/>
        <w:autoSpaceDN w:val="0"/>
        <w:adjustRightInd w:val="0"/>
        <w:spacing w:before="120" w:after="120"/>
      </w:pPr>
      <w:r w:rsidRPr="00DE0862">
        <w:t>Zadavatel člení</w:t>
      </w:r>
      <w:r w:rsidRPr="00356E10">
        <w:t xml:space="preserve"> spravované území na oblast Západ a oblast Východ. Správu mostních objektů vykonává v každé oblasti vždy jeden mostmistr </w:t>
      </w:r>
      <w:r>
        <w:t>z</w:t>
      </w:r>
      <w:r w:rsidRPr="00356E10">
        <w:t>adavatele. Zadavatel má k</w:t>
      </w:r>
      <w:r>
        <w:t xml:space="preserve"> 1</w:t>
      </w:r>
      <w:r w:rsidRPr="00356E10">
        <w:t>. </w:t>
      </w:r>
      <w:r>
        <w:t>6</w:t>
      </w:r>
      <w:r w:rsidRPr="00356E10">
        <w:t>.</w:t>
      </w:r>
      <w:r>
        <w:t> </w:t>
      </w:r>
      <w:r w:rsidRPr="00356E10">
        <w:t>201</w:t>
      </w:r>
      <w:r>
        <w:t>9</w:t>
      </w:r>
      <w:r w:rsidRPr="00356E10">
        <w:t xml:space="preserve"> ve své správě celkem 6</w:t>
      </w:r>
      <w:r>
        <w:t>53</w:t>
      </w:r>
      <w:r w:rsidRPr="00356E10">
        <w:t xml:space="preserve"> mostů, které jsou </w:t>
      </w:r>
      <w:r>
        <w:t>z</w:t>
      </w:r>
      <w:r w:rsidRPr="00356E10">
        <w:t>adavatelem z hlediska HMP rozděleny do následujících sedmi kategorií:</w:t>
      </w:r>
    </w:p>
    <w:tbl>
      <w:tblPr>
        <w:tblW w:w="5744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9"/>
        <w:gridCol w:w="3465"/>
      </w:tblGrid>
      <w:tr w:rsidR="00B404E0" w:rsidRPr="00356E10" w14:paraId="3B8E941B" w14:textId="77777777" w:rsidTr="006F0294">
        <w:trPr>
          <w:trHeight w:val="318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F7F7F"/>
            <w:noWrap/>
            <w:vAlign w:val="center"/>
            <w:hideMark/>
          </w:tcPr>
          <w:p w14:paraId="44A426F3" w14:textId="77777777" w:rsidR="00B404E0" w:rsidRPr="00356E10" w:rsidRDefault="00B404E0" w:rsidP="006F0294">
            <w:pPr>
              <w:spacing w:before="60" w:after="60"/>
              <w:jc w:val="center"/>
              <w:rPr>
                <w:b/>
                <w:bCs/>
              </w:rPr>
            </w:pPr>
            <w:r w:rsidRPr="00356E10">
              <w:rPr>
                <w:b/>
                <w:bCs/>
              </w:rPr>
              <w:t>Kategorie HMP</w:t>
            </w:r>
          </w:p>
        </w:tc>
        <w:tc>
          <w:tcPr>
            <w:tcW w:w="34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7F7F7F"/>
            <w:noWrap/>
            <w:vAlign w:val="center"/>
            <w:hideMark/>
          </w:tcPr>
          <w:p w14:paraId="687715DC" w14:textId="77777777" w:rsidR="00B404E0" w:rsidRPr="00356E10" w:rsidRDefault="00B404E0" w:rsidP="006F0294">
            <w:pPr>
              <w:spacing w:before="60" w:after="60"/>
              <w:jc w:val="center"/>
              <w:rPr>
                <w:b/>
                <w:bCs/>
              </w:rPr>
            </w:pPr>
            <w:r w:rsidRPr="00356E10">
              <w:rPr>
                <w:b/>
                <w:bCs/>
              </w:rPr>
              <w:t>Rozmezí délek přemostění</w:t>
            </w:r>
          </w:p>
        </w:tc>
      </w:tr>
      <w:tr w:rsidR="00B404E0" w:rsidRPr="00356E10" w14:paraId="3FFE3BA4" w14:textId="77777777" w:rsidTr="006F0294">
        <w:trPr>
          <w:trHeight w:val="318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49AF6" w14:textId="77777777" w:rsidR="00B404E0" w:rsidRPr="00356E10" w:rsidRDefault="00B404E0" w:rsidP="006F0294">
            <w:pPr>
              <w:spacing w:before="60" w:after="60"/>
              <w:jc w:val="center"/>
              <w:rPr>
                <w:b/>
                <w:bCs/>
              </w:rPr>
            </w:pPr>
            <w:r w:rsidRPr="00356E10">
              <w:rPr>
                <w:b/>
                <w:bCs/>
              </w:rPr>
              <w:t>1</w:t>
            </w:r>
          </w:p>
        </w:tc>
        <w:tc>
          <w:tcPr>
            <w:tcW w:w="3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9B053" w14:textId="77777777" w:rsidR="00B404E0" w:rsidRPr="00356E10" w:rsidRDefault="00B404E0" w:rsidP="006F0294">
            <w:pPr>
              <w:spacing w:before="60" w:after="60"/>
              <w:jc w:val="center"/>
              <w:rPr>
                <w:b/>
                <w:bCs/>
              </w:rPr>
            </w:pPr>
            <w:r w:rsidRPr="00356E10">
              <w:rPr>
                <w:b/>
                <w:bCs/>
              </w:rPr>
              <w:t>2,01 m - 10,00 m</w:t>
            </w:r>
          </w:p>
        </w:tc>
      </w:tr>
      <w:tr w:rsidR="00B404E0" w:rsidRPr="00356E10" w14:paraId="305BB206" w14:textId="77777777" w:rsidTr="006F0294">
        <w:trPr>
          <w:trHeight w:val="318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2D41A" w14:textId="77777777" w:rsidR="00B404E0" w:rsidRPr="00356E10" w:rsidRDefault="00B404E0" w:rsidP="006F0294">
            <w:pPr>
              <w:spacing w:before="60" w:after="60"/>
              <w:jc w:val="center"/>
              <w:rPr>
                <w:b/>
                <w:bCs/>
              </w:rPr>
            </w:pPr>
            <w:r w:rsidRPr="00356E10">
              <w:rPr>
                <w:b/>
                <w:bCs/>
              </w:rPr>
              <w:t>2</w:t>
            </w:r>
          </w:p>
        </w:tc>
        <w:tc>
          <w:tcPr>
            <w:tcW w:w="3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FB4E5" w14:textId="77777777" w:rsidR="00B404E0" w:rsidRPr="00356E10" w:rsidRDefault="00B404E0" w:rsidP="006F0294">
            <w:pPr>
              <w:spacing w:before="60" w:after="60"/>
              <w:jc w:val="center"/>
              <w:rPr>
                <w:b/>
                <w:bCs/>
              </w:rPr>
            </w:pPr>
            <w:r w:rsidRPr="00356E10">
              <w:rPr>
                <w:b/>
                <w:bCs/>
              </w:rPr>
              <w:t>10,01 m - 20,00 m</w:t>
            </w:r>
          </w:p>
        </w:tc>
      </w:tr>
      <w:tr w:rsidR="00B404E0" w:rsidRPr="00356E10" w14:paraId="7410693A" w14:textId="77777777" w:rsidTr="006F0294">
        <w:trPr>
          <w:trHeight w:val="318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95B55" w14:textId="77777777" w:rsidR="00B404E0" w:rsidRPr="00356E10" w:rsidRDefault="00B404E0" w:rsidP="006F0294">
            <w:pPr>
              <w:spacing w:before="60" w:after="60"/>
              <w:jc w:val="center"/>
              <w:rPr>
                <w:b/>
                <w:bCs/>
              </w:rPr>
            </w:pPr>
            <w:r w:rsidRPr="00356E10">
              <w:rPr>
                <w:b/>
                <w:bCs/>
              </w:rPr>
              <w:t>3</w:t>
            </w:r>
          </w:p>
        </w:tc>
        <w:tc>
          <w:tcPr>
            <w:tcW w:w="3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1ACD5" w14:textId="77777777" w:rsidR="00B404E0" w:rsidRPr="00356E10" w:rsidRDefault="00B404E0" w:rsidP="006F0294">
            <w:pPr>
              <w:spacing w:before="60" w:after="60"/>
              <w:jc w:val="center"/>
              <w:rPr>
                <w:b/>
                <w:bCs/>
              </w:rPr>
            </w:pPr>
            <w:r w:rsidRPr="00356E10">
              <w:rPr>
                <w:b/>
                <w:bCs/>
              </w:rPr>
              <w:t>20,01 m - 30,00 m</w:t>
            </w:r>
          </w:p>
        </w:tc>
      </w:tr>
      <w:tr w:rsidR="00B404E0" w:rsidRPr="00356E10" w14:paraId="7E12D7BB" w14:textId="77777777" w:rsidTr="006F0294">
        <w:trPr>
          <w:trHeight w:val="318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1CE08" w14:textId="77777777" w:rsidR="00B404E0" w:rsidRPr="00356E10" w:rsidRDefault="00B404E0" w:rsidP="006F0294">
            <w:pPr>
              <w:spacing w:before="60" w:after="60"/>
              <w:jc w:val="center"/>
              <w:rPr>
                <w:b/>
                <w:bCs/>
              </w:rPr>
            </w:pPr>
            <w:r w:rsidRPr="00356E10">
              <w:rPr>
                <w:b/>
                <w:bCs/>
              </w:rPr>
              <w:t>4</w:t>
            </w:r>
          </w:p>
        </w:tc>
        <w:tc>
          <w:tcPr>
            <w:tcW w:w="3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9DB67" w14:textId="77777777" w:rsidR="00B404E0" w:rsidRPr="00356E10" w:rsidRDefault="00B404E0" w:rsidP="006F0294">
            <w:pPr>
              <w:spacing w:before="60" w:after="60"/>
              <w:jc w:val="center"/>
              <w:rPr>
                <w:b/>
                <w:bCs/>
              </w:rPr>
            </w:pPr>
            <w:r w:rsidRPr="00356E10">
              <w:rPr>
                <w:b/>
                <w:bCs/>
              </w:rPr>
              <w:t>30,01 m - 40,00 m</w:t>
            </w:r>
          </w:p>
        </w:tc>
      </w:tr>
      <w:tr w:rsidR="00B404E0" w:rsidRPr="00356E10" w14:paraId="44D1B357" w14:textId="77777777" w:rsidTr="006F0294">
        <w:trPr>
          <w:trHeight w:val="318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B0E8E" w14:textId="77777777" w:rsidR="00B404E0" w:rsidRPr="00356E10" w:rsidRDefault="00B404E0" w:rsidP="006F0294">
            <w:pPr>
              <w:spacing w:before="60" w:after="60"/>
              <w:jc w:val="center"/>
              <w:rPr>
                <w:b/>
                <w:bCs/>
              </w:rPr>
            </w:pPr>
            <w:r w:rsidRPr="00356E10">
              <w:rPr>
                <w:b/>
                <w:bCs/>
              </w:rPr>
              <w:t>5</w:t>
            </w:r>
          </w:p>
        </w:tc>
        <w:tc>
          <w:tcPr>
            <w:tcW w:w="3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A2D88" w14:textId="77777777" w:rsidR="00B404E0" w:rsidRPr="00356E10" w:rsidRDefault="00B404E0" w:rsidP="006F0294">
            <w:pPr>
              <w:spacing w:before="60" w:after="60"/>
              <w:jc w:val="center"/>
              <w:rPr>
                <w:b/>
                <w:bCs/>
              </w:rPr>
            </w:pPr>
            <w:r w:rsidRPr="00356E10">
              <w:rPr>
                <w:b/>
                <w:bCs/>
              </w:rPr>
              <w:t>40,01 m - 50,00 m</w:t>
            </w:r>
          </w:p>
        </w:tc>
      </w:tr>
      <w:tr w:rsidR="00B404E0" w:rsidRPr="00356E10" w14:paraId="66B95CFA" w14:textId="77777777" w:rsidTr="006F0294">
        <w:trPr>
          <w:trHeight w:val="318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9F0E4" w14:textId="77777777" w:rsidR="00B404E0" w:rsidRPr="00356E10" w:rsidRDefault="00B404E0" w:rsidP="006F0294">
            <w:pPr>
              <w:spacing w:before="60" w:after="60"/>
              <w:jc w:val="center"/>
              <w:rPr>
                <w:b/>
                <w:bCs/>
              </w:rPr>
            </w:pPr>
            <w:r w:rsidRPr="00356E10">
              <w:rPr>
                <w:b/>
                <w:bCs/>
              </w:rPr>
              <w:t>6</w:t>
            </w:r>
          </w:p>
        </w:tc>
        <w:tc>
          <w:tcPr>
            <w:tcW w:w="3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B1DF7" w14:textId="77777777" w:rsidR="00B404E0" w:rsidRPr="00356E10" w:rsidRDefault="00B404E0" w:rsidP="006F0294">
            <w:pPr>
              <w:spacing w:before="60" w:after="60"/>
              <w:jc w:val="center"/>
              <w:rPr>
                <w:b/>
                <w:bCs/>
              </w:rPr>
            </w:pPr>
            <w:r w:rsidRPr="00356E10">
              <w:rPr>
                <w:b/>
                <w:bCs/>
              </w:rPr>
              <w:t>50,01m - 60,00 m</w:t>
            </w:r>
          </w:p>
        </w:tc>
      </w:tr>
      <w:tr w:rsidR="00B404E0" w:rsidRPr="00356E10" w14:paraId="6C1C3292" w14:textId="77777777" w:rsidTr="006F0294">
        <w:trPr>
          <w:trHeight w:val="318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0D143" w14:textId="77777777" w:rsidR="00B404E0" w:rsidRPr="00356E10" w:rsidRDefault="00B404E0" w:rsidP="006F0294">
            <w:pPr>
              <w:spacing w:before="60" w:after="60"/>
              <w:jc w:val="center"/>
              <w:rPr>
                <w:b/>
                <w:bCs/>
              </w:rPr>
            </w:pPr>
            <w:r w:rsidRPr="00356E10">
              <w:rPr>
                <w:b/>
                <w:bCs/>
              </w:rPr>
              <w:t>7</w:t>
            </w:r>
          </w:p>
        </w:tc>
        <w:tc>
          <w:tcPr>
            <w:tcW w:w="3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8ED81" w14:textId="77777777" w:rsidR="00B404E0" w:rsidRPr="00356E10" w:rsidRDefault="00B404E0" w:rsidP="006F0294">
            <w:pPr>
              <w:spacing w:before="60" w:after="60"/>
              <w:jc w:val="center"/>
              <w:rPr>
                <w:b/>
                <w:bCs/>
              </w:rPr>
            </w:pPr>
            <w:r w:rsidRPr="00356E10">
              <w:rPr>
                <w:b/>
                <w:bCs/>
              </w:rPr>
              <w:t>60,01 m a výše</w:t>
            </w:r>
          </w:p>
        </w:tc>
      </w:tr>
    </w:tbl>
    <w:p w14:paraId="10CCFA89" w14:textId="77777777" w:rsidR="00B404E0" w:rsidRPr="00356E10" w:rsidRDefault="00B404E0" w:rsidP="00B404E0">
      <w:pPr>
        <w:autoSpaceDE w:val="0"/>
        <w:autoSpaceDN w:val="0"/>
        <w:adjustRightInd w:val="0"/>
        <w:spacing w:before="120"/>
      </w:pPr>
      <w:r w:rsidRPr="00356E10">
        <w:t xml:space="preserve">Předmětem veřejné zakázky je vedle provádění HMP taktéž provádění mimořádných mostních prohlídek (dále </w:t>
      </w:r>
      <w:r w:rsidRPr="00DE0862">
        <w:t>také „MMP“)</w:t>
      </w:r>
      <w:r w:rsidRPr="00356E10">
        <w:t xml:space="preserve"> na silničních mostech v Libereckém kraji, které jsou ve vlastnictví Libereckého kraje a ve správě </w:t>
      </w:r>
      <w:r>
        <w:t>z</w:t>
      </w:r>
      <w:r w:rsidRPr="00356E10">
        <w:t>adavatele.</w:t>
      </w:r>
    </w:p>
    <w:p w14:paraId="22B41809" w14:textId="77777777" w:rsidR="00B404E0" w:rsidRPr="00356E10" w:rsidRDefault="00B404E0" w:rsidP="00B404E0">
      <w:pPr>
        <w:autoSpaceDE w:val="0"/>
        <w:autoSpaceDN w:val="0"/>
        <w:adjustRightInd w:val="0"/>
        <w:spacing w:before="120"/>
      </w:pPr>
      <w:r w:rsidRPr="00356E10">
        <w:t xml:space="preserve">Aktuální seznam silničních mostů v Libereckém kraji, které jsou ve vlastnictví Libereckého kraje a ve správě </w:t>
      </w:r>
      <w:r>
        <w:t>z</w:t>
      </w:r>
      <w:r w:rsidRPr="00356E10">
        <w:t xml:space="preserve">adavatele, je součástí přílohy číslo 1 ZD. Seznam silničních mostů v Libereckém kraji, které jsou ve vlastnictví Libereckého kraje a ve správě </w:t>
      </w:r>
      <w:r>
        <w:t>z</w:t>
      </w:r>
      <w:r w:rsidRPr="00356E10">
        <w:t>adavatele, může být v průběhu plnění veřejné zakázky měněn.</w:t>
      </w:r>
    </w:p>
    <w:p w14:paraId="720AE8EF" w14:textId="77777777" w:rsidR="00B404E0" w:rsidRPr="00356E10" w:rsidRDefault="00B404E0" w:rsidP="00B404E0">
      <w:pPr>
        <w:autoSpaceDE w:val="0"/>
        <w:autoSpaceDN w:val="0"/>
        <w:adjustRightInd w:val="0"/>
        <w:spacing w:before="120"/>
      </w:pPr>
      <w:r w:rsidRPr="00356E10">
        <w:t xml:space="preserve">Předmětem veřejné zakázky je vedle provádění HMP a MMP dále též technická pomoc spočívající zejména ve spolupráci </w:t>
      </w:r>
      <w:r>
        <w:t>p</w:t>
      </w:r>
      <w:r w:rsidRPr="00356E10">
        <w:t>oskytovatele s </w:t>
      </w:r>
      <w:r>
        <w:t>o</w:t>
      </w:r>
      <w:r w:rsidRPr="00356E10">
        <w:t>bjednatelem při správě a údržbě mostních objektů (např. zpracování statických posudků a přepočtů zatížitelnosti, zpracování mostních listů, návrh způsobu opravy, vypracování jednoduché projektové dokumentace a rozpočtu, zajištění diagnostických činností, poradenská a konzultační činnost, apod.).</w:t>
      </w:r>
    </w:p>
    <w:p w14:paraId="27970699" w14:textId="77777777" w:rsidR="001F41DB" w:rsidRDefault="001F41DB" w:rsidP="001F41DB">
      <w:pPr>
        <w:pStyle w:val="Nadpis2"/>
      </w:pPr>
      <w:bookmarkStart w:id="37" w:name="_Toc4399970"/>
      <w:bookmarkStart w:id="38" w:name="_Toc18991668"/>
      <w:bookmarkStart w:id="39" w:name="_Toc19182866"/>
      <w:bookmarkStart w:id="40" w:name="_Toc27386750"/>
      <w:r>
        <w:lastRenderedPageBreak/>
        <w:t>Cena sjednaná ve smlouvě</w:t>
      </w:r>
      <w:bookmarkEnd w:id="37"/>
      <w:bookmarkEnd w:id="38"/>
      <w:bookmarkEnd w:id="39"/>
      <w:bookmarkEnd w:id="40"/>
    </w:p>
    <w:p w14:paraId="67E4D31A" w14:textId="77777777" w:rsidR="001F41DB" w:rsidRPr="001F41DB" w:rsidRDefault="00B404E0" w:rsidP="001F41DB">
      <w:pPr>
        <w:spacing w:after="200" w:line="276" w:lineRule="auto"/>
        <w:contextualSpacing/>
      </w:pPr>
      <w:r>
        <w:rPr>
          <w:rFonts w:eastAsia="Calibri"/>
          <w:lang w:eastAsia="en-US"/>
        </w:rPr>
        <w:t>6.421.000</w:t>
      </w:r>
      <w:r w:rsidR="001F41DB" w:rsidRPr="001F41DB">
        <w:rPr>
          <w:rFonts w:eastAsia="Calibri"/>
          <w:lang w:eastAsia="en-US"/>
        </w:rPr>
        <w:t xml:space="preserve"> Kč bez DPH</w:t>
      </w:r>
    </w:p>
    <w:p w14:paraId="50837D23" w14:textId="77777777" w:rsidR="00146B50" w:rsidRDefault="001F41DB" w:rsidP="00A170BE">
      <w:pPr>
        <w:pStyle w:val="Nadpis1"/>
      </w:pPr>
      <w:bookmarkStart w:id="41" w:name="_Toc27386751"/>
      <w:r>
        <w:t>Identifikační údaje všech účastníků a jejich nabídková cena</w:t>
      </w:r>
      <w:bookmarkEnd w:id="4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B404E0" w:rsidRPr="004B4701" w14:paraId="38BDD0DF" w14:textId="77777777" w:rsidTr="006F0294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F6488BF" w14:textId="77777777" w:rsidR="00B404E0" w:rsidRPr="004B4701" w:rsidRDefault="00B404E0" w:rsidP="006F0294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EDEE9D8" w14:textId="77777777" w:rsidR="00B404E0" w:rsidRPr="004B4701" w:rsidRDefault="00B404E0" w:rsidP="006F0294">
            <w:pPr>
              <w:spacing w:before="60" w:after="60"/>
              <w:jc w:val="center"/>
              <w:rPr>
                <w:b/>
              </w:rPr>
            </w:pPr>
            <w:r w:rsidRPr="004B4701">
              <w:rPr>
                <w:b/>
              </w:rPr>
              <w:t>1</w:t>
            </w:r>
          </w:p>
        </w:tc>
      </w:tr>
      <w:tr w:rsidR="00B404E0" w:rsidRPr="004B4701" w14:paraId="5C0A78AC" w14:textId="77777777" w:rsidTr="006F0294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14:paraId="6502C6D6" w14:textId="77777777" w:rsidR="00B404E0" w:rsidRPr="004B4701" w:rsidRDefault="00B404E0" w:rsidP="006F0294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14:paraId="3692F90D" w14:textId="77777777" w:rsidR="00B404E0" w:rsidRDefault="00B404E0" w:rsidP="006F0294">
            <w:pPr>
              <w:rPr>
                <w:b/>
                <w:shd w:val="clear" w:color="auto" w:fill="FFFFFF"/>
              </w:rPr>
            </w:pPr>
            <w:r w:rsidRPr="00FD5970">
              <w:rPr>
                <w:b/>
                <w:shd w:val="clear" w:color="auto" w:fill="FFFFFF"/>
              </w:rPr>
              <w:t>Pontex, spol. s r. o.</w:t>
            </w:r>
          </w:p>
          <w:p w14:paraId="3F69447C" w14:textId="77777777" w:rsidR="00B404E0" w:rsidRDefault="00B404E0" w:rsidP="006F0294">
            <w:pPr>
              <w:rPr>
                <w:bCs/>
              </w:rPr>
            </w:pPr>
            <w:r>
              <w:rPr>
                <w:bCs/>
              </w:rPr>
              <w:t xml:space="preserve">se </w:t>
            </w:r>
            <w:r w:rsidRPr="0084770D">
              <w:rPr>
                <w:bCs/>
              </w:rPr>
              <w:t>síd</w:t>
            </w:r>
            <w:r>
              <w:rPr>
                <w:bCs/>
              </w:rPr>
              <w:t>lem</w:t>
            </w:r>
            <w:r w:rsidRPr="0084770D">
              <w:rPr>
                <w:bCs/>
              </w:rPr>
              <w:t xml:space="preserve"> </w:t>
            </w:r>
            <w:r>
              <w:t>Praha 4, Bezová 1658, PSČ 14714</w:t>
            </w:r>
          </w:p>
          <w:p w14:paraId="44751DF1" w14:textId="77777777" w:rsidR="00B404E0" w:rsidRPr="004B4701" w:rsidRDefault="00B404E0" w:rsidP="006F0294">
            <w:pPr>
              <w:rPr>
                <w:b/>
              </w:rPr>
            </w:pPr>
            <w:r w:rsidRPr="0084770D">
              <w:t xml:space="preserve">IČO: </w:t>
            </w:r>
            <w:r w:rsidRPr="00FD5970">
              <w:rPr>
                <w:shd w:val="clear" w:color="auto" w:fill="FFFFFF"/>
              </w:rPr>
              <w:t>40763439</w:t>
            </w:r>
          </w:p>
        </w:tc>
      </w:tr>
      <w:tr w:rsidR="00B404E0" w:rsidRPr="004B4701" w14:paraId="3B2494A7" w14:textId="77777777" w:rsidTr="006F0294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8C43B53" w14:textId="77777777" w:rsidR="00B404E0" w:rsidRPr="004B4701" w:rsidRDefault="00B404E0" w:rsidP="006F0294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B404E0" w:rsidRPr="004B4701" w14:paraId="50315638" w14:textId="77777777" w:rsidTr="006F0294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14:paraId="056798AC" w14:textId="77777777" w:rsidR="00B404E0" w:rsidRPr="004B4701" w:rsidRDefault="00B404E0" w:rsidP="006F0294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14:paraId="7258B554" w14:textId="77777777" w:rsidR="00B404E0" w:rsidRPr="00AA541E" w:rsidRDefault="00B404E0" w:rsidP="006F0294">
            <w:pPr>
              <w:spacing w:before="60" w:after="6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 xml:space="preserve">6.421.000 </w:t>
            </w:r>
            <w:r w:rsidRPr="00AA541E">
              <w:rPr>
                <w:rFonts w:eastAsia="Calibri"/>
                <w:b/>
              </w:rPr>
              <w:t>Kč</w:t>
            </w:r>
          </w:p>
        </w:tc>
      </w:tr>
      <w:tr w:rsidR="00B404E0" w:rsidRPr="004B4701" w14:paraId="0CA3D808" w14:textId="77777777" w:rsidTr="006F0294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14:paraId="0FC5822E" w14:textId="77777777" w:rsidR="00B404E0" w:rsidRPr="004B4701" w:rsidRDefault="00B404E0" w:rsidP="006F0294">
            <w:pPr>
              <w:spacing w:before="60" w:after="60"/>
            </w:pPr>
            <w:r w:rsidRPr="00FD5970">
              <w:t>praxe hlavního technika č. 1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14:paraId="271FDE67" w14:textId="77777777" w:rsidR="00B404E0" w:rsidRDefault="00B404E0" w:rsidP="006F0294">
            <w:pPr>
              <w:spacing w:before="60" w:after="6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249</w:t>
            </w:r>
          </w:p>
        </w:tc>
      </w:tr>
      <w:tr w:rsidR="00B404E0" w:rsidRPr="004B4701" w14:paraId="75495907" w14:textId="77777777" w:rsidTr="006F0294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14:paraId="04A370BE" w14:textId="77777777" w:rsidR="00B404E0" w:rsidRPr="004B4701" w:rsidRDefault="00B404E0" w:rsidP="006F0294">
            <w:pPr>
              <w:spacing w:before="60" w:after="60"/>
            </w:pPr>
            <w:r w:rsidRPr="00FD5970">
              <w:t>praxe hlavního technika č. 2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14:paraId="0D28E798" w14:textId="77777777" w:rsidR="00B404E0" w:rsidRDefault="00B404E0" w:rsidP="006F0294">
            <w:pPr>
              <w:spacing w:before="60" w:after="6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189</w:t>
            </w:r>
          </w:p>
        </w:tc>
      </w:tr>
    </w:tbl>
    <w:p w14:paraId="19E96532" w14:textId="77777777" w:rsidR="00B404E0" w:rsidRPr="009A2133" w:rsidRDefault="00B404E0" w:rsidP="00B404E0">
      <w:pPr>
        <w:pStyle w:val="Zkladntextodsazen2"/>
        <w:spacing w:before="120" w:after="240" w:line="240" w:lineRule="auto"/>
        <w:ind w:left="0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B404E0" w:rsidRPr="004B4701" w14:paraId="36832F8D" w14:textId="77777777" w:rsidTr="006F0294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9DBE830" w14:textId="77777777" w:rsidR="00B404E0" w:rsidRPr="004B4701" w:rsidRDefault="00B404E0" w:rsidP="006F0294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46735AD" w14:textId="77777777" w:rsidR="00B404E0" w:rsidRPr="004B4701" w:rsidRDefault="00B404E0" w:rsidP="006F029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404E0" w:rsidRPr="004B4701" w14:paraId="73133489" w14:textId="77777777" w:rsidTr="006F0294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14:paraId="61C3F7E2" w14:textId="77777777" w:rsidR="00B404E0" w:rsidRPr="004B4701" w:rsidRDefault="00B404E0" w:rsidP="006F0294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14:paraId="360973C4" w14:textId="77777777" w:rsidR="00B404E0" w:rsidRPr="009E7D81" w:rsidRDefault="00B404E0" w:rsidP="006F0294">
            <w:pPr>
              <w:rPr>
                <w:b/>
              </w:rPr>
            </w:pPr>
            <w:r w:rsidRPr="00FD5970">
              <w:rPr>
                <w:b/>
              </w:rPr>
              <w:t>SAMMIS s.r.o.</w:t>
            </w:r>
          </w:p>
          <w:p w14:paraId="23AAF7CD" w14:textId="77777777" w:rsidR="00B404E0" w:rsidRPr="0084770D" w:rsidRDefault="00B404E0" w:rsidP="006F0294">
            <w:r w:rsidRPr="004B4701">
              <w:t xml:space="preserve">se </w:t>
            </w:r>
            <w:r w:rsidRPr="0084770D">
              <w:t xml:space="preserve">sídlem </w:t>
            </w:r>
            <w:r w:rsidRPr="00FD5970">
              <w:t>generála Svobody 339, Rosice, 533 51 Pardubice</w:t>
            </w:r>
          </w:p>
          <w:p w14:paraId="70F145E4" w14:textId="77777777" w:rsidR="00B404E0" w:rsidRPr="004B4701" w:rsidRDefault="00B404E0" w:rsidP="006F0294">
            <w:pPr>
              <w:rPr>
                <w:b/>
              </w:rPr>
            </w:pPr>
            <w:r w:rsidRPr="004B4701">
              <w:t>IČ</w:t>
            </w:r>
            <w:r>
              <w:t>O</w:t>
            </w:r>
            <w:r w:rsidRPr="004B4701">
              <w:t xml:space="preserve">: </w:t>
            </w:r>
            <w:r w:rsidRPr="00FD5970">
              <w:rPr>
                <w:rStyle w:val="nowrap"/>
                <w:bCs/>
              </w:rPr>
              <w:t>05472806</w:t>
            </w:r>
          </w:p>
        </w:tc>
      </w:tr>
      <w:tr w:rsidR="00B404E0" w:rsidRPr="004B4701" w14:paraId="41BA1A09" w14:textId="77777777" w:rsidTr="006F0294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2D35D96" w14:textId="77777777" w:rsidR="00B404E0" w:rsidRPr="004B4701" w:rsidRDefault="00B404E0" w:rsidP="006F0294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B404E0" w:rsidRPr="004B4701" w14:paraId="1DAB6D57" w14:textId="77777777" w:rsidTr="006F0294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14:paraId="1B859D3E" w14:textId="77777777" w:rsidR="00B404E0" w:rsidRPr="004B4701" w:rsidRDefault="00B404E0" w:rsidP="006F0294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14:paraId="6FEE226C" w14:textId="77777777" w:rsidR="00B404E0" w:rsidRPr="00AA541E" w:rsidRDefault="00B404E0" w:rsidP="006F0294">
            <w:pPr>
              <w:spacing w:before="60" w:after="6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 xml:space="preserve">9.707.000 </w:t>
            </w:r>
            <w:r w:rsidRPr="00AA541E">
              <w:rPr>
                <w:rFonts w:eastAsia="Calibri"/>
                <w:b/>
              </w:rPr>
              <w:t>Kč</w:t>
            </w:r>
          </w:p>
        </w:tc>
      </w:tr>
      <w:tr w:rsidR="00B404E0" w:rsidRPr="004B4701" w14:paraId="206CEEC1" w14:textId="77777777" w:rsidTr="006F0294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14:paraId="548E6FDB" w14:textId="77777777" w:rsidR="00B404E0" w:rsidRPr="004B4701" w:rsidRDefault="00B404E0" w:rsidP="006F0294">
            <w:pPr>
              <w:spacing w:before="60" w:after="60"/>
            </w:pPr>
            <w:r w:rsidRPr="00FD5970">
              <w:t>praxe hlavního technika č. 1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14:paraId="776608CF" w14:textId="77777777" w:rsidR="00B404E0" w:rsidRDefault="00B404E0" w:rsidP="006F0294">
            <w:pPr>
              <w:spacing w:before="60" w:after="6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60</w:t>
            </w:r>
          </w:p>
        </w:tc>
      </w:tr>
      <w:tr w:rsidR="00B404E0" w:rsidRPr="004B4701" w14:paraId="3B4F6427" w14:textId="77777777" w:rsidTr="006F0294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14:paraId="0E1017D7" w14:textId="77777777" w:rsidR="00B404E0" w:rsidRPr="004B4701" w:rsidRDefault="00B404E0" w:rsidP="006F0294">
            <w:pPr>
              <w:spacing w:before="60" w:after="60"/>
            </w:pPr>
            <w:r w:rsidRPr="00FD5970">
              <w:t>praxe hlavního technika č. 2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14:paraId="1A6F4FA6" w14:textId="77777777" w:rsidR="00B404E0" w:rsidRDefault="00B404E0" w:rsidP="006F0294">
            <w:pPr>
              <w:spacing w:before="60" w:after="6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65</w:t>
            </w:r>
          </w:p>
        </w:tc>
      </w:tr>
    </w:tbl>
    <w:p w14:paraId="6FC205A1" w14:textId="77777777" w:rsidR="00B404E0" w:rsidRPr="00B404E0" w:rsidRDefault="00B404E0" w:rsidP="00B404E0"/>
    <w:p w14:paraId="015EED0D" w14:textId="77777777" w:rsidR="00584CC5" w:rsidRPr="00A170BE" w:rsidRDefault="001F41DB" w:rsidP="00A170BE">
      <w:pPr>
        <w:pStyle w:val="Nadpis1"/>
      </w:pPr>
      <w:bookmarkStart w:id="42" w:name="_Toc27386752"/>
      <w:r>
        <w:t>Identifikační údaje všech vyloučených účastníků</w:t>
      </w:r>
      <w:bookmarkEnd w:id="42"/>
    </w:p>
    <w:p w14:paraId="31B8AD11" w14:textId="77777777" w:rsidR="00B21087" w:rsidRDefault="001F41DB" w:rsidP="00B21087">
      <w:pPr>
        <w:pStyle w:val="Zkladntext"/>
        <w:spacing w:after="120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>Žádný účastník nebyl ze zadávacího řízení vyloučen.</w:t>
      </w:r>
      <w:r w:rsidR="00B21087" w:rsidRPr="00330EEF">
        <w:rPr>
          <w:b w:val="0"/>
          <w:i w:val="0"/>
          <w:sz w:val="24"/>
          <w:szCs w:val="24"/>
          <w:u w:val="none"/>
        </w:rPr>
        <w:t xml:space="preserve"> </w:t>
      </w:r>
    </w:p>
    <w:p w14:paraId="14D43880" w14:textId="77777777" w:rsidR="009A79DB" w:rsidRDefault="001F41DB" w:rsidP="00BE2C5E">
      <w:pPr>
        <w:pStyle w:val="Nadpis1"/>
      </w:pPr>
      <w:bookmarkStart w:id="43" w:name="_Toc27386753"/>
      <w:r>
        <w:t>Identifikační údaje vybraného dodavatele</w:t>
      </w:r>
      <w:bookmarkEnd w:id="43"/>
      <w:r w:rsidR="009A79DB" w:rsidRPr="0041737E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B404E0" w:rsidRPr="004B4701" w14:paraId="3B89B8FE" w14:textId="77777777" w:rsidTr="006F0294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14:paraId="2C8844E1" w14:textId="77777777" w:rsidR="00B404E0" w:rsidRPr="004B4701" w:rsidRDefault="00B404E0" w:rsidP="006F0294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14:paraId="02C73AAE" w14:textId="77777777" w:rsidR="00B404E0" w:rsidRDefault="00B404E0" w:rsidP="006F0294">
            <w:pPr>
              <w:rPr>
                <w:b/>
                <w:shd w:val="clear" w:color="auto" w:fill="FFFFFF"/>
              </w:rPr>
            </w:pPr>
            <w:r w:rsidRPr="00FD5970">
              <w:rPr>
                <w:b/>
                <w:shd w:val="clear" w:color="auto" w:fill="FFFFFF"/>
              </w:rPr>
              <w:t>Pontex, spol. s r. o.</w:t>
            </w:r>
          </w:p>
          <w:p w14:paraId="3022D341" w14:textId="77777777" w:rsidR="00B404E0" w:rsidRDefault="00B404E0" w:rsidP="006F0294">
            <w:pPr>
              <w:rPr>
                <w:bCs/>
              </w:rPr>
            </w:pPr>
            <w:r>
              <w:rPr>
                <w:bCs/>
              </w:rPr>
              <w:t xml:space="preserve">se </w:t>
            </w:r>
            <w:r w:rsidRPr="0084770D">
              <w:rPr>
                <w:bCs/>
              </w:rPr>
              <w:t>síd</w:t>
            </w:r>
            <w:r>
              <w:rPr>
                <w:bCs/>
              </w:rPr>
              <w:t>lem</w:t>
            </w:r>
            <w:r w:rsidRPr="0084770D">
              <w:rPr>
                <w:bCs/>
              </w:rPr>
              <w:t xml:space="preserve"> </w:t>
            </w:r>
            <w:r>
              <w:t>Praha 4, Bezová 1658, PSČ 14714</w:t>
            </w:r>
          </w:p>
          <w:p w14:paraId="430F42FD" w14:textId="77777777" w:rsidR="00B404E0" w:rsidRPr="004B4701" w:rsidRDefault="00B404E0" w:rsidP="006F0294">
            <w:pPr>
              <w:rPr>
                <w:b/>
              </w:rPr>
            </w:pPr>
            <w:r w:rsidRPr="0084770D">
              <w:t xml:space="preserve">IČO: </w:t>
            </w:r>
            <w:r w:rsidRPr="00FD5970">
              <w:rPr>
                <w:shd w:val="clear" w:color="auto" w:fill="FFFFFF"/>
              </w:rPr>
              <w:t>40763439</w:t>
            </w:r>
          </w:p>
        </w:tc>
      </w:tr>
      <w:tr w:rsidR="00B404E0" w:rsidRPr="004B4701" w14:paraId="3DD894A2" w14:textId="77777777" w:rsidTr="006F0294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D8AB899" w14:textId="77777777" w:rsidR="00B404E0" w:rsidRPr="004B4701" w:rsidRDefault="00B404E0" w:rsidP="006F0294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B404E0" w:rsidRPr="004B4701" w14:paraId="630B9B82" w14:textId="77777777" w:rsidTr="006F0294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14:paraId="38CAD688" w14:textId="77777777" w:rsidR="00B404E0" w:rsidRPr="004B4701" w:rsidRDefault="00B404E0" w:rsidP="006F0294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14:paraId="5894E46A" w14:textId="77777777" w:rsidR="00B404E0" w:rsidRPr="00AA541E" w:rsidRDefault="00B404E0" w:rsidP="006F0294">
            <w:pPr>
              <w:spacing w:before="60" w:after="6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 xml:space="preserve">6.421.000 </w:t>
            </w:r>
            <w:r w:rsidRPr="00AA541E">
              <w:rPr>
                <w:rFonts w:eastAsia="Calibri"/>
                <w:b/>
              </w:rPr>
              <w:t>Kč</w:t>
            </w:r>
          </w:p>
        </w:tc>
      </w:tr>
      <w:tr w:rsidR="00B404E0" w:rsidRPr="004B4701" w14:paraId="5EF2438D" w14:textId="77777777" w:rsidTr="006F0294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14:paraId="4F59C4BC" w14:textId="77777777" w:rsidR="00B404E0" w:rsidRPr="004B4701" w:rsidRDefault="00B404E0" w:rsidP="006F0294">
            <w:pPr>
              <w:spacing w:before="60" w:after="60"/>
            </w:pPr>
            <w:r w:rsidRPr="00FD5970">
              <w:t>praxe hlavního technika č. 1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14:paraId="41DD3976" w14:textId="77777777" w:rsidR="00B404E0" w:rsidRDefault="00B404E0" w:rsidP="006F0294">
            <w:pPr>
              <w:spacing w:before="60" w:after="6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249</w:t>
            </w:r>
          </w:p>
        </w:tc>
      </w:tr>
      <w:tr w:rsidR="00B404E0" w:rsidRPr="004B4701" w14:paraId="4A8D47F3" w14:textId="77777777" w:rsidTr="006F0294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14:paraId="0F165057" w14:textId="77777777" w:rsidR="00B404E0" w:rsidRPr="004B4701" w:rsidRDefault="00B404E0" w:rsidP="006F0294">
            <w:pPr>
              <w:spacing w:before="60" w:after="60"/>
            </w:pPr>
            <w:r w:rsidRPr="00FD5970">
              <w:t>praxe hlavního technika č. 2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14:paraId="6614E475" w14:textId="77777777" w:rsidR="00B404E0" w:rsidRDefault="00B404E0" w:rsidP="006F0294">
            <w:pPr>
              <w:spacing w:before="60" w:after="6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189</w:t>
            </w:r>
          </w:p>
        </w:tc>
      </w:tr>
    </w:tbl>
    <w:p w14:paraId="290E2140" w14:textId="77777777" w:rsidR="001F41DB" w:rsidRDefault="001F41DB" w:rsidP="007D2F18"/>
    <w:p w14:paraId="1E1E6447" w14:textId="77777777" w:rsidR="00596C78" w:rsidRPr="00A40C3D" w:rsidRDefault="00596C78" w:rsidP="007D2F18">
      <w:pPr>
        <w:rPr>
          <w:b/>
        </w:rPr>
      </w:pPr>
      <w:r w:rsidRPr="00A40C3D">
        <w:rPr>
          <w:b/>
        </w:rPr>
        <w:t>Zdůvodnění:</w:t>
      </w:r>
    </w:p>
    <w:p w14:paraId="0EF9AAF9" w14:textId="77777777" w:rsidR="00B404E0" w:rsidRPr="00406D35" w:rsidRDefault="00B404E0" w:rsidP="00B404E0">
      <w:pPr>
        <w:autoSpaceDE w:val="0"/>
        <w:autoSpaceDN w:val="0"/>
        <w:adjustRightInd w:val="0"/>
        <w:spacing w:before="120"/>
        <w:ind w:left="284" w:hanging="284"/>
        <w:rPr>
          <w:bCs/>
        </w:rPr>
      </w:pPr>
      <w:r w:rsidRPr="00406D35">
        <w:rPr>
          <w:bCs/>
        </w:rPr>
        <w:t xml:space="preserve">Základním hodnotícím kritériem je </w:t>
      </w:r>
      <w:r w:rsidRPr="00406D35">
        <w:rPr>
          <w:b/>
          <w:bCs/>
        </w:rPr>
        <w:t>ekonomická výhodnost nabídky</w:t>
      </w:r>
      <w:r w:rsidRPr="00406D35">
        <w:rPr>
          <w:bCs/>
        </w:rPr>
        <w:t>.</w:t>
      </w:r>
    </w:p>
    <w:p w14:paraId="1B20C842" w14:textId="77777777" w:rsidR="00B404E0" w:rsidRPr="00406D35" w:rsidRDefault="00B404E0" w:rsidP="00B404E0">
      <w:pPr>
        <w:autoSpaceDE w:val="0"/>
        <w:autoSpaceDN w:val="0"/>
        <w:adjustRightInd w:val="0"/>
        <w:spacing w:before="120"/>
        <w:rPr>
          <w:bCs/>
        </w:rPr>
      </w:pPr>
      <w:r w:rsidRPr="00406D35">
        <w:rPr>
          <w:bCs/>
        </w:rPr>
        <w:t xml:space="preserve">Zadavatel stanovuje, že ekonomickou výhodnost bude hodnotit podle </w:t>
      </w:r>
      <w:r>
        <w:rPr>
          <w:bCs/>
        </w:rPr>
        <w:t>následujících</w:t>
      </w:r>
      <w:r w:rsidRPr="00406D35">
        <w:rPr>
          <w:bCs/>
        </w:rPr>
        <w:t xml:space="preserve"> </w:t>
      </w:r>
      <w:r>
        <w:rPr>
          <w:bCs/>
        </w:rPr>
        <w:t xml:space="preserve">dílčích </w:t>
      </w:r>
      <w:r w:rsidRPr="00406D35">
        <w:rPr>
          <w:bCs/>
        </w:rPr>
        <w:t>kritérií:</w:t>
      </w:r>
    </w:p>
    <w:p w14:paraId="53AF4F7C" w14:textId="77777777" w:rsidR="00B404E0" w:rsidRPr="00B404E0" w:rsidRDefault="00B404E0" w:rsidP="00B404E0">
      <w:pPr>
        <w:pStyle w:val="Nadpis1"/>
        <w:keepNext w:val="0"/>
        <w:numPr>
          <w:ilvl w:val="0"/>
          <w:numId w:val="30"/>
        </w:numPr>
        <w:autoSpaceDE w:val="0"/>
        <w:autoSpaceDN w:val="0"/>
        <w:adjustRightInd w:val="0"/>
        <w:spacing w:before="120" w:after="0" w:line="276" w:lineRule="auto"/>
        <w:rPr>
          <w:sz w:val="24"/>
          <w:szCs w:val="24"/>
        </w:rPr>
      </w:pPr>
      <w:bookmarkStart w:id="44" w:name="_Toc536085106"/>
      <w:bookmarkStart w:id="45" w:name="_Toc27386754"/>
      <w:r w:rsidRPr="00B404E0">
        <w:rPr>
          <w:sz w:val="24"/>
          <w:szCs w:val="24"/>
        </w:rPr>
        <w:lastRenderedPageBreak/>
        <w:t>Celková nabídková cena bez DPH: váha dílčího kritéria: 90 %</w:t>
      </w:r>
      <w:bookmarkEnd w:id="44"/>
      <w:bookmarkEnd w:id="45"/>
    </w:p>
    <w:p w14:paraId="07893B24" w14:textId="77777777" w:rsidR="00B404E0" w:rsidRPr="00406D35" w:rsidRDefault="00B404E0" w:rsidP="00B404E0">
      <w:pPr>
        <w:autoSpaceDE w:val="0"/>
        <w:autoSpaceDN w:val="0"/>
        <w:adjustRightInd w:val="0"/>
        <w:spacing w:before="120"/>
        <w:rPr>
          <w:bCs/>
          <w:color w:val="000000"/>
        </w:rPr>
      </w:pPr>
      <w:r w:rsidRPr="00406D35">
        <w:rPr>
          <w:bCs/>
          <w:color w:val="000000"/>
        </w:rPr>
        <w:t xml:space="preserve">Prvním dílčím kritériem pro hodnocení nabídky je celková nabídková cena </w:t>
      </w:r>
      <w:r>
        <w:rPr>
          <w:bCs/>
          <w:color w:val="000000"/>
        </w:rPr>
        <w:t xml:space="preserve">v Kč </w:t>
      </w:r>
      <w:r w:rsidRPr="00406D35">
        <w:rPr>
          <w:bCs/>
          <w:color w:val="000000"/>
        </w:rPr>
        <w:t>bez DPH</w:t>
      </w:r>
      <w:r>
        <w:rPr>
          <w:bCs/>
          <w:color w:val="000000"/>
        </w:rPr>
        <w:t xml:space="preserve"> (celková cena za předpokládaný rozsah služeb dle přílohy č. 4 ZD)</w:t>
      </w:r>
      <w:r w:rsidRPr="00406D35">
        <w:rPr>
          <w:bCs/>
          <w:color w:val="000000"/>
        </w:rPr>
        <w:t xml:space="preserve"> zpracovaná účastníkem oceněním rekapitulace nákladů v souladu s čl. 10 </w:t>
      </w:r>
      <w:r>
        <w:rPr>
          <w:bCs/>
          <w:color w:val="000000"/>
        </w:rPr>
        <w:t>ZD.</w:t>
      </w:r>
    </w:p>
    <w:p w14:paraId="36AE878E" w14:textId="77777777" w:rsidR="00B404E0" w:rsidRPr="00406D35" w:rsidRDefault="00B404E0" w:rsidP="00B404E0">
      <w:pPr>
        <w:autoSpaceDE w:val="0"/>
        <w:autoSpaceDN w:val="0"/>
        <w:adjustRightInd w:val="0"/>
        <w:spacing w:before="120"/>
        <w:rPr>
          <w:bCs/>
          <w:color w:val="000000"/>
        </w:rPr>
      </w:pPr>
      <w:r w:rsidRPr="00406D35">
        <w:rPr>
          <w:bCs/>
          <w:color w:val="000000"/>
        </w:rPr>
        <w:t>Nižší nabídková cena bez DPH znamená lepší nabídku.</w:t>
      </w:r>
    </w:p>
    <w:p w14:paraId="60932442" w14:textId="77777777" w:rsidR="00B404E0" w:rsidRPr="00406D35" w:rsidRDefault="00B404E0" w:rsidP="00B404E0">
      <w:pPr>
        <w:autoSpaceDE w:val="0"/>
        <w:autoSpaceDN w:val="0"/>
        <w:adjustRightInd w:val="0"/>
        <w:spacing w:before="120"/>
        <w:rPr>
          <w:bCs/>
          <w:color w:val="000000"/>
        </w:rPr>
      </w:pPr>
      <w:r w:rsidRPr="00406D35">
        <w:rPr>
          <w:bCs/>
          <w:color w:val="000000"/>
        </w:rPr>
        <w:t>Na základě porovnání nabídkových cen bez DPH jednotlivých účastníků bude účastníkovi s nejnižší nabídkovou cenou bez DPH přiděleno 100 bodů, ostatní nabídky získají počet bodů odpovídající poměru nejnižší nabídkové ceny bez DPH a hodnocené nabídkové ceny bez DPH násobeného číslem 100, přičemž výsledný počet bodů bude zaokrouhlen na dvě desetinná místa.</w:t>
      </w:r>
    </w:p>
    <w:p w14:paraId="07E2D15F" w14:textId="77777777" w:rsidR="00B404E0" w:rsidRPr="00B404E0" w:rsidRDefault="00B404E0" w:rsidP="00B404E0">
      <w:pPr>
        <w:pStyle w:val="Nadpis1"/>
        <w:keepNext w:val="0"/>
        <w:numPr>
          <w:ilvl w:val="0"/>
          <w:numId w:val="30"/>
        </w:numPr>
        <w:autoSpaceDE w:val="0"/>
        <w:autoSpaceDN w:val="0"/>
        <w:adjustRightInd w:val="0"/>
        <w:spacing w:before="120" w:after="0" w:line="276" w:lineRule="auto"/>
        <w:rPr>
          <w:sz w:val="24"/>
        </w:rPr>
      </w:pPr>
      <w:bookmarkStart w:id="46" w:name="_Toc536085107"/>
      <w:bookmarkStart w:id="47" w:name="_Toc27386755"/>
      <w:r w:rsidRPr="00B404E0">
        <w:rPr>
          <w:sz w:val="24"/>
        </w:rPr>
        <w:t>Délka odborné praxe hlavního technik</w:t>
      </w:r>
      <w:bookmarkEnd w:id="46"/>
      <w:r w:rsidRPr="00B404E0">
        <w:rPr>
          <w:sz w:val="24"/>
        </w:rPr>
        <w:t>a č. 1: váha dílčího kritéria 5 %</w:t>
      </w:r>
      <w:bookmarkEnd w:id="47"/>
    </w:p>
    <w:p w14:paraId="2386D160" w14:textId="77777777" w:rsidR="00B404E0" w:rsidRPr="00406D35" w:rsidRDefault="00B404E0" w:rsidP="00B404E0">
      <w:pPr>
        <w:autoSpaceDE w:val="0"/>
        <w:autoSpaceDN w:val="0"/>
        <w:adjustRightInd w:val="0"/>
        <w:spacing w:before="120"/>
        <w:rPr>
          <w:bCs/>
        </w:rPr>
      </w:pPr>
      <w:r w:rsidRPr="00406D35">
        <w:rPr>
          <w:bCs/>
        </w:rPr>
        <w:t>Druhým dílčím kritériem pro hodnocení nabídky je počet měsíců relevantní odborné praxe osob</w:t>
      </w:r>
      <w:r>
        <w:rPr>
          <w:bCs/>
        </w:rPr>
        <w:t>y</w:t>
      </w:r>
      <w:r w:rsidRPr="00406D35">
        <w:rPr>
          <w:bCs/>
        </w:rPr>
        <w:t>, kter</w:t>
      </w:r>
      <w:r>
        <w:rPr>
          <w:bCs/>
        </w:rPr>
        <w:t>á</w:t>
      </w:r>
      <w:r w:rsidRPr="00406D35">
        <w:rPr>
          <w:bCs/>
        </w:rPr>
        <w:t xml:space="preserve"> </w:t>
      </w:r>
      <w:r>
        <w:rPr>
          <w:bCs/>
        </w:rPr>
        <w:t>bude vykonávat funkci hlavního technika č. 1 dle čl. 16.2 (i) ZD.</w:t>
      </w:r>
    </w:p>
    <w:p w14:paraId="061B1BA2" w14:textId="77777777" w:rsidR="00B404E0" w:rsidRPr="00406D35" w:rsidRDefault="00B404E0" w:rsidP="00B404E0">
      <w:pPr>
        <w:autoSpaceDE w:val="0"/>
        <w:autoSpaceDN w:val="0"/>
        <w:adjustRightInd w:val="0"/>
        <w:spacing w:before="120"/>
        <w:rPr>
          <w:bCs/>
        </w:rPr>
      </w:pPr>
      <w:r w:rsidRPr="00CA44CC">
        <w:rPr>
          <w:bCs/>
        </w:rPr>
        <w:t xml:space="preserve">Délka relevantní odborné praxe je dobou, po kterou daná osoba vykonává </w:t>
      </w:r>
      <w:r w:rsidRPr="00CA44CC">
        <w:t>hlavní a mimořádné</w:t>
      </w:r>
      <w:r w:rsidRPr="00802AB1">
        <w:t xml:space="preserve"> prohlíd</w:t>
      </w:r>
      <w:r>
        <w:t>ky</w:t>
      </w:r>
      <w:r w:rsidRPr="00802AB1">
        <w:t xml:space="preserve"> mostů pozemních komunikací</w:t>
      </w:r>
      <w:r w:rsidRPr="00406D35">
        <w:rPr>
          <w:bCs/>
        </w:rPr>
        <w:t>. Délka relevantní odborné praxe se počítá od udělení příslušné</w:t>
      </w:r>
      <w:r>
        <w:rPr>
          <w:bCs/>
        </w:rPr>
        <w:t>ho oprávnění</w:t>
      </w:r>
      <w:r w:rsidRPr="00406D35">
        <w:rPr>
          <w:bCs/>
        </w:rPr>
        <w:t xml:space="preserve"> do konce lhůty pro podání nabídek. Zohledňují se pouze celé uplynulé měsíce praxe. Do délky relevantní odborné praxe se nezapočítává doba, po kterou byl</w:t>
      </w:r>
      <w:r>
        <w:rPr>
          <w:bCs/>
        </w:rPr>
        <w:t>o případně oprávnění pozastaveno</w:t>
      </w:r>
      <w:r w:rsidRPr="00406D35">
        <w:rPr>
          <w:bCs/>
        </w:rPr>
        <w:t xml:space="preserve"> </w:t>
      </w:r>
      <w:r>
        <w:rPr>
          <w:bCs/>
        </w:rPr>
        <w:t xml:space="preserve">nebo odebráno. </w:t>
      </w:r>
      <w:r w:rsidRPr="00406D35">
        <w:rPr>
          <w:bCs/>
        </w:rPr>
        <w:t xml:space="preserve">Pro vyloučení pochybností se uvádí, že má být zohledněna celková doba relevantní praxe </w:t>
      </w:r>
      <w:r>
        <w:rPr>
          <w:bCs/>
        </w:rPr>
        <w:t>oprávněné</w:t>
      </w:r>
      <w:r w:rsidRPr="00406D35">
        <w:rPr>
          <w:bCs/>
        </w:rPr>
        <w:t xml:space="preserve"> osoby bez ohledu na skutečnost, zda byla </w:t>
      </w:r>
      <w:r>
        <w:rPr>
          <w:bCs/>
        </w:rPr>
        <w:t>odborná</w:t>
      </w:r>
      <w:r w:rsidRPr="00406D35">
        <w:rPr>
          <w:bCs/>
        </w:rPr>
        <w:t xml:space="preserve"> činnost prováděna </w:t>
      </w:r>
      <w:r>
        <w:rPr>
          <w:bCs/>
        </w:rPr>
        <w:t>přímo pro účastníka.</w:t>
      </w:r>
    </w:p>
    <w:p w14:paraId="58FFBB77" w14:textId="77777777" w:rsidR="00B404E0" w:rsidRPr="00406D35" w:rsidRDefault="00B404E0" w:rsidP="00B404E0">
      <w:pPr>
        <w:autoSpaceDE w:val="0"/>
        <w:autoSpaceDN w:val="0"/>
        <w:adjustRightInd w:val="0"/>
        <w:spacing w:before="120"/>
        <w:rPr>
          <w:bCs/>
        </w:rPr>
      </w:pPr>
      <w:r w:rsidRPr="00406D35">
        <w:rPr>
          <w:bCs/>
        </w:rPr>
        <w:t>Délku relevantní odborné praxe účastník uvede v čestném prohlášení, jehož vzor</w:t>
      </w:r>
      <w:r>
        <w:rPr>
          <w:bCs/>
        </w:rPr>
        <w:t xml:space="preserve"> </w:t>
      </w:r>
      <w:r w:rsidRPr="00406D35">
        <w:rPr>
          <w:bCs/>
        </w:rPr>
        <w:t>je přílohou č. </w:t>
      </w:r>
      <w:r>
        <w:rPr>
          <w:bCs/>
        </w:rPr>
        <w:t>7</w:t>
      </w:r>
      <w:r w:rsidRPr="00406D35">
        <w:rPr>
          <w:bCs/>
        </w:rPr>
        <w:t xml:space="preserve"> této </w:t>
      </w:r>
      <w:r>
        <w:rPr>
          <w:bCs/>
        </w:rPr>
        <w:t>ZD (pro potřebu podání nabídky není nutné vyplňovat ostatní osoby)</w:t>
      </w:r>
      <w:r w:rsidRPr="00406D35">
        <w:rPr>
          <w:bCs/>
        </w:rPr>
        <w:t xml:space="preserve">. Pro vyloučení pochybností zadavatel uvádí, že účastník je oprávněn uvést </w:t>
      </w:r>
      <w:r>
        <w:rPr>
          <w:bCs/>
        </w:rPr>
        <w:t xml:space="preserve">pro toto kritérium </w:t>
      </w:r>
      <w:r w:rsidRPr="00406D35">
        <w:rPr>
          <w:bCs/>
        </w:rPr>
        <w:t xml:space="preserve">délku relevantní odborné praxe pouze </w:t>
      </w:r>
      <w:r>
        <w:rPr>
          <w:bCs/>
        </w:rPr>
        <w:t xml:space="preserve">hlavního technika č. 1 </w:t>
      </w:r>
      <w:r w:rsidRPr="00406D35">
        <w:rPr>
          <w:bCs/>
        </w:rPr>
        <w:t>(nelze sčítat délku relevantní odborné praxe více osob)</w:t>
      </w:r>
      <w:r>
        <w:rPr>
          <w:bCs/>
        </w:rPr>
        <w:t xml:space="preserve"> – tato osoba musí být shodná s osobou dle čl. 16.2 (i) ZD.</w:t>
      </w:r>
    </w:p>
    <w:p w14:paraId="65C7A51C" w14:textId="77777777" w:rsidR="00B404E0" w:rsidRDefault="00B404E0" w:rsidP="00B404E0">
      <w:pPr>
        <w:autoSpaceDE w:val="0"/>
        <w:autoSpaceDN w:val="0"/>
        <w:adjustRightInd w:val="0"/>
        <w:spacing w:before="120"/>
        <w:rPr>
          <w:bCs/>
        </w:rPr>
      </w:pPr>
      <w:r w:rsidRPr="00406D35">
        <w:rPr>
          <w:bCs/>
        </w:rPr>
        <w:t>Dle délky relevantní odborné praxe bude účastníkovi přiřazeno konkrétní bodové ohodnocení dle níže uvedené tabulky: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742"/>
        <w:gridCol w:w="1517"/>
        <w:gridCol w:w="1520"/>
        <w:gridCol w:w="1520"/>
        <w:gridCol w:w="1521"/>
      </w:tblGrid>
      <w:tr w:rsidR="00B404E0" w:rsidRPr="00406D35" w14:paraId="75B8A685" w14:textId="77777777" w:rsidTr="006F0294">
        <w:trPr>
          <w:trHeight w:val="983"/>
          <w:jc w:val="center"/>
        </w:trPr>
        <w:tc>
          <w:tcPr>
            <w:tcW w:w="1742" w:type="dxa"/>
            <w:shd w:val="clear" w:color="auto" w:fill="D9D9D9" w:themeFill="background1" w:themeFillShade="D9"/>
            <w:vAlign w:val="center"/>
          </w:tcPr>
          <w:p w14:paraId="37161E0E" w14:textId="77777777" w:rsidR="00B404E0" w:rsidRPr="00406D35" w:rsidRDefault="00B404E0" w:rsidP="006F029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</w:rPr>
            </w:pPr>
            <w:r w:rsidRPr="00406D35">
              <w:rPr>
                <w:b/>
                <w:bCs/>
              </w:rPr>
              <w:t>Délka relevantní odborné praxe</w:t>
            </w:r>
          </w:p>
        </w:tc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668BD4BA" w14:textId="77777777" w:rsidR="00B404E0" w:rsidRPr="00406D35" w:rsidRDefault="00B404E0" w:rsidP="006F029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</w:rPr>
            </w:pPr>
            <w:r w:rsidRPr="00406D35">
              <w:rPr>
                <w:bCs/>
              </w:rPr>
              <w:t>méně než 36 měsíců</w:t>
            </w:r>
          </w:p>
        </w:tc>
        <w:tc>
          <w:tcPr>
            <w:tcW w:w="1520" w:type="dxa"/>
            <w:shd w:val="clear" w:color="auto" w:fill="F2F2F2" w:themeFill="background1" w:themeFillShade="F2"/>
            <w:vAlign w:val="center"/>
          </w:tcPr>
          <w:p w14:paraId="1D6CD504" w14:textId="77777777" w:rsidR="00B404E0" w:rsidRPr="00406D35" w:rsidRDefault="00B404E0" w:rsidP="006F029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</w:rPr>
            </w:pPr>
            <w:r w:rsidRPr="00406D35">
              <w:rPr>
                <w:bCs/>
              </w:rPr>
              <w:t>36 měsíců (včetně) až 72 měsíců</w:t>
            </w:r>
          </w:p>
        </w:tc>
        <w:tc>
          <w:tcPr>
            <w:tcW w:w="1520" w:type="dxa"/>
            <w:shd w:val="clear" w:color="auto" w:fill="F2F2F2" w:themeFill="background1" w:themeFillShade="F2"/>
            <w:vAlign w:val="center"/>
          </w:tcPr>
          <w:p w14:paraId="7334AE13" w14:textId="77777777" w:rsidR="00B404E0" w:rsidRPr="00406D35" w:rsidRDefault="00B404E0" w:rsidP="006F029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</w:rPr>
            </w:pPr>
            <w:r w:rsidRPr="00406D35">
              <w:rPr>
                <w:bCs/>
              </w:rPr>
              <w:t>72 měsíců (včetně) až 108 měsíců</w:t>
            </w:r>
          </w:p>
        </w:tc>
        <w:tc>
          <w:tcPr>
            <w:tcW w:w="1521" w:type="dxa"/>
            <w:shd w:val="clear" w:color="auto" w:fill="F2F2F2" w:themeFill="background1" w:themeFillShade="F2"/>
            <w:vAlign w:val="center"/>
          </w:tcPr>
          <w:p w14:paraId="470714E0" w14:textId="77777777" w:rsidR="00B404E0" w:rsidRPr="00406D35" w:rsidRDefault="00B404E0" w:rsidP="006F029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</w:rPr>
            </w:pPr>
            <w:r w:rsidRPr="00406D35">
              <w:rPr>
                <w:bCs/>
              </w:rPr>
              <w:t>108 měsíců (včetně) a  více</w:t>
            </w:r>
          </w:p>
        </w:tc>
      </w:tr>
      <w:tr w:rsidR="00B404E0" w:rsidRPr="00406D35" w14:paraId="39362517" w14:textId="77777777" w:rsidTr="006F0294">
        <w:trPr>
          <w:trHeight w:val="696"/>
          <w:jc w:val="center"/>
        </w:trPr>
        <w:tc>
          <w:tcPr>
            <w:tcW w:w="1742" w:type="dxa"/>
            <w:shd w:val="clear" w:color="auto" w:fill="D9D9D9" w:themeFill="background1" w:themeFillShade="D9"/>
            <w:vAlign w:val="center"/>
          </w:tcPr>
          <w:p w14:paraId="47D931A7" w14:textId="77777777" w:rsidR="00B404E0" w:rsidRPr="00406D35" w:rsidRDefault="00B404E0" w:rsidP="006F029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</w:rPr>
            </w:pPr>
            <w:r w:rsidRPr="00406D35">
              <w:rPr>
                <w:b/>
                <w:bCs/>
              </w:rPr>
              <w:t>Bodové ohodnocení</w:t>
            </w:r>
          </w:p>
        </w:tc>
        <w:tc>
          <w:tcPr>
            <w:tcW w:w="1517" w:type="dxa"/>
            <w:vAlign w:val="center"/>
          </w:tcPr>
          <w:p w14:paraId="7252BEE3" w14:textId="77777777" w:rsidR="00B404E0" w:rsidRPr="00406D35" w:rsidRDefault="00B404E0" w:rsidP="006F029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</w:rPr>
            </w:pPr>
            <w:r w:rsidRPr="00406D35">
              <w:rPr>
                <w:bCs/>
              </w:rPr>
              <w:t>5 bodů</w:t>
            </w:r>
          </w:p>
        </w:tc>
        <w:tc>
          <w:tcPr>
            <w:tcW w:w="1520" w:type="dxa"/>
            <w:vAlign w:val="center"/>
          </w:tcPr>
          <w:p w14:paraId="6B7207E4" w14:textId="77777777" w:rsidR="00B404E0" w:rsidRPr="00406D35" w:rsidRDefault="00B404E0" w:rsidP="006F029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</w:rPr>
            </w:pPr>
            <w:r w:rsidRPr="00406D35">
              <w:rPr>
                <w:bCs/>
              </w:rPr>
              <w:t>10 bodů</w:t>
            </w:r>
          </w:p>
        </w:tc>
        <w:tc>
          <w:tcPr>
            <w:tcW w:w="1520" w:type="dxa"/>
            <w:vAlign w:val="center"/>
          </w:tcPr>
          <w:p w14:paraId="10A5B8BB" w14:textId="77777777" w:rsidR="00B404E0" w:rsidRPr="00406D35" w:rsidRDefault="00B404E0" w:rsidP="006F029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</w:rPr>
            </w:pPr>
            <w:r w:rsidRPr="00406D35">
              <w:rPr>
                <w:bCs/>
              </w:rPr>
              <w:t>15 bodů</w:t>
            </w:r>
          </w:p>
        </w:tc>
        <w:tc>
          <w:tcPr>
            <w:tcW w:w="1521" w:type="dxa"/>
            <w:vAlign w:val="center"/>
          </w:tcPr>
          <w:p w14:paraId="40AC9DFF" w14:textId="77777777" w:rsidR="00B404E0" w:rsidRPr="00406D35" w:rsidRDefault="00B404E0" w:rsidP="006F029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</w:rPr>
            </w:pPr>
            <w:r w:rsidRPr="00406D35">
              <w:rPr>
                <w:bCs/>
              </w:rPr>
              <w:t>20 bodů</w:t>
            </w:r>
          </w:p>
        </w:tc>
      </w:tr>
    </w:tbl>
    <w:p w14:paraId="6D39BAF2" w14:textId="77777777" w:rsidR="00B404E0" w:rsidRDefault="00B404E0" w:rsidP="00B404E0">
      <w:pPr>
        <w:spacing w:before="120" w:after="120"/>
        <w:rPr>
          <w:bCs/>
        </w:rPr>
      </w:pPr>
      <w:r w:rsidRPr="00406D35">
        <w:rPr>
          <w:bCs/>
        </w:rPr>
        <w:t>Větší počet bodů znamená lepší nabídku. Bodové ohodnocení v rámci dílčího kritéria bude následně přepočteno na 100 bodovou stupnici dle níže uvedeného vzorce: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396"/>
        <w:gridCol w:w="5593"/>
      </w:tblGrid>
      <w:tr w:rsidR="00B404E0" w:rsidRPr="00406D35" w14:paraId="2FFDA599" w14:textId="77777777" w:rsidTr="006F0294">
        <w:trPr>
          <w:trHeight w:val="530"/>
          <w:jc w:val="center"/>
        </w:trPr>
        <w:tc>
          <w:tcPr>
            <w:tcW w:w="636" w:type="dxa"/>
            <w:vMerge w:val="restart"/>
            <w:vAlign w:val="center"/>
          </w:tcPr>
          <w:p w14:paraId="5AC5BCB7" w14:textId="77777777" w:rsidR="00B404E0" w:rsidRPr="00406D35" w:rsidRDefault="00B404E0" w:rsidP="006F0294">
            <w:pPr>
              <w:spacing w:after="120"/>
              <w:jc w:val="center"/>
              <w:rPr>
                <w:b/>
                <w:color w:val="000000"/>
              </w:rPr>
            </w:pPr>
            <w:r w:rsidRPr="00406D35">
              <w:rPr>
                <w:b/>
                <w:color w:val="000000"/>
              </w:rPr>
              <w:t>100</w:t>
            </w:r>
          </w:p>
        </w:tc>
        <w:tc>
          <w:tcPr>
            <w:tcW w:w="396" w:type="dxa"/>
            <w:vMerge w:val="restart"/>
            <w:vAlign w:val="center"/>
          </w:tcPr>
          <w:p w14:paraId="6EE59A69" w14:textId="77777777" w:rsidR="00B404E0" w:rsidRPr="00406D35" w:rsidRDefault="00B404E0" w:rsidP="006F0294">
            <w:pPr>
              <w:spacing w:after="120"/>
              <w:jc w:val="center"/>
              <w:rPr>
                <w:b/>
                <w:color w:val="000000"/>
              </w:rPr>
            </w:pPr>
            <w:r w:rsidRPr="00406D35">
              <w:rPr>
                <w:b/>
                <w:color w:val="000000"/>
              </w:rPr>
              <w:t>x 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vAlign w:val="bottom"/>
          </w:tcPr>
          <w:p w14:paraId="7961977E" w14:textId="77777777" w:rsidR="00B404E0" w:rsidRPr="00406D35" w:rsidRDefault="00B404E0" w:rsidP="006F029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06D35">
              <w:rPr>
                <w:b/>
                <w:color w:val="000000"/>
              </w:rPr>
              <w:t>body přidělené hodnocené nabídce</w:t>
            </w:r>
          </w:p>
        </w:tc>
      </w:tr>
      <w:tr w:rsidR="00B404E0" w:rsidRPr="00406D35" w14:paraId="610A01E0" w14:textId="77777777" w:rsidTr="006F0294">
        <w:trPr>
          <w:trHeight w:val="630"/>
          <w:jc w:val="center"/>
        </w:trPr>
        <w:tc>
          <w:tcPr>
            <w:tcW w:w="636" w:type="dxa"/>
            <w:vMerge/>
          </w:tcPr>
          <w:p w14:paraId="30C6BCEB" w14:textId="77777777" w:rsidR="00B404E0" w:rsidRPr="00406D35" w:rsidRDefault="00B404E0" w:rsidP="006F0294">
            <w:pPr>
              <w:spacing w:after="120"/>
              <w:rPr>
                <w:b/>
                <w:color w:val="000000"/>
              </w:rPr>
            </w:pPr>
          </w:p>
        </w:tc>
        <w:tc>
          <w:tcPr>
            <w:tcW w:w="396" w:type="dxa"/>
            <w:vMerge/>
          </w:tcPr>
          <w:p w14:paraId="534A5125" w14:textId="77777777" w:rsidR="00B404E0" w:rsidRPr="00406D35" w:rsidRDefault="00B404E0" w:rsidP="006F0294">
            <w:pPr>
              <w:spacing w:after="120"/>
              <w:rPr>
                <w:b/>
                <w:color w:val="000000"/>
              </w:rPr>
            </w:pPr>
          </w:p>
        </w:tc>
        <w:tc>
          <w:tcPr>
            <w:tcW w:w="5593" w:type="dxa"/>
            <w:tcBorders>
              <w:top w:val="single" w:sz="4" w:space="0" w:color="auto"/>
            </w:tcBorders>
          </w:tcPr>
          <w:p w14:paraId="6517E71C" w14:textId="77777777" w:rsidR="00B404E0" w:rsidRPr="00406D35" w:rsidRDefault="00B404E0" w:rsidP="006F0294">
            <w:pPr>
              <w:spacing w:after="120"/>
              <w:jc w:val="center"/>
              <w:rPr>
                <w:b/>
                <w:color w:val="000000"/>
              </w:rPr>
            </w:pPr>
            <w:r w:rsidRPr="00406D35">
              <w:rPr>
                <w:b/>
                <w:color w:val="000000"/>
              </w:rPr>
              <w:t>body přidělené nabídce (nabídkám) s  nejvyšším počtem bodů</w:t>
            </w:r>
          </w:p>
        </w:tc>
      </w:tr>
    </w:tbl>
    <w:p w14:paraId="57F6CD02" w14:textId="77777777" w:rsidR="00B404E0" w:rsidRPr="00B404E0" w:rsidRDefault="00B404E0" w:rsidP="00B404E0">
      <w:pPr>
        <w:pStyle w:val="Nadpis1"/>
        <w:keepNext w:val="0"/>
        <w:numPr>
          <w:ilvl w:val="0"/>
          <w:numId w:val="30"/>
        </w:numPr>
        <w:autoSpaceDE w:val="0"/>
        <w:autoSpaceDN w:val="0"/>
        <w:adjustRightInd w:val="0"/>
        <w:spacing w:before="120" w:after="0" w:line="276" w:lineRule="auto"/>
        <w:rPr>
          <w:sz w:val="24"/>
        </w:rPr>
      </w:pPr>
      <w:bookmarkStart w:id="48" w:name="_Toc27386756"/>
      <w:r w:rsidRPr="00B404E0">
        <w:rPr>
          <w:sz w:val="24"/>
        </w:rPr>
        <w:t>Délka odborné praxe hlavního technika č. 2: váha dílčího kritéria 5 %</w:t>
      </w:r>
      <w:bookmarkEnd w:id="48"/>
    </w:p>
    <w:p w14:paraId="3223AF60" w14:textId="77777777" w:rsidR="00B404E0" w:rsidRPr="00406D35" w:rsidRDefault="00B404E0" w:rsidP="00B404E0">
      <w:pPr>
        <w:autoSpaceDE w:val="0"/>
        <w:autoSpaceDN w:val="0"/>
        <w:adjustRightInd w:val="0"/>
        <w:spacing w:before="120"/>
        <w:rPr>
          <w:bCs/>
        </w:rPr>
      </w:pPr>
      <w:r>
        <w:rPr>
          <w:bCs/>
        </w:rPr>
        <w:t>Třetím</w:t>
      </w:r>
      <w:r w:rsidRPr="00406D35">
        <w:rPr>
          <w:bCs/>
        </w:rPr>
        <w:t xml:space="preserve"> dílčím kritériem pro hodnocení nabídky je počet měsíců relevantní odborné praxe osob</w:t>
      </w:r>
      <w:r>
        <w:rPr>
          <w:bCs/>
        </w:rPr>
        <w:t>y</w:t>
      </w:r>
      <w:r w:rsidRPr="00406D35">
        <w:rPr>
          <w:bCs/>
        </w:rPr>
        <w:t>, kter</w:t>
      </w:r>
      <w:r>
        <w:rPr>
          <w:bCs/>
        </w:rPr>
        <w:t>á</w:t>
      </w:r>
      <w:r w:rsidRPr="00406D35">
        <w:rPr>
          <w:bCs/>
        </w:rPr>
        <w:t xml:space="preserve"> </w:t>
      </w:r>
      <w:r>
        <w:rPr>
          <w:bCs/>
        </w:rPr>
        <w:t>bude vykonávat funkci hlavního technika č. 2 dle čl. 16.2 (i) ZD.</w:t>
      </w:r>
    </w:p>
    <w:p w14:paraId="1E0BD410" w14:textId="77777777" w:rsidR="00B404E0" w:rsidRPr="00406D35" w:rsidRDefault="00B404E0" w:rsidP="00B404E0">
      <w:pPr>
        <w:autoSpaceDE w:val="0"/>
        <w:autoSpaceDN w:val="0"/>
        <w:adjustRightInd w:val="0"/>
        <w:spacing w:before="120"/>
        <w:rPr>
          <w:bCs/>
        </w:rPr>
      </w:pPr>
      <w:r w:rsidRPr="00CA44CC">
        <w:rPr>
          <w:bCs/>
        </w:rPr>
        <w:lastRenderedPageBreak/>
        <w:t xml:space="preserve">Délka relevantní odborné praxe je dobou, po kterou daná osoba vykonává </w:t>
      </w:r>
      <w:r w:rsidRPr="00CA44CC">
        <w:t>hlavní a mimořádné</w:t>
      </w:r>
      <w:r w:rsidRPr="00802AB1">
        <w:t xml:space="preserve"> prohlíd</w:t>
      </w:r>
      <w:r>
        <w:t>ky</w:t>
      </w:r>
      <w:r w:rsidRPr="00802AB1">
        <w:t xml:space="preserve"> mostů pozemních komunikací</w:t>
      </w:r>
      <w:r w:rsidRPr="00406D35">
        <w:rPr>
          <w:bCs/>
        </w:rPr>
        <w:t>. Délka relevantní odborné praxe se počítá od udělení příslušné</w:t>
      </w:r>
      <w:r>
        <w:rPr>
          <w:bCs/>
        </w:rPr>
        <w:t>ho oprávnění</w:t>
      </w:r>
      <w:r w:rsidRPr="00406D35">
        <w:rPr>
          <w:bCs/>
        </w:rPr>
        <w:t xml:space="preserve"> do konce lhůty pro podání nabídek. Zohledňují se pouze celé uplynulé měsíce praxe. Do délky relevantní odborné praxe se nezapočítává doba, po kterou byl</w:t>
      </w:r>
      <w:r>
        <w:rPr>
          <w:bCs/>
        </w:rPr>
        <w:t>o případně oprávnění pozastaveno</w:t>
      </w:r>
      <w:r w:rsidRPr="00406D35">
        <w:rPr>
          <w:bCs/>
        </w:rPr>
        <w:t xml:space="preserve"> </w:t>
      </w:r>
      <w:r>
        <w:rPr>
          <w:bCs/>
        </w:rPr>
        <w:t xml:space="preserve">nebo odebráno. </w:t>
      </w:r>
      <w:r w:rsidRPr="00406D35">
        <w:rPr>
          <w:bCs/>
        </w:rPr>
        <w:t xml:space="preserve">Pro vyloučení pochybností se uvádí, že má být zohledněna celková doba relevantní praxe </w:t>
      </w:r>
      <w:r>
        <w:rPr>
          <w:bCs/>
        </w:rPr>
        <w:t>oprávněné</w:t>
      </w:r>
      <w:r w:rsidRPr="00406D35">
        <w:rPr>
          <w:bCs/>
        </w:rPr>
        <w:t xml:space="preserve"> osoby bez ohledu na skutečnost, zda byla </w:t>
      </w:r>
      <w:r>
        <w:rPr>
          <w:bCs/>
        </w:rPr>
        <w:t>odborná</w:t>
      </w:r>
      <w:r w:rsidRPr="00406D35">
        <w:rPr>
          <w:bCs/>
        </w:rPr>
        <w:t xml:space="preserve"> činnost prováděna </w:t>
      </w:r>
      <w:r>
        <w:rPr>
          <w:bCs/>
        </w:rPr>
        <w:t>přímo pro účastníka.</w:t>
      </w:r>
    </w:p>
    <w:p w14:paraId="46D329A7" w14:textId="77777777" w:rsidR="00B404E0" w:rsidRPr="00406D35" w:rsidRDefault="00B404E0" w:rsidP="00B404E0">
      <w:pPr>
        <w:autoSpaceDE w:val="0"/>
        <w:autoSpaceDN w:val="0"/>
        <w:adjustRightInd w:val="0"/>
        <w:spacing w:before="120"/>
        <w:rPr>
          <w:bCs/>
        </w:rPr>
      </w:pPr>
      <w:r w:rsidRPr="00406D35">
        <w:rPr>
          <w:bCs/>
        </w:rPr>
        <w:t>Délku relevantní odborné praxe účastník uvede v čestném prohlášení, jehož vzor je přílohou č. </w:t>
      </w:r>
      <w:r>
        <w:rPr>
          <w:bCs/>
        </w:rPr>
        <w:t>7</w:t>
      </w:r>
      <w:r w:rsidRPr="00406D35">
        <w:rPr>
          <w:bCs/>
        </w:rPr>
        <w:t xml:space="preserve"> této </w:t>
      </w:r>
      <w:r>
        <w:rPr>
          <w:bCs/>
        </w:rPr>
        <w:t>ZD (pro potřebu podání nabídky není nutné vyplňovat ostatní osoby)</w:t>
      </w:r>
      <w:r w:rsidRPr="00406D35">
        <w:rPr>
          <w:bCs/>
        </w:rPr>
        <w:t xml:space="preserve">. Pro vyloučení pochybností zadavatel uvádí, že účastník je oprávněn uvést </w:t>
      </w:r>
      <w:r>
        <w:rPr>
          <w:bCs/>
        </w:rPr>
        <w:t xml:space="preserve">pro toto kritérium </w:t>
      </w:r>
      <w:r w:rsidRPr="00406D35">
        <w:rPr>
          <w:bCs/>
        </w:rPr>
        <w:t xml:space="preserve">délku relevantní odborné praxe pouze </w:t>
      </w:r>
      <w:r>
        <w:rPr>
          <w:bCs/>
        </w:rPr>
        <w:t xml:space="preserve">hlavního technika č. 2 </w:t>
      </w:r>
      <w:r w:rsidRPr="00406D35">
        <w:rPr>
          <w:bCs/>
        </w:rPr>
        <w:t>(nelze sčítat délku relevantní odborné praxe více osob)</w:t>
      </w:r>
      <w:r>
        <w:rPr>
          <w:bCs/>
        </w:rPr>
        <w:t xml:space="preserve"> – tato osoba musí být shodná s osobou dle čl. 16.2 (i) ZD a současně musí být odlišná od osoby hlavního technika č. 1.</w:t>
      </w:r>
    </w:p>
    <w:p w14:paraId="2DF1BC38" w14:textId="77777777" w:rsidR="00B404E0" w:rsidRDefault="00B404E0" w:rsidP="00B404E0">
      <w:pPr>
        <w:autoSpaceDE w:val="0"/>
        <w:autoSpaceDN w:val="0"/>
        <w:adjustRightInd w:val="0"/>
        <w:spacing w:before="120" w:after="120"/>
        <w:rPr>
          <w:bCs/>
        </w:rPr>
      </w:pPr>
      <w:r w:rsidRPr="00406D35">
        <w:rPr>
          <w:bCs/>
        </w:rPr>
        <w:t>Dle délky relevantní odborné praxe bude účastníkovi přiřazeno konkrétní bodové ohodnocení dle níže uvedené tabulky: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83"/>
        <w:gridCol w:w="1517"/>
        <w:gridCol w:w="1520"/>
        <w:gridCol w:w="1520"/>
        <w:gridCol w:w="1521"/>
      </w:tblGrid>
      <w:tr w:rsidR="00B404E0" w:rsidRPr="00406D35" w14:paraId="2F65DECA" w14:textId="77777777" w:rsidTr="006F0294">
        <w:trPr>
          <w:trHeight w:val="1049"/>
          <w:jc w:val="center"/>
        </w:trPr>
        <w:tc>
          <w:tcPr>
            <w:tcW w:w="1883" w:type="dxa"/>
            <w:shd w:val="clear" w:color="auto" w:fill="D9D9D9" w:themeFill="background1" w:themeFillShade="D9"/>
            <w:vAlign w:val="center"/>
          </w:tcPr>
          <w:p w14:paraId="2DCE6DF0" w14:textId="77777777" w:rsidR="00B404E0" w:rsidRPr="00406D35" w:rsidRDefault="00B404E0" w:rsidP="006F029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</w:rPr>
            </w:pPr>
            <w:r w:rsidRPr="00406D35">
              <w:rPr>
                <w:b/>
                <w:bCs/>
              </w:rPr>
              <w:t>Délka relevantní odborné praxe</w:t>
            </w:r>
          </w:p>
        </w:tc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635C4F80" w14:textId="77777777" w:rsidR="00B404E0" w:rsidRPr="00406D35" w:rsidRDefault="00B404E0" w:rsidP="006F029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</w:rPr>
            </w:pPr>
            <w:r w:rsidRPr="00406D35">
              <w:rPr>
                <w:bCs/>
              </w:rPr>
              <w:t>méně než 36 měsíců</w:t>
            </w:r>
          </w:p>
        </w:tc>
        <w:tc>
          <w:tcPr>
            <w:tcW w:w="1520" w:type="dxa"/>
            <w:shd w:val="clear" w:color="auto" w:fill="F2F2F2" w:themeFill="background1" w:themeFillShade="F2"/>
            <w:vAlign w:val="center"/>
          </w:tcPr>
          <w:p w14:paraId="6762CDFE" w14:textId="77777777" w:rsidR="00B404E0" w:rsidRPr="00406D35" w:rsidRDefault="00B404E0" w:rsidP="006F029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</w:rPr>
            </w:pPr>
            <w:r w:rsidRPr="00406D35">
              <w:rPr>
                <w:bCs/>
              </w:rPr>
              <w:t>36 měsíců (včetně) až 72 měsíců</w:t>
            </w:r>
          </w:p>
        </w:tc>
        <w:tc>
          <w:tcPr>
            <w:tcW w:w="1520" w:type="dxa"/>
            <w:shd w:val="clear" w:color="auto" w:fill="F2F2F2" w:themeFill="background1" w:themeFillShade="F2"/>
            <w:vAlign w:val="center"/>
          </w:tcPr>
          <w:p w14:paraId="54858A13" w14:textId="77777777" w:rsidR="00B404E0" w:rsidRPr="00406D35" w:rsidRDefault="00B404E0" w:rsidP="006F029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</w:rPr>
            </w:pPr>
            <w:r w:rsidRPr="00406D35">
              <w:rPr>
                <w:bCs/>
              </w:rPr>
              <w:t>72 měsíců (včetně) až 108 měsíců</w:t>
            </w:r>
          </w:p>
        </w:tc>
        <w:tc>
          <w:tcPr>
            <w:tcW w:w="1521" w:type="dxa"/>
            <w:shd w:val="clear" w:color="auto" w:fill="F2F2F2" w:themeFill="background1" w:themeFillShade="F2"/>
            <w:vAlign w:val="center"/>
          </w:tcPr>
          <w:p w14:paraId="220EDDF6" w14:textId="77777777" w:rsidR="00B404E0" w:rsidRPr="00406D35" w:rsidRDefault="00B404E0" w:rsidP="006F029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</w:rPr>
            </w:pPr>
            <w:r w:rsidRPr="00406D35">
              <w:rPr>
                <w:bCs/>
              </w:rPr>
              <w:t>108 měsíců (včetně) a  více</w:t>
            </w:r>
          </w:p>
        </w:tc>
      </w:tr>
      <w:tr w:rsidR="00B404E0" w:rsidRPr="00406D35" w14:paraId="07E912A1" w14:textId="77777777" w:rsidTr="006F0294">
        <w:trPr>
          <w:trHeight w:val="696"/>
          <w:jc w:val="center"/>
        </w:trPr>
        <w:tc>
          <w:tcPr>
            <w:tcW w:w="1883" w:type="dxa"/>
            <w:shd w:val="clear" w:color="auto" w:fill="D9D9D9" w:themeFill="background1" w:themeFillShade="D9"/>
            <w:vAlign w:val="center"/>
          </w:tcPr>
          <w:p w14:paraId="7220BC9A" w14:textId="77777777" w:rsidR="00B404E0" w:rsidRPr="00406D35" w:rsidRDefault="00B404E0" w:rsidP="006F029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</w:rPr>
            </w:pPr>
            <w:r w:rsidRPr="00406D35">
              <w:rPr>
                <w:b/>
                <w:bCs/>
              </w:rPr>
              <w:t>Bodové ohodnocení</w:t>
            </w:r>
          </w:p>
        </w:tc>
        <w:tc>
          <w:tcPr>
            <w:tcW w:w="1517" w:type="dxa"/>
            <w:vAlign w:val="center"/>
          </w:tcPr>
          <w:p w14:paraId="6CF05C40" w14:textId="77777777" w:rsidR="00B404E0" w:rsidRPr="00406D35" w:rsidRDefault="00B404E0" w:rsidP="006F029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</w:rPr>
            </w:pPr>
            <w:r w:rsidRPr="00406D35">
              <w:rPr>
                <w:bCs/>
              </w:rPr>
              <w:t>5  bodů</w:t>
            </w:r>
          </w:p>
        </w:tc>
        <w:tc>
          <w:tcPr>
            <w:tcW w:w="1520" w:type="dxa"/>
            <w:vAlign w:val="center"/>
          </w:tcPr>
          <w:p w14:paraId="5C0FEA46" w14:textId="77777777" w:rsidR="00B404E0" w:rsidRPr="00406D35" w:rsidRDefault="00B404E0" w:rsidP="006F029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</w:rPr>
            </w:pPr>
            <w:r w:rsidRPr="00406D35">
              <w:rPr>
                <w:bCs/>
              </w:rPr>
              <w:t>10 bodů</w:t>
            </w:r>
          </w:p>
        </w:tc>
        <w:tc>
          <w:tcPr>
            <w:tcW w:w="1520" w:type="dxa"/>
            <w:vAlign w:val="center"/>
          </w:tcPr>
          <w:p w14:paraId="699B7657" w14:textId="77777777" w:rsidR="00B404E0" w:rsidRPr="00406D35" w:rsidRDefault="00B404E0" w:rsidP="006F029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</w:rPr>
            </w:pPr>
            <w:r w:rsidRPr="00406D35">
              <w:rPr>
                <w:bCs/>
              </w:rPr>
              <w:t>15 bodů</w:t>
            </w:r>
          </w:p>
        </w:tc>
        <w:tc>
          <w:tcPr>
            <w:tcW w:w="1521" w:type="dxa"/>
            <w:vAlign w:val="center"/>
          </w:tcPr>
          <w:p w14:paraId="0C17CB90" w14:textId="77777777" w:rsidR="00B404E0" w:rsidRPr="00406D35" w:rsidRDefault="00B404E0" w:rsidP="006F029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</w:rPr>
            </w:pPr>
            <w:r w:rsidRPr="00406D35">
              <w:rPr>
                <w:bCs/>
              </w:rPr>
              <w:t>20 bodů</w:t>
            </w:r>
          </w:p>
        </w:tc>
      </w:tr>
    </w:tbl>
    <w:p w14:paraId="137C70A0" w14:textId="77777777" w:rsidR="00B404E0" w:rsidRDefault="00B404E0" w:rsidP="00B404E0">
      <w:pPr>
        <w:spacing w:before="120" w:after="120"/>
        <w:rPr>
          <w:bCs/>
        </w:rPr>
      </w:pPr>
      <w:r w:rsidRPr="00406D35">
        <w:rPr>
          <w:bCs/>
        </w:rPr>
        <w:t>Větší počet bodů znamená lepší nabídku. Bodové ohodnocení v rámci dílčího kritéria bude následně přepočteno na 100 bodovou stupnici dle níže uvedeného vzorce: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396"/>
        <w:gridCol w:w="5593"/>
      </w:tblGrid>
      <w:tr w:rsidR="00B404E0" w:rsidRPr="00406D35" w14:paraId="677CE13A" w14:textId="77777777" w:rsidTr="006F0294">
        <w:trPr>
          <w:trHeight w:val="530"/>
          <w:jc w:val="center"/>
        </w:trPr>
        <w:tc>
          <w:tcPr>
            <w:tcW w:w="636" w:type="dxa"/>
            <w:vMerge w:val="restart"/>
            <w:vAlign w:val="center"/>
          </w:tcPr>
          <w:p w14:paraId="27F95E34" w14:textId="77777777" w:rsidR="00B404E0" w:rsidRPr="00406D35" w:rsidRDefault="00B404E0" w:rsidP="006F0294">
            <w:pPr>
              <w:spacing w:after="120"/>
              <w:jc w:val="center"/>
              <w:rPr>
                <w:b/>
                <w:color w:val="000000"/>
              </w:rPr>
            </w:pPr>
            <w:bookmarkStart w:id="49" w:name="_Hlk480980680"/>
            <w:r w:rsidRPr="00406D35">
              <w:rPr>
                <w:b/>
                <w:color w:val="000000"/>
              </w:rPr>
              <w:t>100</w:t>
            </w:r>
          </w:p>
        </w:tc>
        <w:tc>
          <w:tcPr>
            <w:tcW w:w="396" w:type="dxa"/>
            <w:vMerge w:val="restart"/>
            <w:vAlign w:val="center"/>
          </w:tcPr>
          <w:p w14:paraId="249FAD96" w14:textId="77777777" w:rsidR="00B404E0" w:rsidRPr="00406D35" w:rsidRDefault="00B404E0" w:rsidP="006F0294">
            <w:pPr>
              <w:spacing w:after="120"/>
              <w:jc w:val="center"/>
              <w:rPr>
                <w:b/>
                <w:color w:val="000000"/>
              </w:rPr>
            </w:pPr>
            <w:r w:rsidRPr="00406D35">
              <w:rPr>
                <w:b/>
                <w:color w:val="000000"/>
              </w:rPr>
              <w:t>x 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vAlign w:val="bottom"/>
          </w:tcPr>
          <w:p w14:paraId="1CD30BEA" w14:textId="77777777" w:rsidR="00B404E0" w:rsidRPr="00406D35" w:rsidRDefault="00B404E0" w:rsidP="006F029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06D35">
              <w:rPr>
                <w:b/>
                <w:color w:val="000000"/>
              </w:rPr>
              <w:t>body přidělené hodnocené nabídce</w:t>
            </w:r>
          </w:p>
        </w:tc>
      </w:tr>
      <w:tr w:rsidR="00B404E0" w:rsidRPr="00406D35" w14:paraId="64C4C87F" w14:textId="77777777" w:rsidTr="006F0294">
        <w:trPr>
          <w:trHeight w:val="630"/>
          <w:jc w:val="center"/>
        </w:trPr>
        <w:tc>
          <w:tcPr>
            <w:tcW w:w="636" w:type="dxa"/>
            <w:vMerge/>
          </w:tcPr>
          <w:p w14:paraId="3CD96A60" w14:textId="77777777" w:rsidR="00B404E0" w:rsidRPr="00406D35" w:rsidRDefault="00B404E0" w:rsidP="006F0294">
            <w:pPr>
              <w:spacing w:after="120"/>
              <w:rPr>
                <w:b/>
                <w:color w:val="000000"/>
              </w:rPr>
            </w:pPr>
          </w:p>
        </w:tc>
        <w:tc>
          <w:tcPr>
            <w:tcW w:w="396" w:type="dxa"/>
            <w:vMerge/>
          </w:tcPr>
          <w:p w14:paraId="7BD2CBD3" w14:textId="77777777" w:rsidR="00B404E0" w:rsidRPr="00406D35" w:rsidRDefault="00B404E0" w:rsidP="006F0294">
            <w:pPr>
              <w:spacing w:after="120"/>
              <w:rPr>
                <w:b/>
                <w:color w:val="000000"/>
              </w:rPr>
            </w:pPr>
          </w:p>
        </w:tc>
        <w:tc>
          <w:tcPr>
            <w:tcW w:w="5593" w:type="dxa"/>
            <w:tcBorders>
              <w:top w:val="single" w:sz="4" w:space="0" w:color="auto"/>
            </w:tcBorders>
          </w:tcPr>
          <w:p w14:paraId="60E24D85" w14:textId="77777777" w:rsidR="00B404E0" w:rsidRPr="00406D35" w:rsidRDefault="00B404E0" w:rsidP="006F0294">
            <w:pPr>
              <w:spacing w:after="120"/>
              <w:jc w:val="center"/>
              <w:rPr>
                <w:b/>
                <w:color w:val="000000"/>
              </w:rPr>
            </w:pPr>
            <w:r w:rsidRPr="00406D35">
              <w:rPr>
                <w:b/>
                <w:color w:val="000000"/>
              </w:rPr>
              <w:t>body přidělené nabídce (nabídkám) s  nejvyšším počtem bodů</w:t>
            </w:r>
          </w:p>
        </w:tc>
      </w:tr>
    </w:tbl>
    <w:p w14:paraId="6C4CA087" w14:textId="77777777" w:rsidR="00B404E0" w:rsidRPr="000A1D33" w:rsidRDefault="00B404E0" w:rsidP="00B404E0">
      <w:pPr>
        <w:pStyle w:val="Nadpis2"/>
        <w:keepNext w:val="0"/>
        <w:numPr>
          <w:ilvl w:val="1"/>
          <w:numId w:val="30"/>
        </w:numPr>
        <w:autoSpaceDE w:val="0"/>
        <w:autoSpaceDN w:val="0"/>
        <w:adjustRightInd w:val="0"/>
        <w:spacing w:before="360" w:after="0" w:line="276" w:lineRule="auto"/>
        <w:ind w:left="709" w:hanging="567"/>
      </w:pPr>
      <w:bookmarkStart w:id="50" w:name="_Toc536085108"/>
      <w:bookmarkStart w:id="51" w:name="_Toc27386757"/>
      <w:bookmarkEnd w:id="49"/>
      <w:r w:rsidRPr="000A1D33">
        <w:t>Způsob celkového hodnocení</w:t>
      </w:r>
      <w:bookmarkEnd w:id="50"/>
      <w:bookmarkEnd w:id="51"/>
    </w:p>
    <w:p w14:paraId="52B74690" w14:textId="77777777" w:rsidR="00B404E0" w:rsidRPr="00406D35" w:rsidRDefault="00B404E0" w:rsidP="00B404E0">
      <w:pPr>
        <w:autoSpaceDE w:val="0"/>
        <w:autoSpaceDN w:val="0"/>
        <w:adjustRightInd w:val="0"/>
        <w:spacing w:before="120"/>
        <w:rPr>
          <w:bCs/>
        </w:rPr>
      </w:pPr>
      <w:r w:rsidRPr="00406D35">
        <w:rPr>
          <w:bCs/>
        </w:rPr>
        <w:t>Body získané v příslušném dílčím kritériu budou vynásobeny stupněm významu (váhou) příslušného kritéria a zaokrouhleny na dvě desetinná místa. Součet takto upraveného počtu bodů za dílčí kritéria určuje pořadí účastníka v celkovém hodnocení nabídky. Vyšší počet bodů znamená výhodnější nabídku. Ekonomicky nejvýhodnější nabídkou bude nabídka účastníka, který získá nejvyšší celkový počet bodů.</w:t>
      </w:r>
    </w:p>
    <w:p w14:paraId="5C1AF553" w14:textId="77777777" w:rsidR="00B404E0" w:rsidRPr="00406D35" w:rsidRDefault="00B404E0" w:rsidP="00B404E0">
      <w:pPr>
        <w:autoSpaceDE w:val="0"/>
        <w:autoSpaceDN w:val="0"/>
        <w:adjustRightInd w:val="0"/>
        <w:spacing w:before="120"/>
        <w:rPr>
          <w:bCs/>
        </w:rPr>
      </w:pPr>
      <w:r w:rsidRPr="00406D35">
        <w:rPr>
          <w:bCs/>
        </w:rPr>
        <w:t xml:space="preserve">V případě rovnosti celkového počtu bodů u více účastníků je z těchto nabídek výhodnější nabídkou nabídka účastníka s nižší nabídkovou cenou </w:t>
      </w:r>
      <w:r w:rsidRPr="00406D35">
        <w:rPr>
          <w:color w:val="000000"/>
        </w:rPr>
        <w:t>bez DPH</w:t>
      </w:r>
      <w:r>
        <w:rPr>
          <w:bCs/>
        </w:rPr>
        <w:t>.</w:t>
      </w:r>
    </w:p>
    <w:p w14:paraId="11426A64" w14:textId="77777777" w:rsidR="00596C78" w:rsidRDefault="00596C78" w:rsidP="00596C78">
      <w:pPr>
        <w:spacing w:before="120" w:after="240"/>
        <w:rPr>
          <w:szCs w:val="22"/>
        </w:rPr>
      </w:pPr>
      <w:r w:rsidRPr="00801A32">
        <w:rPr>
          <w:szCs w:val="22"/>
        </w:rPr>
        <w:t xml:space="preserve">Základním hodnotícím kritériem pro zadání Veřejné zakázky je ekonomická výhodnost nabídky dle § 114 a násl. ZZVZ. Ekonomická výhodnost nabídky </w:t>
      </w:r>
      <w:r>
        <w:rPr>
          <w:szCs w:val="22"/>
        </w:rPr>
        <w:t>byla</w:t>
      </w:r>
      <w:r w:rsidRPr="00801A32">
        <w:rPr>
          <w:szCs w:val="22"/>
        </w:rPr>
        <w:t xml:space="preserve"> hodnocena podle výše nabídkové ceny bez DPH uvedené v oceněném soupisu dodávek na listu „rekapitulace dodávek“. Nižší nabídková cena bez DPH znamená výhodnější nabídku.</w:t>
      </w:r>
    </w:p>
    <w:p w14:paraId="3BF82DC2" w14:textId="77777777" w:rsidR="00BA6B09" w:rsidRDefault="00BA6B09" w:rsidP="00B404E0">
      <w:pPr>
        <w:spacing w:before="60" w:after="120"/>
        <w:rPr>
          <w:b/>
        </w:rPr>
      </w:pPr>
      <w:bookmarkStart w:id="52" w:name="_Hlk516234567"/>
    </w:p>
    <w:p w14:paraId="3B00447E" w14:textId="77777777" w:rsidR="00BA6B09" w:rsidRDefault="00BA6B09" w:rsidP="00B404E0">
      <w:pPr>
        <w:spacing w:before="60" w:after="120"/>
        <w:rPr>
          <w:b/>
        </w:rPr>
      </w:pPr>
    </w:p>
    <w:p w14:paraId="14506786" w14:textId="77777777" w:rsidR="00B404E0" w:rsidRPr="00B404E0" w:rsidRDefault="00B404E0" w:rsidP="00B404E0">
      <w:pPr>
        <w:spacing w:before="60" w:after="120"/>
        <w:rPr>
          <w:b/>
        </w:rPr>
      </w:pPr>
      <w:r w:rsidRPr="00B404E0">
        <w:rPr>
          <w:b/>
        </w:rPr>
        <w:lastRenderedPageBreak/>
        <w:t>Pořadí nabídek:</w:t>
      </w:r>
    </w:p>
    <w:tbl>
      <w:tblPr>
        <w:tblW w:w="7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2345"/>
        <w:gridCol w:w="2679"/>
      </w:tblGrid>
      <w:tr w:rsidR="00B404E0" w:rsidRPr="0005403C" w14:paraId="412F9CF8" w14:textId="77777777" w:rsidTr="006F0294">
        <w:trPr>
          <w:trHeight w:val="484"/>
          <w:jc w:val="center"/>
        </w:trPr>
        <w:tc>
          <w:tcPr>
            <w:tcW w:w="2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BA039AC" w14:textId="77777777" w:rsidR="00B404E0" w:rsidRPr="0005403C" w:rsidRDefault="00B404E0" w:rsidP="006F0294">
            <w:pPr>
              <w:spacing w:after="120"/>
              <w:rPr>
                <w:rFonts w:eastAsia="Calibri"/>
              </w:rPr>
            </w:pPr>
            <w:r w:rsidRPr="0005403C">
              <w:rPr>
                <w:rFonts w:eastAsia="Calibri"/>
              </w:rPr>
              <w:t>Účastník</w:t>
            </w:r>
          </w:p>
        </w:tc>
        <w:tc>
          <w:tcPr>
            <w:tcW w:w="2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CD16BF3" w14:textId="77777777" w:rsidR="00B404E0" w:rsidRPr="00FD5970" w:rsidRDefault="00B404E0" w:rsidP="006F0294">
            <w:pPr>
              <w:spacing w:after="120"/>
              <w:rPr>
                <w:rFonts w:eastAsia="Calibri"/>
                <w:b/>
              </w:rPr>
            </w:pPr>
            <w:r w:rsidRPr="00FD5970">
              <w:rPr>
                <w:rFonts w:eastAsia="Calibri"/>
                <w:b/>
              </w:rPr>
              <w:t>Pontex, spol. s r. o.</w:t>
            </w:r>
          </w:p>
        </w:tc>
        <w:tc>
          <w:tcPr>
            <w:tcW w:w="26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9273BD9" w14:textId="77777777" w:rsidR="00B404E0" w:rsidRPr="00FD5970" w:rsidRDefault="00B404E0" w:rsidP="006F0294">
            <w:pPr>
              <w:spacing w:after="120"/>
              <w:rPr>
                <w:rFonts w:eastAsia="Calibri"/>
                <w:b/>
              </w:rPr>
            </w:pPr>
            <w:r w:rsidRPr="00FD5970">
              <w:rPr>
                <w:rFonts w:eastAsia="Calibri"/>
                <w:b/>
              </w:rPr>
              <w:t>SAMMIS s.r.o.</w:t>
            </w:r>
          </w:p>
        </w:tc>
      </w:tr>
      <w:tr w:rsidR="00B404E0" w:rsidRPr="0005403C" w14:paraId="6B389645" w14:textId="77777777" w:rsidTr="006F0294">
        <w:trPr>
          <w:jc w:val="center"/>
        </w:trPr>
        <w:tc>
          <w:tcPr>
            <w:tcW w:w="25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AA5A537" w14:textId="77777777" w:rsidR="00B404E0" w:rsidRPr="0005403C" w:rsidRDefault="00B404E0" w:rsidP="006F029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Přepočtené body 1. kritérium</w:t>
            </w:r>
          </w:p>
        </w:tc>
        <w:tc>
          <w:tcPr>
            <w:tcW w:w="23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C027FE" w14:textId="77777777" w:rsidR="00B404E0" w:rsidRPr="0005403C" w:rsidRDefault="00B404E0" w:rsidP="006F0294">
            <w:pPr>
              <w:spacing w:after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90,00</w:t>
            </w:r>
          </w:p>
        </w:tc>
        <w:tc>
          <w:tcPr>
            <w:tcW w:w="26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CAFC2A" w14:textId="77777777" w:rsidR="00B404E0" w:rsidRPr="0005403C" w:rsidRDefault="00B404E0" w:rsidP="006F0294">
            <w:pPr>
              <w:spacing w:after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59,53</w:t>
            </w:r>
          </w:p>
        </w:tc>
      </w:tr>
      <w:tr w:rsidR="00B404E0" w:rsidRPr="0005403C" w14:paraId="3B93A4E1" w14:textId="77777777" w:rsidTr="006F0294">
        <w:trPr>
          <w:jc w:val="center"/>
        </w:trPr>
        <w:tc>
          <w:tcPr>
            <w:tcW w:w="259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E9CC0D" w14:textId="77777777" w:rsidR="00B404E0" w:rsidRPr="0005403C" w:rsidRDefault="00B404E0" w:rsidP="006F0294">
            <w:r>
              <w:t>Přepočtené body 2. kritérium</w:t>
            </w:r>
          </w:p>
        </w:tc>
        <w:tc>
          <w:tcPr>
            <w:tcW w:w="23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45F9A5" w14:textId="77777777" w:rsidR="00B404E0" w:rsidRPr="0005403C" w:rsidRDefault="00B404E0" w:rsidP="006F0294">
            <w:pPr>
              <w:spacing w:after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5,00</w:t>
            </w:r>
          </w:p>
        </w:tc>
        <w:tc>
          <w:tcPr>
            <w:tcW w:w="26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871093" w14:textId="77777777" w:rsidR="00B404E0" w:rsidRPr="0005403C" w:rsidRDefault="00B404E0" w:rsidP="006F0294">
            <w:pPr>
              <w:spacing w:after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2,50</w:t>
            </w:r>
          </w:p>
        </w:tc>
      </w:tr>
      <w:tr w:rsidR="00B404E0" w:rsidRPr="0005403C" w14:paraId="014D246F" w14:textId="77777777" w:rsidTr="006F0294">
        <w:trPr>
          <w:jc w:val="center"/>
        </w:trPr>
        <w:tc>
          <w:tcPr>
            <w:tcW w:w="259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A291E89" w14:textId="77777777" w:rsidR="00B404E0" w:rsidRPr="0005403C" w:rsidRDefault="00B404E0" w:rsidP="006F029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Přepočtené body 3. kritérium</w:t>
            </w:r>
          </w:p>
        </w:tc>
        <w:tc>
          <w:tcPr>
            <w:tcW w:w="23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853C99" w14:textId="77777777" w:rsidR="00B404E0" w:rsidRPr="0005403C" w:rsidRDefault="00B404E0" w:rsidP="006F0294">
            <w:pPr>
              <w:spacing w:after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5,00</w:t>
            </w:r>
          </w:p>
        </w:tc>
        <w:tc>
          <w:tcPr>
            <w:tcW w:w="26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72705B" w14:textId="77777777" w:rsidR="00B404E0" w:rsidRPr="0005403C" w:rsidRDefault="00B404E0" w:rsidP="006F0294">
            <w:pPr>
              <w:spacing w:after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2,50</w:t>
            </w:r>
          </w:p>
        </w:tc>
      </w:tr>
      <w:tr w:rsidR="00B404E0" w:rsidRPr="0005403C" w14:paraId="71E0ABEC" w14:textId="77777777" w:rsidTr="006F0294">
        <w:trPr>
          <w:jc w:val="center"/>
        </w:trPr>
        <w:tc>
          <w:tcPr>
            <w:tcW w:w="25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77B73D8" w14:textId="77777777" w:rsidR="00B404E0" w:rsidRPr="0005403C" w:rsidRDefault="00B404E0" w:rsidP="006F0294">
            <w:pPr>
              <w:spacing w:after="120"/>
              <w:rPr>
                <w:rFonts w:eastAsia="Calibri"/>
              </w:rPr>
            </w:pPr>
            <w:r>
              <w:rPr>
                <w:shd w:val="clear" w:color="auto" w:fill="FFFFFF"/>
              </w:rPr>
              <w:t>Celkem bodů</w:t>
            </w:r>
          </w:p>
        </w:tc>
        <w:tc>
          <w:tcPr>
            <w:tcW w:w="23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17DDD1" w14:textId="77777777" w:rsidR="00B404E0" w:rsidRPr="0005403C" w:rsidRDefault="00B404E0" w:rsidP="006F0294">
            <w:pPr>
              <w:spacing w:after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100,00</w:t>
            </w:r>
          </w:p>
        </w:tc>
        <w:tc>
          <w:tcPr>
            <w:tcW w:w="26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A570AE" w14:textId="77777777" w:rsidR="00B404E0" w:rsidRPr="0005403C" w:rsidRDefault="00B404E0" w:rsidP="006F0294">
            <w:pPr>
              <w:spacing w:after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64,53</w:t>
            </w:r>
          </w:p>
        </w:tc>
      </w:tr>
      <w:tr w:rsidR="00B404E0" w:rsidRPr="0005403C" w14:paraId="2BA8520D" w14:textId="77777777" w:rsidTr="006F0294">
        <w:trPr>
          <w:jc w:val="center"/>
        </w:trPr>
        <w:tc>
          <w:tcPr>
            <w:tcW w:w="2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33063C3" w14:textId="77777777" w:rsidR="00B404E0" w:rsidRPr="0005403C" w:rsidRDefault="00B404E0" w:rsidP="006F029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Pořadí</w:t>
            </w:r>
          </w:p>
        </w:tc>
        <w:tc>
          <w:tcPr>
            <w:tcW w:w="2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700064" w14:textId="77777777" w:rsidR="00B404E0" w:rsidRPr="0005403C" w:rsidRDefault="00B404E0" w:rsidP="006F0294">
            <w:pPr>
              <w:spacing w:after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26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CBB9EC" w14:textId="77777777" w:rsidR="00B404E0" w:rsidRPr="0005403C" w:rsidRDefault="00B404E0" w:rsidP="006F0294">
            <w:pPr>
              <w:spacing w:after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</w:tr>
    </w:tbl>
    <w:bookmarkEnd w:id="52"/>
    <w:p w14:paraId="736099DB" w14:textId="77777777" w:rsidR="00596C78" w:rsidRDefault="00596C78" w:rsidP="00BA6B09">
      <w:pPr>
        <w:pStyle w:val="Zkladntext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0041737E">
        <w:rPr>
          <w:b w:val="0"/>
          <w:bCs w:val="0"/>
          <w:i w:val="0"/>
          <w:iCs w:val="0"/>
          <w:sz w:val="24"/>
          <w:szCs w:val="24"/>
          <w:u w:val="none"/>
        </w:rPr>
        <w:t xml:space="preserve">Hodnotící komise jako nejvýhodnější vybrala nabídku </w:t>
      </w:r>
      <w:r w:rsidR="00BA6B09" w:rsidRPr="00BA6B09">
        <w:rPr>
          <w:b w:val="0"/>
          <w:bCs w:val="0"/>
          <w:i w:val="0"/>
          <w:iCs w:val="0"/>
          <w:sz w:val="24"/>
          <w:szCs w:val="24"/>
          <w:u w:val="none"/>
        </w:rPr>
        <w:t>Pontex, spol. s r. o.</w:t>
      </w:r>
      <w:r>
        <w:rPr>
          <w:b w:val="0"/>
          <w:bCs w:val="0"/>
          <w:i w:val="0"/>
          <w:iCs w:val="0"/>
          <w:sz w:val="24"/>
          <w:szCs w:val="24"/>
          <w:u w:val="none"/>
        </w:rPr>
        <w:t xml:space="preserve">, </w:t>
      </w:r>
      <w:r w:rsidRPr="006A3EBB">
        <w:rPr>
          <w:b w:val="0"/>
          <w:bCs w:val="0"/>
          <w:i w:val="0"/>
          <w:iCs w:val="0"/>
          <w:sz w:val="24"/>
          <w:szCs w:val="24"/>
          <w:u w:val="none"/>
        </w:rPr>
        <w:t xml:space="preserve">se sídlem: </w:t>
      </w:r>
      <w:r w:rsidR="00BA6B09" w:rsidRPr="00BA6B09">
        <w:rPr>
          <w:b w:val="0"/>
          <w:bCs w:val="0"/>
          <w:i w:val="0"/>
          <w:iCs w:val="0"/>
          <w:sz w:val="24"/>
          <w:szCs w:val="24"/>
          <w:u w:val="none"/>
        </w:rPr>
        <w:t>Praha 4, Bezová 1658, PSČ 14714</w:t>
      </w:r>
      <w:r w:rsidR="00BA6B09">
        <w:rPr>
          <w:b w:val="0"/>
          <w:bCs w:val="0"/>
          <w:i w:val="0"/>
          <w:iCs w:val="0"/>
          <w:sz w:val="24"/>
          <w:szCs w:val="24"/>
          <w:u w:val="none"/>
        </w:rPr>
        <w:t xml:space="preserve">, </w:t>
      </w:r>
      <w:r w:rsidR="00BA6B09" w:rsidRPr="00BA6B09">
        <w:rPr>
          <w:b w:val="0"/>
          <w:bCs w:val="0"/>
          <w:i w:val="0"/>
          <w:iCs w:val="0"/>
          <w:sz w:val="24"/>
          <w:szCs w:val="24"/>
          <w:u w:val="none"/>
        </w:rPr>
        <w:t>IČO: 40763439</w:t>
      </w:r>
      <w:r w:rsidRPr="0041737E">
        <w:rPr>
          <w:b w:val="0"/>
          <w:bCs w:val="0"/>
          <w:i w:val="0"/>
          <w:iCs w:val="0"/>
          <w:sz w:val="24"/>
          <w:szCs w:val="24"/>
          <w:u w:val="none"/>
        </w:rPr>
        <w:t>.</w:t>
      </w:r>
      <w:r>
        <w:rPr>
          <w:b w:val="0"/>
          <w:bCs w:val="0"/>
          <w:i w:val="0"/>
          <w:iCs w:val="0"/>
          <w:sz w:val="24"/>
          <w:szCs w:val="24"/>
          <w:u w:val="none"/>
        </w:rPr>
        <w:t xml:space="preserve"> Zadavatel rozhodl o výběru dodavatele, který podal ekonomicky nejvýhodnější nabídku a splnil všechny podmínky účasti.</w:t>
      </w:r>
    </w:p>
    <w:p w14:paraId="5BFB5E4B" w14:textId="77777777" w:rsidR="003A0CDF" w:rsidRPr="003A0CDF" w:rsidRDefault="003A0CDF" w:rsidP="003A0CDF">
      <w:pPr>
        <w:pStyle w:val="Nadpis1"/>
      </w:pPr>
      <w:bookmarkStart w:id="53" w:name="_Toc27386758"/>
      <w:r w:rsidRPr="003A0CDF">
        <w:t>Seznam poddodavatelů</w:t>
      </w:r>
      <w:bookmarkEnd w:id="53"/>
    </w:p>
    <w:p w14:paraId="555D4746" w14:textId="77777777" w:rsidR="003A0CDF" w:rsidRDefault="007D2F18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Zadavatel nemá informace o využití poddodavatelů. </w:t>
      </w:r>
      <w:r w:rsidR="003A0CDF">
        <w:rPr>
          <w:b w:val="0"/>
          <w:i w:val="0"/>
          <w:sz w:val="24"/>
          <w:szCs w:val="24"/>
          <w:u w:val="none"/>
        </w:rPr>
        <w:t xml:space="preserve"> </w:t>
      </w:r>
    </w:p>
    <w:p w14:paraId="76843513" w14:textId="77777777" w:rsidR="003A0CD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14:paraId="48F50247" w14:textId="77777777" w:rsidR="003A0CDF" w:rsidRPr="00596C78" w:rsidRDefault="00596C78" w:rsidP="00596C78">
      <w:pPr>
        <w:pStyle w:val="Nadpis1"/>
      </w:pPr>
      <w:bookmarkStart w:id="54" w:name="_Toc27386759"/>
      <w:r w:rsidRPr="00596C78">
        <w:t>Zdůvodnění nerozdělení veřejné zakázky na části</w:t>
      </w:r>
      <w:bookmarkEnd w:id="54"/>
    </w:p>
    <w:p w14:paraId="7A6538AE" w14:textId="77777777" w:rsidR="003C30E7" w:rsidRDefault="003C30E7" w:rsidP="003C30E7">
      <w:pPr>
        <w:rPr>
          <w:rFonts w:ascii="Calibri" w:hAnsi="Calibri"/>
          <w:color w:val="1F497D"/>
          <w:sz w:val="22"/>
          <w:szCs w:val="22"/>
        </w:rPr>
      </w:pPr>
      <w:r w:rsidRPr="003C30E7">
        <w:t xml:space="preserve">Vzhledem k tomu, že se </w:t>
      </w:r>
      <w:r w:rsidR="00BA6B09">
        <w:t xml:space="preserve">jedná o ucelený soubor mostů ve správě zadavatele na území celého kraje a smlouva je uzavírána na dobu 72 měsíců, během nichž musí každý most projít min. jednou prohlídkou, nebylo by efektivní rozdělení na menší celky mezi více dodavatelů. </w:t>
      </w:r>
    </w:p>
    <w:p w14:paraId="183C51B7" w14:textId="77777777" w:rsidR="00596C78" w:rsidRDefault="00596C78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14:paraId="5D179F89" w14:textId="77777777" w:rsidR="003A0CD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Další body dle § 217 odst. 2 </w:t>
      </w:r>
      <w:r w:rsidR="004F5090">
        <w:rPr>
          <w:b w:val="0"/>
          <w:i w:val="0"/>
          <w:sz w:val="24"/>
          <w:szCs w:val="24"/>
          <w:u w:val="none"/>
        </w:rPr>
        <w:t xml:space="preserve">zákona </w:t>
      </w:r>
      <w:r>
        <w:rPr>
          <w:b w:val="0"/>
          <w:i w:val="0"/>
          <w:sz w:val="24"/>
          <w:szCs w:val="24"/>
          <w:u w:val="none"/>
        </w:rPr>
        <w:t>nejsou pro toto zadávací řízení relevantní.</w:t>
      </w:r>
    </w:p>
    <w:p w14:paraId="6E50449A" w14:textId="77777777" w:rsidR="003A0CDF" w:rsidRDefault="003A0CDF" w:rsidP="003A0CDF">
      <w:pPr>
        <w:spacing w:after="120"/>
      </w:pPr>
    </w:p>
    <w:p w14:paraId="1864AF20" w14:textId="77777777" w:rsidR="00BA6B09" w:rsidRDefault="00BA6B09" w:rsidP="003A0CDF">
      <w:pPr>
        <w:spacing w:after="120"/>
      </w:pPr>
    </w:p>
    <w:p w14:paraId="699F16BE" w14:textId="77777777" w:rsidR="003A0CDF" w:rsidRDefault="00BA6B09" w:rsidP="003A0CDF">
      <w:pPr>
        <w:spacing w:after="120"/>
      </w:pPr>
      <w:r>
        <w:t>Liberec</w:t>
      </w:r>
      <w:r w:rsidR="003A0CDF" w:rsidRPr="00330EEF">
        <w:t xml:space="preserve"> </w:t>
      </w:r>
      <w:r>
        <w:t>16</w:t>
      </w:r>
      <w:r w:rsidR="003A0CDF">
        <w:t xml:space="preserve">. </w:t>
      </w:r>
      <w:r>
        <w:t>12</w:t>
      </w:r>
      <w:r w:rsidR="003A0CDF">
        <w:t>. 2019</w:t>
      </w:r>
    </w:p>
    <w:p w14:paraId="1738791A" w14:textId="77777777" w:rsidR="003A0CDF" w:rsidRDefault="003A0CDF" w:rsidP="003A0CDF">
      <w:pPr>
        <w:tabs>
          <w:tab w:val="left" w:pos="1575"/>
        </w:tabs>
      </w:pPr>
    </w:p>
    <w:p w14:paraId="6C8A9A82" w14:textId="77777777" w:rsidR="00BA6B09" w:rsidRDefault="00BA6B09" w:rsidP="003A0CDF">
      <w:pPr>
        <w:tabs>
          <w:tab w:val="left" w:pos="1575"/>
        </w:tabs>
      </w:pPr>
    </w:p>
    <w:p w14:paraId="1C5652AF" w14:textId="77777777" w:rsidR="003A0CDF" w:rsidRPr="00775ABC" w:rsidRDefault="003A0CDF" w:rsidP="003A0CDF">
      <w:pPr>
        <w:tabs>
          <w:tab w:val="left" w:pos="1575"/>
        </w:tabs>
        <w:spacing w:before="480"/>
      </w:pPr>
      <w:r w:rsidRPr="00775ABC">
        <w:t>_____________________________________</w:t>
      </w:r>
    </w:p>
    <w:p w14:paraId="36AEB4F4" w14:textId="77777777" w:rsidR="003A0CDF" w:rsidRPr="006222F0" w:rsidRDefault="003A0CDF" w:rsidP="003A0CDF">
      <w:pPr>
        <w:tabs>
          <w:tab w:val="left" w:pos="1575"/>
        </w:tabs>
        <w:rPr>
          <w:b/>
        </w:rPr>
      </w:pPr>
      <w:r w:rsidRPr="006222F0">
        <w:t xml:space="preserve">za </w:t>
      </w:r>
      <w:r w:rsidRPr="006222F0">
        <w:rPr>
          <w:b/>
        </w:rPr>
        <w:t>Krajskou správu silnic Libereckého kraje,</w:t>
      </w:r>
    </w:p>
    <w:p w14:paraId="6760C303" w14:textId="77777777" w:rsidR="003A0CDF" w:rsidRPr="006222F0" w:rsidRDefault="003A0CDF" w:rsidP="003A0CDF">
      <w:pPr>
        <w:tabs>
          <w:tab w:val="left" w:pos="1575"/>
        </w:tabs>
      </w:pPr>
      <w:r w:rsidRPr="006222F0">
        <w:rPr>
          <w:b/>
        </w:rPr>
        <w:t>příspěvkovou organizaci</w:t>
      </w:r>
      <w:r w:rsidRPr="006222F0">
        <w:t xml:space="preserve">, </w:t>
      </w:r>
    </w:p>
    <w:p w14:paraId="06264A25" w14:textId="77777777" w:rsidR="007D2F18" w:rsidRDefault="003A0CDF" w:rsidP="003A0CDF">
      <w:pPr>
        <w:tabs>
          <w:tab w:val="left" w:pos="1575"/>
        </w:tabs>
      </w:pPr>
      <w:r w:rsidRPr="00775ABC">
        <w:t>Ing. Jan Růžička</w:t>
      </w:r>
    </w:p>
    <w:p w14:paraId="05F7312E" w14:textId="77777777" w:rsidR="003A0CDF" w:rsidRPr="00775ABC" w:rsidRDefault="003A0CDF" w:rsidP="003A0CDF">
      <w:pPr>
        <w:tabs>
          <w:tab w:val="left" w:pos="1575"/>
        </w:tabs>
      </w:pPr>
      <w:r w:rsidRPr="00775ABC">
        <w:t>ředitel</w:t>
      </w:r>
    </w:p>
    <w:p w14:paraId="77266CFA" w14:textId="77777777" w:rsidR="00BE2C5E" w:rsidRDefault="00BE2C5E" w:rsidP="001A560E">
      <w:pPr>
        <w:spacing w:after="120"/>
      </w:pPr>
    </w:p>
    <w:p w14:paraId="182FA6AA" w14:textId="77777777" w:rsidR="00BF4C1F" w:rsidRDefault="00BF4C1F" w:rsidP="00EE7F29">
      <w:pPr>
        <w:ind w:left="5672" w:firstLine="709"/>
      </w:pPr>
    </w:p>
    <w:sectPr w:rsidR="00BF4C1F" w:rsidSect="007B0A86">
      <w:footerReference w:type="default" r:id="rId8"/>
      <w:headerReference w:type="first" r:id="rId9"/>
      <w:footerReference w:type="first" r:id="rId10"/>
      <w:pgSz w:w="11906" w:h="16838" w:code="9"/>
      <w:pgMar w:top="1701" w:right="1287" w:bottom="1701" w:left="1134" w:header="851" w:footer="141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2D1A0" w14:textId="77777777" w:rsidR="002C3194" w:rsidRDefault="002C3194">
      <w:r>
        <w:separator/>
      </w:r>
    </w:p>
  </w:endnote>
  <w:endnote w:type="continuationSeparator" w:id="0">
    <w:p w14:paraId="4B310CAA" w14:textId="77777777" w:rsidR="002C3194" w:rsidRDefault="002C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990045"/>
      <w:docPartObj>
        <w:docPartGallery w:val="Page Numbers (Bottom of Page)"/>
        <w:docPartUnique/>
      </w:docPartObj>
    </w:sdtPr>
    <w:sdtEndPr/>
    <w:sdtContent>
      <w:p w14:paraId="25AED012" w14:textId="77777777" w:rsidR="00DE1AE7" w:rsidRDefault="00DE1AE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B09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8858661"/>
      <w:docPartObj>
        <w:docPartGallery w:val="Page Numbers (Bottom of Page)"/>
        <w:docPartUnique/>
      </w:docPartObj>
    </w:sdtPr>
    <w:sdtEndPr/>
    <w:sdtContent>
      <w:p w14:paraId="52F31236" w14:textId="77777777" w:rsidR="00DE1AE7" w:rsidRDefault="00DE1AE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B0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849A7" w14:textId="77777777" w:rsidR="002C3194" w:rsidRDefault="002C3194">
      <w:r>
        <w:separator/>
      </w:r>
    </w:p>
  </w:footnote>
  <w:footnote w:type="continuationSeparator" w:id="0">
    <w:p w14:paraId="48C535D3" w14:textId="77777777" w:rsidR="002C3194" w:rsidRDefault="002C3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6997B" w14:textId="77777777" w:rsidR="00BA3E4B" w:rsidRDefault="003E5C5D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D13999F" wp14:editId="33F94FDD">
          <wp:simplePos x="0" y="0"/>
          <wp:positionH relativeFrom="column">
            <wp:posOffset>2219399</wp:posOffset>
          </wp:positionH>
          <wp:positionV relativeFrom="paragraph">
            <wp:posOffset>-212478</wp:posOffset>
          </wp:positionV>
          <wp:extent cx="1426210" cy="743585"/>
          <wp:effectExtent l="0" t="0" r="2540" b="0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216F1F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7303B"/>
    <w:multiLevelType w:val="hybridMultilevel"/>
    <w:tmpl w:val="06E6F34E"/>
    <w:lvl w:ilvl="0" w:tplc="E6746D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1D93"/>
    <w:multiLevelType w:val="hybridMultilevel"/>
    <w:tmpl w:val="69148332"/>
    <w:lvl w:ilvl="0" w:tplc="3FC86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91B6B"/>
    <w:multiLevelType w:val="multilevel"/>
    <w:tmpl w:val="1EFC0B28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1003"/>
        </w:tabs>
        <w:ind w:left="1003" w:hanging="435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cs="Times New Roman" w:hint="default"/>
      </w:rPr>
    </w:lvl>
    <w:lvl w:ilvl="3">
      <w:start w:val="1"/>
      <w:numFmt w:val="none"/>
      <w:lvlRestart w:val="0"/>
      <w:isLgl/>
      <w:lvlText w:val="13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cs="Times New Roman" w:hint="default"/>
      </w:rPr>
    </w:lvl>
  </w:abstractNum>
  <w:abstractNum w:abstractNumId="5" w15:restartNumberingAfterBreak="0">
    <w:nsid w:val="3FFC72B8"/>
    <w:multiLevelType w:val="multilevel"/>
    <w:tmpl w:val="A25294F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ordinal"/>
      <w:lvlText w:val="3.%2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6" w15:restartNumberingAfterBreak="0">
    <w:nsid w:val="45F2097B"/>
    <w:multiLevelType w:val="multilevel"/>
    <w:tmpl w:val="13249E1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i w:val="0"/>
        <w:sz w:val="24"/>
      </w:rPr>
    </w:lvl>
    <w:lvl w:ilvl="2">
      <w:start w:val="1"/>
      <w:numFmt w:val="decimal"/>
      <w:pStyle w:val="Nadpis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2616A5"/>
    <w:multiLevelType w:val="multilevel"/>
    <w:tmpl w:val="54386DB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8" w15:restartNumberingAfterBreak="0">
    <w:nsid w:val="571C26C7"/>
    <w:multiLevelType w:val="hybridMultilevel"/>
    <w:tmpl w:val="8506D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A1A46"/>
    <w:multiLevelType w:val="multilevel"/>
    <w:tmpl w:val="F876741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10" w15:restartNumberingAfterBreak="0">
    <w:nsid w:val="693C024F"/>
    <w:multiLevelType w:val="hybridMultilevel"/>
    <w:tmpl w:val="CCCC49A6"/>
    <w:lvl w:ilvl="0" w:tplc="4B22D1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A46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E6452D0"/>
    <w:multiLevelType w:val="multilevel"/>
    <w:tmpl w:val="1C30A2C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723C49A5"/>
    <w:multiLevelType w:val="hybridMultilevel"/>
    <w:tmpl w:val="59F0E7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3"/>
  </w:num>
  <w:num w:numId="5">
    <w:abstractNumId w:val="8"/>
  </w:num>
  <w:num w:numId="6">
    <w:abstractNumId w:val="6"/>
  </w:num>
  <w:num w:numId="7">
    <w:abstractNumId w:val="11"/>
  </w:num>
  <w:num w:numId="8">
    <w:abstractNumId w:val="3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7"/>
  </w:num>
  <w:num w:numId="14">
    <w:abstractNumId w:val="5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2"/>
  </w:num>
  <w:num w:numId="23">
    <w:abstractNumId w:val="6"/>
  </w:num>
  <w:num w:numId="24">
    <w:abstractNumId w:val="10"/>
  </w:num>
  <w:num w:numId="25">
    <w:abstractNumId w:val="6"/>
  </w:num>
  <w:num w:numId="26">
    <w:abstractNumId w:val="6"/>
  </w:num>
  <w:num w:numId="27">
    <w:abstractNumId w:val="1"/>
  </w:num>
  <w:num w:numId="28">
    <w:abstractNumId w:val="6"/>
  </w:num>
  <w:num w:numId="29">
    <w:abstractNumId w:val="12"/>
  </w:num>
  <w:num w:numId="30">
    <w:abstractNumId w:val="6"/>
    <w:lvlOverride w:ilvl="0">
      <w:startOverride w:val="1"/>
    </w:lvlOverride>
  </w:num>
  <w:num w:numId="3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19"/>
    <w:rsid w:val="000000B0"/>
    <w:rsid w:val="00001274"/>
    <w:rsid w:val="00005717"/>
    <w:rsid w:val="00006C68"/>
    <w:rsid w:val="00010DC0"/>
    <w:rsid w:val="00011BF3"/>
    <w:rsid w:val="00013B9A"/>
    <w:rsid w:val="00015358"/>
    <w:rsid w:val="0001628D"/>
    <w:rsid w:val="00016F13"/>
    <w:rsid w:val="00017ED6"/>
    <w:rsid w:val="00020E87"/>
    <w:rsid w:val="000211C1"/>
    <w:rsid w:val="0002184D"/>
    <w:rsid w:val="00022E2E"/>
    <w:rsid w:val="00022EE5"/>
    <w:rsid w:val="000266C9"/>
    <w:rsid w:val="00027409"/>
    <w:rsid w:val="00030848"/>
    <w:rsid w:val="000312B1"/>
    <w:rsid w:val="00037422"/>
    <w:rsid w:val="00042912"/>
    <w:rsid w:val="00043042"/>
    <w:rsid w:val="0004425D"/>
    <w:rsid w:val="00044B35"/>
    <w:rsid w:val="00045D3F"/>
    <w:rsid w:val="00045FB3"/>
    <w:rsid w:val="00046F42"/>
    <w:rsid w:val="00046F71"/>
    <w:rsid w:val="00051732"/>
    <w:rsid w:val="00051C29"/>
    <w:rsid w:val="00051CD5"/>
    <w:rsid w:val="0005220A"/>
    <w:rsid w:val="00052EC8"/>
    <w:rsid w:val="00053323"/>
    <w:rsid w:val="000540FB"/>
    <w:rsid w:val="00054752"/>
    <w:rsid w:val="00054E7C"/>
    <w:rsid w:val="00054F36"/>
    <w:rsid w:val="0005583E"/>
    <w:rsid w:val="0005628F"/>
    <w:rsid w:val="00056DE3"/>
    <w:rsid w:val="00057CE7"/>
    <w:rsid w:val="00057FB4"/>
    <w:rsid w:val="0006211A"/>
    <w:rsid w:val="00062162"/>
    <w:rsid w:val="000634C4"/>
    <w:rsid w:val="0006428A"/>
    <w:rsid w:val="000646A2"/>
    <w:rsid w:val="00064779"/>
    <w:rsid w:val="00064AC5"/>
    <w:rsid w:val="00065B89"/>
    <w:rsid w:val="00066E7D"/>
    <w:rsid w:val="00070251"/>
    <w:rsid w:val="00070BD1"/>
    <w:rsid w:val="00071802"/>
    <w:rsid w:val="00073EFD"/>
    <w:rsid w:val="00075D2D"/>
    <w:rsid w:val="000762B4"/>
    <w:rsid w:val="00077781"/>
    <w:rsid w:val="000801FF"/>
    <w:rsid w:val="0008119B"/>
    <w:rsid w:val="00081664"/>
    <w:rsid w:val="00081BF8"/>
    <w:rsid w:val="00083E7B"/>
    <w:rsid w:val="000843C3"/>
    <w:rsid w:val="00085064"/>
    <w:rsid w:val="00085126"/>
    <w:rsid w:val="00085509"/>
    <w:rsid w:val="00086907"/>
    <w:rsid w:val="00087981"/>
    <w:rsid w:val="0009033F"/>
    <w:rsid w:val="00091E7A"/>
    <w:rsid w:val="000932CF"/>
    <w:rsid w:val="0009488F"/>
    <w:rsid w:val="0009569E"/>
    <w:rsid w:val="00096DCA"/>
    <w:rsid w:val="0009726D"/>
    <w:rsid w:val="00097B0A"/>
    <w:rsid w:val="000A0022"/>
    <w:rsid w:val="000A04B8"/>
    <w:rsid w:val="000A0F9F"/>
    <w:rsid w:val="000A160F"/>
    <w:rsid w:val="000A36A3"/>
    <w:rsid w:val="000A4561"/>
    <w:rsid w:val="000A49B8"/>
    <w:rsid w:val="000A5082"/>
    <w:rsid w:val="000A61EA"/>
    <w:rsid w:val="000A716A"/>
    <w:rsid w:val="000B065A"/>
    <w:rsid w:val="000B1AC7"/>
    <w:rsid w:val="000B5B01"/>
    <w:rsid w:val="000B5CE6"/>
    <w:rsid w:val="000B66B1"/>
    <w:rsid w:val="000B694C"/>
    <w:rsid w:val="000B7841"/>
    <w:rsid w:val="000C403A"/>
    <w:rsid w:val="000C5D47"/>
    <w:rsid w:val="000C5FEC"/>
    <w:rsid w:val="000C63F2"/>
    <w:rsid w:val="000C68DF"/>
    <w:rsid w:val="000C6A23"/>
    <w:rsid w:val="000C78FE"/>
    <w:rsid w:val="000C797C"/>
    <w:rsid w:val="000C7A23"/>
    <w:rsid w:val="000D1E4A"/>
    <w:rsid w:val="000D2B73"/>
    <w:rsid w:val="000D55CA"/>
    <w:rsid w:val="000D563A"/>
    <w:rsid w:val="000D5C9A"/>
    <w:rsid w:val="000D5D70"/>
    <w:rsid w:val="000D65B6"/>
    <w:rsid w:val="000E0547"/>
    <w:rsid w:val="000E1499"/>
    <w:rsid w:val="000E1B98"/>
    <w:rsid w:val="000E3101"/>
    <w:rsid w:val="000E3C2E"/>
    <w:rsid w:val="000E3E13"/>
    <w:rsid w:val="000E587A"/>
    <w:rsid w:val="000F0548"/>
    <w:rsid w:val="000F095A"/>
    <w:rsid w:val="000F14AC"/>
    <w:rsid w:val="000F36A5"/>
    <w:rsid w:val="000F4CBC"/>
    <w:rsid w:val="000F7858"/>
    <w:rsid w:val="00103E9F"/>
    <w:rsid w:val="00104CD6"/>
    <w:rsid w:val="00104F3B"/>
    <w:rsid w:val="00105F2B"/>
    <w:rsid w:val="001070A8"/>
    <w:rsid w:val="00107B78"/>
    <w:rsid w:val="00107EF7"/>
    <w:rsid w:val="00110E3B"/>
    <w:rsid w:val="0011136A"/>
    <w:rsid w:val="00112257"/>
    <w:rsid w:val="001123A2"/>
    <w:rsid w:val="00112D6E"/>
    <w:rsid w:val="00112F6E"/>
    <w:rsid w:val="001132D0"/>
    <w:rsid w:val="00115132"/>
    <w:rsid w:val="00115A6F"/>
    <w:rsid w:val="00115EA8"/>
    <w:rsid w:val="00116FCB"/>
    <w:rsid w:val="00121F0E"/>
    <w:rsid w:val="001236D8"/>
    <w:rsid w:val="00130815"/>
    <w:rsid w:val="00132430"/>
    <w:rsid w:val="0013654A"/>
    <w:rsid w:val="00136D42"/>
    <w:rsid w:val="00137C20"/>
    <w:rsid w:val="00140168"/>
    <w:rsid w:val="00140331"/>
    <w:rsid w:val="00141421"/>
    <w:rsid w:val="00142FE4"/>
    <w:rsid w:val="00143D62"/>
    <w:rsid w:val="001458B7"/>
    <w:rsid w:val="001467B3"/>
    <w:rsid w:val="00146AAE"/>
    <w:rsid w:val="00146B50"/>
    <w:rsid w:val="00153283"/>
    <w:rsid w:val="00154856"/>
    <w:rsid w:val="00154B0F"/>
    <w:rsid w:val="001552EB"/>
    <w:rsid w:val="00156A7E"/>
    <w:rsid w:val="00157E34"/>
    <w:rsid w:val="001602E8"/>
    <w:rsid w:val="0016139C"/>
    <w:rsid w:val="001623A0"/>
    <w:rsid w:val="00163155"/>
    <w:rsid w:val="00163A4F"/>
    <w:rsid w:val="00163AF3"/>
    <w:rsid w:val="00163D2B"/>
    <w:rsid w:val="00166987"/>
    <w:rsid w:val="00166ED4"/>
    <w:rsid w:val="001672DD"/>
    <w:rsid w:val="00170CA1"/>
    <w:rsid w:val="00172C89"/>
    <w:rsid w:val="001742B3"/>
    <w:rsid w:val="001750FC"/>
    <w:rsid w:val="00175A8C"/>
    <w:rsid w:val="001767DE"/>
    <w:rsid w:val="001822F1"/>
    <w:rsid w:val="001873C5"/>
    <w:rsid w:val="00187811"/>
    <w:rsid w:val="00193552"/>
    <w:rsid w:val="001950D2"/>
    <w:rsid w:val="00197D6C"/>
    <w:rsid w:val="001A086D"/>
    <w:rsid w:val="001A0EE5"/>
    <w:rsid w:val="001A23C8"/>
    <w:rsid w:val="001A2EBF"/>
    <w:rsid w:val="001A560E"/>
    <w:rsid w:val="001A7024"/>
    <w:rsid w:val="001A7178"/>
    <w:rsid w:val="001A7764"/>
    <w:rsid w:val="001B03B5"/>
    <w:rsid w:val="001B1CFF"/>
    <w:rsid w:val="001B2429"/>
    <w:rsid w:val="001B342B"/>
    <w:rsid w:val="001B4D60"/>
    <w:rsid w:val="001B6049"/>
    <w:rsid w:val="001B6770"/>
    <w:rsid w:val="001C1213"/>
    <w:rsid w:val="001C24E0"/>
    <w:rsid w:val="001C4969"/>
    <w:rsid w:val="001C68F9"/>
    <w:rsid w:val="001C7F0B"/>
    <w:rsid w:val="001D1310"/>
    <w:rsid w:val="001D1898"/>
    <w:rsid w:val="001D1F4A"/>
    <w:rsid w:val="001D2A32"/>
    <w:rsid w:val="001D2BEF"/>
    <w:rsid w:val="001D6F6E"/>
    <w:rsid w:val="001D7945"/>
    <w:rsid w:val="001E2351"/>
    <w:rsid w:val="001E3C64"/>
    <w:rsid w:val="001E4267"/>
    <w:rsid w:val="001E4948"/>
    <w:rsid w:val="001E4E42"/>
    <w:rsid w:val="001E52AE"/>
    <w:rsid w:val="001E5437"/>
    <w:rsid w:val="001F0825"/>
    <w:rsid w:val="001F0DB3"/>
    <w:rsid w:val="001F1712"/>
    <w:rsid w:val="001F34B0"/>
    <w:rsid w:val="001F41DB"/>
    <w:rsid w:val="001F425C"/>
    <w:rsid w:val="001F454A"/>
    <w:rsid w:val="001F609D"/>
    <w:rsid w:val="001F656E"/>
    <w:rsid w:val="001F6742"/>
    <w:rsid w:val="001F6E72"/>
    <w:rsid w:val="001F6F56"/>
    <w:rsid w:val="002052EC"/>
    <w:rsid w:val="00205D01"/>
    <w:rsid w:val="002122FA"/>
    <w:rsid w:val="00212A1D"/>
    <w:rsid w:val="00213B73"/>
    <w:rsid w:val="00215F65"/>
    <w:rsid w:val="00215F81"/>
    <w:rsid w:val="002165A5"/>
    <w:rsid w:val="0021714B"/>
    <w:rsid w:val="00217EFD"/>
    <w:rsid w:val="002203D6"/>
    <w:rsid w:val="00220416"/>
    <w:rsid w:val="00221B59"/>
    <w:rsid w:val="002238C8"/>
    <w:rsid w:val="002247D5"/>
    <w:rsid w:val="00224D9B"/>
    <w:rsid w:val="00225133"/>
    <w:rsid w:val="00225D35"/>
    <w:rsid w:val="00226C79"/>
    <w:rsid w:val="002311EB"/>
    <w:rsid w:val="002324D1"/>
    <w:rsid w:val="0023348F"/>
    <w:rsid w:val="0023385C"/>
    <w:rsid w:val="00233E38"/>
    <w:rsid w:val="0023486B"/>
    <w:rsid w:val="00234969"/>
    <w:rsid w:val="0023620B"/>
    <w:rsid w:val="002373CC"/>
    <w:rsid w:val="00240532"/>
    <w:rsid w:val="00241E5E"/>
    <w:rsid w:val="00244F28"/>
    <w:rsid w:val="00247B4B"/>
    <w:rsid w:val="00247E06"/>
    <w:rsid w:val="002500B3"/>
    <w:rsid w:val="00250766"/>
    <w:rsid w:val="0025080B"/>
    <w:rsid w:val="00250B3C"/>
    <w:rsid w:val="00250C86"/>
    <w:rsid w:val="002515F9"/>
    <w:rsid w:val="00252B58"/>
    <w:rsid w:val="00254428"/>
    <w:rsid w:val="00256BBC"/>
    <w:rsid w:val="00256C31"/>
    <w:rsid w:val="00257A39"/>
    <w:rsid w:val="00261ED7"/>
    <w:rsid w:val="00261EFB"/>
    <w:rsid w:val="0026399D"/>
    <w:rsid w:val="00265192"/>
    <w:rsid w:val="00265863"/>
    <w:rsid w:val="00265A4F"/>
    <w:rsid w:val="00265F0B"/>
    <w:rsid w:val="00266E8E"/>
    <w:rsid w:val="0026749A"/>
    <w:rsid w:val="00267BE8"/>
    <w:rsid w:val="002717E7"/>
    <w:rsid w:val="00272149"/>
    <w:rsid w:val="00273ACC"/>
    <w:rsid w:val="00274A68"/>
    <w:rsid w:val="00276D0D"/>
    <w:rsid w:val="00281095"/>
    <w:rsid w:val="002816A9"/>
    <w:rsid w:val="002819F3"/>
    <w:rsid w:val="00291D43"/>
    <w:rsid w:val="00292FCF"/>
    <w:rsid w:val="00294D25"/>
    <w:rsid w:val="0029519F"/>
    <w:rsid w:val="0029725A"/>
    <w:rsid w:val="002A103E"/>
    <w:rsid w:val="002A1C64"/>
    <w:rsid w:val="002A580E"/>
    <w:rsid w:val="002A5C70"/>
    <w:rsid w:val="002B2749"/>
    <w:rsid w:val="002B29C0"/>
    <w:rsid w:val="002B42A8"/>
    <w:rsid w:val="002B5437"/>
    <w:rsid w:val="002B5CA0"/>
    <w:rsid w:val="002B609B"/>
    <w:rsid w:val="002C0931"/>
    <w:rsid w:val="002C0A4E"/>
    <w:rsid w:val="002C1E6C"/>
    <w:rsid w:val="002C2DBF"/>
    <w:rsid w:val="002C3194"/>
    <w:rsid w:val="002C49A3"/>
    <w:rsid w:val="002C688B"/>
    <w:rsid w:val="002C7465"/>
    <w:rsid w:val="002D2AD9"/>
    <w:rsid w:val="002D512D"/>
    <w:rsid w:val="002D6B9C"/>
    <w:rsid w:val="002E16BA"/>
    <w:rsid w:val="002E2BF5"/>
    <w:rsid w:val="002E3166"/>
    <w:rsid w:val="002E3227"/>
    <w:rsid w:val="002E4085"/>
    <w:rsid w:val="002E5ADD"/>
    <w:rsid w:val="002E6AD2"/>
    <w:rsid w:val="002F01F8"/>
    <w:rsid w:val="002F0866"/>
    <w:rsid w:val="002F1135"/>
    <w:rsid w:val="002F1623"/>
    <w:rsid w:val="002F16D0"/>
    <w:rsid w:val="002F1E53"/>
    <w:rsid w:val="002F4D1E"/>
    <w:rsid w:val="002F5066"/>
    <w:rsid w:val="002F5D76"/>
    <w:rsid w:val="002F621C"/>
    <w:rsid w:val="002F6556"/>
    <w:rsid w:val="002F6DB3"/>
    <w:rsid w:val="002F6EC3"/>
    <w:rsid w:val="00300DF3"/>
    <w:rsid w:val="00303DE5"/>
    <w:rsid w:val="00304350"/>
    <w:rsid w:val="00310AB2"/>
    <w:rsid w:val="00312190"/>
    <w:rsid w:val="003139AB"/>
    <w:rsid w:val="003146FA"/>
    <w:rsid w:val="003164FE"/>
    <w:rsid w:val="00316854"/>
    <w:rsid w:val="00316BE1"/>
    <w:rsid w:val="00316C27"/>
    <w:rsid w:val="00317200"/>
    <w:rsid w:val="00323A1F"/>
    <w:rsid w:val="003245AA"/>
    <w:rsid w:val="0032487A"/>
    <w:rsid w:val="0032522C"/>
    <w:rsid w:val="00326845"/>
    <w:rsid w:val="003305FA"/>
    <w:rsid w:val="0033090F"/>
    <w:rsid w:val="00330EEF"/>
    <w:rsid w:val="00333029"/>
    <w:rsid w:val="00333753"/>
    <w:rsid w:val="0033719B"/>
    <w:rsid w:val="00340104"/>
    <w:rsid w:val="00340D00"/>
    <w:rsid w:val="00342D91"/>
    <w:rsid w:val="00343BD0"/>
    <w:rsid w:val="00344A8F"/>
    <w:rsid w:val="003457D7"/>
    <w:rsid w:val="003543A4"/>
    <w:rsid w:val="00354F6F"/>
    <w:rsid w:val="003573C8"/>
    <w:rsid w:val="0035755C"/>
    <w:rsid w:val="003617F9"/>
    <w:rsid w:val="00361998"/>
    <w:rsid w:val="00365906"/>
    <w:rsid w:val="003719C8"/>
    <w:rsid w:val="00372E1F"/>
    <w:rsid w:val="003734FE"/>
    <w:rsid w:val="00375197"/>
    <w:rsid w:val="0037621E"/>
    <w:rsid w:val="0038677E"/>
    <w:rsid w:val="00391AF5"/>
    <w:rsid w:val="00392253"/>
    <w:rsid w:val="00393AE8"/>
    <w:rsid w:val="00393C5F"/>
    <w:rsid w:val="00395678"/>
    <w:rsid w:val="00396332"/>
    <w:rsid w:val="003A03AC"/>
    <w:rsid w:val="003A0CDF"/>
    <w:rsid w:val="003A1D58"/>
    <w:rsid w:val="003A47D9"/>
    <w:rsid w:val="003A4C30"/>
    <w:rsid w:val="003A5F34"/>
    <w:rsid w:val="003A7815"/>
    <w:rsid w:val="003B1762"/>
    <w:rsid w:val="003B404D"/>
    <w:rsid w:val="003B533A"/>
    <w:rsid w:val="003B65A6"/>
    <w:rsid w:val="003B6C83"/>
    <w:rsid w:val="003B6D88"/>
    <w:rsid w:val="003C03B8"/>
    <w:rsid w:val="003C09B8"/>
    <w:rsid w:val="003C30E7"/>
    <w:rsid w:val="003C6D2D"/>
    <w:rsid w:val="003C76D7"/>
    <w:rsid w:val="003D104A"/>
    <w:rsid w:val="003D2026"/>
    <w:rsid w:val="003D2646"/>
    <w:rsid w:val="003D3957"/>
    <w:rsid w:val="003D6004"/>
    <w:rsid w:val="003D7F3C"/>
    <w:rsid w:val="003E1DE4"/>
    <w:rsid w:val="003E34D5"/>
    <w:rsid w:val="003E4153"/>
    <w:rsid w:val="003E4A06"/>
    <w:rsid w:val="003E507F"/>
    <w:rsid w:val="003E5841"/>
    <w:rsid w:val="003E5C5D"/>
    <w:rsid w:val="003E70E3"/>
    <w:rsid w:val="003E7102"/>
    <w:rsid w:val="003E7C23"/>
    <w:rsid w:val="003E7C55"/>
    <w:rsid w:val="003E7DC7"/>
    <w:rsid w:val="003F04EE"/>
    <w:rsid w:val="003F0877"/>
    <w:rsid w:val="003F0B39"/>
    <w:rsid w:val="003F1037"/>
    <w:rsid w:val="003F36C1"/>
    <w:rsid w:val="003F3E2E"/>
    <w:rsid w:val="003F3FA4"/>
    <w:rsid w:val="003F4FF6"/>
    <w:rsid w:val="004001D3"/>
    <w:rsid w:val="0040058E"/>
    <w:rsid w:val="00400D7A"/>
    <w:rsid w:val="0040414F"/>
    <w:rsid w:val="00404880"/>
    <w:rsid w:val="00404CCC"/>
    <w:rsid w:val="004105E7"/>
    <w:rsid w:val="0041092B"/>
    <w:rsid w:val="004142B7"/>
    <w:rsid w:val="00414BFB"/>
    <w:rsid w:val="0041737E"/>
    <w:rsid w:val="0042042A"/>
    <w:rsid w:val="0042296F"/>
    <w:rsid w:val="00422E95"/>
    <w:rsid w:val="0042312F"/>
    <w:rsid w:val="004239DD"/>
    <w:rsid w:val="00423D84"/>
    <w:rsid w:val="00424BF1"/>
    <w:rsid w:val="0042544D"/>
    <w:rsid w:val="00426536"/>
    <w:rsid w:val="00426A8A"/>
    <w:rsid w:val="00427CC0"/>
    <w:rsid w:val="00427F2E"/>
    <w:rsid w:val="0043150F"/>
    <w:rsid w:val="004316FD"/>
    <w:rsid w:val="0043178B"/>
    <w:rsid w:val="00433494"/>
    <w:rsid w:val="00433526"/>
    <w:rsid w:val="0043366A"/>
    <w:rsid w:val="0043372F"/>
    <w:rsid w:val="0043380F"/>
    <w:rsid w:val="004342A3"/>
    <w:rsid w:val="00434719"/>
    <w:rsid w:val="004362C7"/>
    <w:rsid w:val="00441254"/>
    <w:rsid w:val="00441508"/>
    <w:rsid w:val="00441621"/>
    <w:rsid w:val="00441AE1"/>
    <w:rsid w:val="004441A3"/>
    <w:rsid w:val="0044520E"/>
    <w:rsid w:val="004455C0"/>
    <w:rsid w:val="004459AF"/>
    <w:rsid w:val="00445B26"/>
    <w:rsid w:val="004506EE"/>
    <w:rsid w:val="00451F9D"/>
    <w:rsid w:val="00454898"/>
    <w:rsid w:val="00456637"/>
    <w:rsid w:val="004605A5"/>
    <w:rsid w:val="004616AB"/>
    <w:rsid w:val="00461D5C"/>
    <w:rsid w:val="00462594"/>
    <w:rsid w:val="00462C9D"/>
    <w:rsid w:val="004633B6"/>
    <w:rsid w:val="00463A0A"/>
    <w:rsid w:val="00464094"/>
    <w:rsid w:val="004647AB"/>
    <w:rsid w:val="004649E6"/>
    <w:rsid w:val="00466C36"/>
    <w:rsid w:val="0047016C"/>
    <w:rsid w:val="0047052B"/>
    <w:rsid w:val="004706F8"/>
    <w:rsid w:val="00470D03"/>
    <w:rsid w:val="00472A1F"/>
    <w:rsid w:val="00473873"/>
    <w:rsid w:val="0047517A"/>
    <w:rsid w:val="004808AE"/>
    <w:rsid w:val="004819A1"/>
    <w:rsid w:val="00483417"/>
    <w:rsid w:val="00484C2C"/>
    <w:rsid w:val="00485C94"/>
    <w:rsid w:val="004860CF"/>
    <w:rsid w:val="004870EC"/>
    <w:rsid w:val="00487599"/>
    <w:rsid w:val="0049046B"/>
    <w:rsid w:val="0049397F"/>
    <w:rsid w:val="00494A27"/>
    <w:rsid w:val="0049540C"/>
    <w:rsid w:val="00497192"/>
    <w:rsid w:val="00497F70"/>
    <w:rsid w:val="004A0F22"/>
    <w:rsid w:val="004A44F7"/>
    <w:rsid w:val="004A45FC"/>
    <w:rsid w:val="004A4975"/>
    <w:rsid w:val="004A5998"/>
    <w:rsid w:val="004A7DA4"/>
    <w:rsid w:val="004B0873"/>
    <w:rsid w:val="004B3746"/>
    <w:rsid w:val="004B3E6B"/>
    <w:rsid w:val="004B6736"/>
    <w:rsid w:val="004B6F60"/>
    <w:rsid w:val="004C0BE9"/>
    <w:rsid w:val="004C1D8B"/>
    <w:rsid w:val="004C503F"/>
    <w:rsid w:val="004C5A96"/>
    <w:rsid w:val="004C6C56"/>
    <w:rsid w:val="004D267F"/>
    <w:rsid w:val="004D28DE"/>
    <w:rsid w:val="004D2B06"/>
    <w:rsid w:val="004D46B2"/>
    <w:rsid w:val="004D58D2"/>
    <w:rsid w:val="004D7612"/>
    <w:rsid w:val="004E1007"/>
    <w:rsid w:val="004E1E1A"/>
    <w:rsid w:val="004E2133"/>
    <w:rsid w:val="004E2D54"/>
    <w:rsid w:val="004E48ED"/>
    <w:rsid w:val="004E4AF6"/>
    <w:rsid w:val="004E4AFA"/>
    <w:rsid w:val="004E6035"/>
    <w:rsid w:val="004E7A1A"/>
    <w:rsid w:val="004E7E7B"/>
    <w:rsid w:val="004F127E"/>
    <w:rsid w:val="004F1971"/>
    <w:rsid w:val="004F2E63"/>
    <w:rsid w:val="004F3BFF"/>
    <w:rsid w:val="004F4BC0"/>
    <w:rsid w:val="004F5090"/>
    <w:rsid w:val="004F6082"/>
    <w:rsid w:val="005007A0"/>
    <w:rsid w:val="005007FC"/>
    <w:rsid w:val="00500984"/>
    <w:rsid w:val="005010D9"/>
    <w:rsid w:val="005018B7"/>
    <w:rsid w:val="00501C58"/>
    <w:rsid w:val="00503CB1"/>
    <w:rsid w:val="00504270"/>
    <w:rsid w:val="005055A4"/>
    <w:rsid w:val="00505872"/>
    <w:rsid w:val="00506189"/>
    <w:rsid w:val="005068B3"/>
    <w:rsid w:val="00506D08"/>
    <w:rsid w:val="005106AA"/>
    <w:rsid w:val="00512F28"/>
    <w:rsid w:val="0051331D"/>
    <w:rsid w:val="005142C4"/>
    <w:rsid w:val="00515857"/>
    <w:rsid w:val="00517A25"/>
    <w:rsid w:val="00521EFE"/>
    <w:rsid w:val="005224A9"/>
    <w:rsid w:val="00522CB0"/>
    <w:rsid w:val="00523022"/>
    <w:rsid w:val="00523484"/>
    <w:rsid w:val="005250CB"/>
    <w:rsid w:val="00525D56"/>
    <w:rsid w:val="0052692D"/>
    <w:rsid w:val="00532C05"/>
    <w:rsid w:val="005332FC"/>
    <w:rsid w:val="00534C0D"/>
    <w:rsid w:val="00535700"/>
    <w:rsid w:val="00536393"/>
    <w:rsid w:val="00537194"/>
    <w:rsid w:val="00537358"/>
    <w:rsid w:val="00537ADC"/>
    <w:rsid w:val="005400A9"/>
    <w:rsid w:val="00540413"/>
    <w:rsid w:val="005419B3"/>
    <w:rsid w:val="0054299C"/>
    <w:rsid w:val="00544101"/>
    <w:rsid w:val="00545D0D"/>
    <w:rsid w:val="0054659E"/>
    <w:rsid w:val="00546EE9"/>
    <w:rsid w:val="00551F77"/>
    <w:rsid w:val="005538E5"/>
    <w:rsid w:val="0055472F"/>
    <w:rsid w:val="00554A97"/>
    <w:rsid w:val="00555B89"/>
    <w:rsid w:val="005600F3"/>
    <w:rsid w:val="0056097F"/>
    <w:rsid w:val="00561725"/>
    <w:rsid w:val="00562E31"/>
    <w:rsid w:val="00563511"/>
    <w:rsid w:val="00565250"/>
    <w:rsid w:val="00565673"/>
    <w:rsid w:val="005666BC"/>
    <w:rsid w:val="00566ECC"/>
    <w:rsid w:val="005736D5"/>
    <w:rsid w:val="00573F0D"/>
    <w:rsid w:val="0057429C"/>
    <w:rsid w:val="00574A7C"/>
    <w:rsid w:val="00574CBE"/>
    <w:rsid w:val="00575C7F"/>
    <w:rsid w:val="00576268"/>
    <w:rsid w:val="00577075"/>
    <w:rsid w:val="00582FDE"/>
    <w:rsid w:val="00583C69"/>
    <w:rsid w:val="00584CC5"/>
    <w:rsid w:val="00586AE5"/>
    <w:rsid w:val="00586F2D"/>
    <w:rsid w:val="005874DA"/>
    <w:rsid w:val="00587E99"/>
    <w:rsid w:val="00590519"/>
    <w:rsid w:val="00592C4F"/>
    <w:rsid w:val="00592E3F"/>
    <w:rsid w:val="005943AB"/>
    <w:rsid w:val="00595548"/>
    <w:rsid w:val="00595ADF"/>
    <w:rsid w:val="00595C68"/>
    <w:rsid w:val="0059659D"/>
    <w:rsid w:val="00596C78"/>
    <w:rsid w:val="00596CC6"/>
    <w:rsid w:val="005976D6"/>
    <w:rsid w:val="005A1504"/>
    <w:rsid w:val="005A2171"/>
    <w:rsid w:val="005A33E8"/>
    <w:rsid w:val="005A48EC"/>
    <w:rsid w:val="005A5566"/>
    <w:rsid w:val="005B347E"/>
    <w:rsid w:val="005B3D94"/>
    <w:rsid w:val="005C137E"/>
    <w:rsid w:val="005C1505"/>
    <w:rsid w:val="005C2C45"/>
    <w:rsid w:val="005C3211"/>
    <w:rsid w:val="005C487C"/>
    <w:rsid w:val="005C4CF6"/>
    <w:rsid w:val="005C7FDE"/>
    <w:rsid w:val="005D0854"/>
    <w:rsid w:val="005D1045"/>
    <w:rsid w:val="005D15A0"/>
    <w:rsid w:val="005D1684"/>
    <w:rsid w:val="005D27A9"/>
    <w:rsid w:val="005D475B"/>
    <w:rsid w:val="005D4997"/>
    <w:rsid w:val="005D4B93"/>
    <w:rsid w:val="005D5897"/>
    <w:rsid w:val="005D6063"/>
    <w:rsid w:val="005D631A"/>
    <w:rsid w:val="005E1E2A"/>
    <w:rsid w:val="005E35E9"/>
    <w:rsid w:val="005E4F3F"/>
    <w:rsid w:val="005F1CCC"/>
    <w:rsid w:val="005F2C32"/>
    <w:rsid w:val="005F38F7"/>
    <w:rsid w:val="005F49FF"/>
    <w:rsid w:val="005F5034"/>
    <w:rsid w:val="005F5A44"/>
    <w:rsid w:val="005F70D0"/>
    <w:rsid w:val="005F7A43"/>
    <w:rsid w:val="00601E3B"/>
    <w:rsid w:val="00602120"/>
    <w:rsid w:val="00604358"/>
    <w:rsid w:val="0060732D"/>
    <w:rsid w:val="0060763F"/>
    <w:rsid w:val="00607700"/>
    <w:rsid w:val="0061012B"/>
    <w:rsid w:val="006102E6"/>
    <w:rsid w:val="00610576"/>
    <w:rsid w:val="006105EE"/>
    <w:rsid w:val="00612F6D"/>
    <w:rsid w:val="00613419"/>
    <w:rsid w:val="00615926"/>
    <w:rsid w:val="006178D9"/>
    <w:rsid w:val="00617D8E"/>
    <w:rsid w:val="00617F7B"/>
    <w:rsid w:val="0062147C"/>
    <w:rsid w:val="00621BF7"/>
    <w:rsid w:val="00624751"/>
    <w:rsid w:val="006247A7"/>
    <w:rsid w:val="0062651D"/>
    <w:rsid w:val="006275D4"/>
    <w:rsid w:val="00631161"/>
    <w:rsid w:val="00631A27"/>
    <w:rsid w:val="00631AB6"/>
    <w:rsid w:val="006321B6"/>
    <w:rsid w:val="0063281D"/>
    <w:rsid w:val="0063309D"/>
    <w:rsid w:val="006344D3"/>
    <w:rsid w:val="006350AB"/>
    <w:rsid w:val="00635183"/>
    <w:rsid w:val="00635508"/>
    <w:rsid w:val="00636B5D"/>
    <w:rsid w:val="0064042C"/>
    <w:rsid w:val="006411C1"/>
    <w:rsid w:val="00641FD4"/>
    <w:rsid w:val="006420F5"/>
    <w:rsid w:val="006426F0"/>
    <w:rsid w:val="00642DAD"/>
    <w:rsid w:val="006434BE"/>
    <w:rsid w:val="0064778A"/>
    <w:rsid w:val="006507B4"/>
    <w:rsid w:val="006509C1"/>
    <w:rsid w:val="00652B73"/>
    <w:rsid w:val="00652BFE"/>
    <w:rsid w:val="006531DB"/>
    <w:rsid w:val="00653313"/>
    <w:rsid w:val="00653913"/>
    <w:rsid w:val="00653BB4"/>
    <w:rsid w:val="006550AA"/>
    <w:rsid w:val="00655180"/>
    <w:rsid w:val="00656D60"/>
    <w:rsid w:val="00657967"/>
    <w:rsid w:val="00657A7D"/>
    <w:rsid w:val="00660DA7"/>
    <w:rsid w:val="006621ED"/>
    <w:rsid w:val="00662CE3"/>
    <w:rsid w:val="00663DA2"/>
    <w:rsid w:val="00664433"/>
    <w:rsid w:val="006653D3"/>
    <w:rsid w:val="006660E9"/>
    <w:rsid w:val="00666593"/>
    <w:rsid w:val="00667A5D"/>
    <w:rsid w:val="00670CD5"/>
    <w:rsid w:val="006735DD"/>
    <w:rsid w:val="0067418C"/>
    <w:rsid w:val="00675C06"/>
    <w:rsid w:val="00675D91"/>
    <w:rsid w:val="006762E6"/>
    <w:rsid w:val="00681605"/>
    <w:rsid w:val="006833E9"/>
    <w:rsid w:val="00683687"/>
    <w:rsid w:val="006842FA"/>
    <w:rsid w:val="00684E39"/>
    <w:rsid w:val="006858F8"/>
    <w:rsid w:val="00685A3C"/>
    <w:rsid w:val="00685DE6"/>
    <w:rsid w:val="006865A4"/>
    <w:rsid w:val="006865C9"/>
    <w:rsid w:val="00692327"/>
    <w:rsid w:val="00696730"/>
    <w:rsid w:val="006A0102"/>
    <w:rsid w:val="006A0A79"/>
    <w:rsid w:val="006A1389"/>
    <w:rsid w:val="006A66A0"/>
    <w:rsid w:val="006A7946"/>
    <w:rsid w:val="006B07EB"/>
    <w:rsid w:val="006B1B9D"/>
    <w:rsid w:val="006B3907"/>
    <w:rsid w:val="006B3A8F"/>
    <w:rsid w:val="006B3E55"/>
    <w:rsid w:val="006B60F8"/>
    <w:rsid w:val="006B6284"/>
    <w:rsid w:val="006B7801"/>
    <w:rsid w:val="006C0AE2"/>
    <w:rsid w:val="006C0D39"/>
    <w:rsid w:val="006C140D"/>
    <w:rsid w:val="006C377A"/>
    <w:rsid w:val="006C4FBC"/>
    <w:rsid w:val="006C4FF1"/>
    <w:rsid w:val="006D0B96"/>
    <w:rsid w:val="006D1245"/>
    <w:rsid w:val="006D13F6"/>
    <w:rsid w:val="006D2645"/>
    <w:rsid w:val="006D2828"/>
    <w:rsid w:val="006D2BDA"/>
    <w:rsid w:val="006D2CA5"/>
    <w:rsid w:val="006D3A38"/>
    <w:rsid w:val="006D5D61"/>
    <w:rsid w:val="006D7426"/>
    <w:rsid w:val="006E2A85"/>
    <w:rsid w:val="006E3C74"/>
    <w:rsid w:val="006E400B"/>
    <w:rsid w:val="006E410F"/>
    <w:rsid w:val="006E54E2"/>
    <w:rsid w:val="006E5BAF"/>
    <w:rsid w:val="006E7D2D"/>
    <w:rsid w:val="006F006A"/>
    <w:rsid w:val="006F08A7"/>
    <w:rsid w:val="006F1513"/>
    <w:rsid w:val="006F1DF2"/>
    <w:rsid w:val="006F2D25"/>
    <w:rsid w:val="006F3D17"/>
    <w:rsid w:val="006F40CC"/>
    <w:rsid w:val="006F4FDE"/>
    <w:rsid w:val="006F62DA"/>
    <w:rsid w:val="00702AE6"/>
    <w:rsid w:val="00702DD9"/>
    <w:rsid w:val="007043BF"/>
    <w:rsid w:val="00704EFC"/>
    <w:rsid w:val="00705272"/>
    <w:rsid w:val="00705320"/>
    <w:rsid w:val="0070654E"/>
    <w:rsid w:val="0070666C"/>
    <w:rsid w:val="00706E7D"/>
    <w:rsid w:val="0070750F"/>
    <w:rsid w:val="00707ADF"/>
    <w:rsid w:val="00707D93"/>
    <w:rsid w:val="007100E4"/>
    <w:rsid w:val="007114C4"/>
    <w:rsid w:val="0071330F"/>
    <w:rsid w:val="0071397D"/>
    <w:rsid w:val="0071714F"/>
    <w:rsid w:val="00722826"/>
    <w:rsid w:val="00724470"/>
    <w:rsid w:val="0072452B"/>
    <w:rsid w:val="00724E96"/>
    <w:rsid w:val="0072501A"/>
    <w:rsid w:val="00726E19"/>
    <w:rsid w:val="007320F2"/>
    <w:rsid w:val="007320FB"/>
    <w:rsid w:val="00733340"/>
    <w:rsid w:val="0073494E"/>
    <w:rsid w:val="007354DB"/>
    <w:rsid w:val="007355B8"/>
    <w:rsid w:val="00737A7B"/>
    <w:rsid w:val="0074010C"/>
    <w:rsid w:val="00741920"/>
    <w:rsid w:val="0074274D"/>
    <w:rsid w:val="00743FC6"/>
    <w:rsid w:val="00744B81"/>
    <w:rsid w:val="00746A20"/>
    <w:rsid w:val="007504D8"/>
    <w:rsid w:val="00751732"/>
    <w:rsid w:val="007522E5"/>
    <w:rsid w:val="0075614B"/>
    <w:rsid w:val="007564A7"/>
    <w:rsid w:val="00757CB3"/>
    <w:rsid w:val="007606E7"/>
    <w:rsid w:val="00763CBF"/>
    <w:rsid w:val="00763EBD"/>
    <w:rsid w:val="00764C00"/>
    <w:rsid w:val="00766471"/>
    <w:rsid w:val="0076725A"/>
    <w:rsid w:val="0076767F"/>
    <w:rsid w:val="00767E3E"/>
    <w:rsid w:val="00770DC8"/>
    <w:rsid w:val="007710FE"/>
    <w:rsid w:val="0077285A"/>
    <w:rsid w:val="00772BCE"/>
    <w:rsid w:val="007743B1"/>
    <w:rsid w:val="0077463B"/>
    <w:rsid w:val="00774C08"/>
    <w:rsid w:val="0077576D"/>
    <w:rsid w:val="00780E57"/>
    <w:rsid w:val="007824FD"/>
    <w:rsid w:val="00785BC0"/>
    <w:rsid w:val="00786A5A"/>
    <w:rsid w:val="00790FF5"/>
    <w:rsid w:val="00793BE2"/>
    <w:rsid w:val="00793FDF"/>
    <w:rsid w:val="00795659"/>
    <w:rsid w:val="00796E9F"/>
    <w:rsid w:val="00796EE8"/>
    <w:rsid w:val="00797609"/>
    <w:rsid w:val="007976C5"/>
    <w:rsid w:val="007A0569"/>
    <w:rsid w:val="007A30E4"/>
    <w:rsid w:val="007A3A6B"/>
    <w:rsid w:val="007A43F1"/>
    <w:rsid w:val="007A6557"/>
    <w:rsid w:val="007A6D3B"/>
    <w:rsid w:val="007A71AE"/>
    <w:rsid w:val="007A7323"/>
    <w:rsid w:val="007A732B"/>
    <w:rsid w:val="007A7350"/>
    <w:rsid w:val="007A7561"/>
    <w:rsid w:val="007A7821"/>
    <w:rsid w:val="007A7E7E"/>
    <w:rsid w:val="007B08AB"/>
    <w:rsid w:val="007B0A86"/>
    <w:rsid w:val="007B0CF6"/>
    <w:rsid w:val="007B1738"/>
    <w:rsid w:val="007B2942"/>
    <w:rsid w:val="007B29F7"/>
    <w:rsid w:val="007B3301"/>
    <w:rsid w:val="007B3C95"/>
    <w:rsid w:val="007B4F04"/>
    <w:rsid w:val="007C125E"/>
    <w:rsid w:val="007C1B64"/>
    <w:rsid w:val="007C2E96"/>
    <w:rsid w:val="007C494E"/>
    <w:rsid w:val="007C4A04"/>
    <w:rsid w:val="007C527E"/>
    <w:rsid w:val="007C52C6"/>
    <w:rsid w:val="007C6B74"/>
    <w:rsid w:val="007C77A1"/>
    <w:rsid w:val="007D0672"/>
    <w:rsid w:val="007D0701"/>
    <w:rsid w:val="007D0A98"/>
    <w:rsid w:val="007D1539"/>
    <w:rsid w:val="007D242F"/>
    <w:rsid w:val="007D2D53"/>
    <w:rsid w:val="007D2F18"/>
    <w:rsid w:val="007D30BC"/>
    <w:rsid w:val="007D3441"/>
    <w:rsid w:val="007D4179"/>
    <w:rsid w:val="007D4A2A"/>
    <w:rsid w:val="007D4FC5"/>
    <w:rsid w:val="007D549B"/>
    <w:rsid w:val="007D5F58"/>
    <w:rsid w:val="007D6C7D"/>
    <w:rsid w:val="007D7D97"/>
    <w:rsid w:val="007E19F0"/>
    <w:rsid w:val="007E1B94"/>
    <w:rsid w:val="007E2E16"/>
    <w:rsid w:val="007E49C5"/>
    <w:rsid w:val="007E78F8"/>
    <w:rsid w:val="007E7AD7"/>
    <w:rsid w:val="007F0620"/>
    <w:rsid w:val="007F09DD"/>
    <w:rsid w:val="007F1AF6"/>
    <w:rsid w:val="007F33B7"/>
    <w:rsid w:val="007F340A"/>
    <w:rsid w:val="007F3DB2"/>
    <w:rsid w:val="007F4296"/>
    <w:rsid w:val="007F562C"/>
    <w:rsid w:val="0080011A"/>
    <w:rsid w:val="0080030D"/>
    <w:rsid w:val="00801E2E"/>
    <w:rsid w:val="0080220B"/>
    <w:rsid w:val="00802702"/>
    <w:rsid w:val="00802F0B"/>
    <w:rsid w:val="008030AA"/>
    <w:rsid w:val="00803E3A"/>
    <w:rsid w:val="00803FFE"/>
    <w:rsid w:val="008102D1"/>
    <w:rsid w:val="00811127"/>
    <w:rsid w:val="008116A1"/>
    <w:rsid w:val="00821CD0"/>
    <w:rsid w:val="00821F16"/>
    <w:rsid w:val="00825E9D"/>
    <w:rsid w:val="008263A7"/>
    <w:rsid w:val="00826E8C"/>
    <w:rsid w:val="008323BC"/>
    <w:rsid w:val="00832B50"/>
    <w:rsid w:val="00834E1B"/>
    <w:rsid w:val="00835E00"/>
    <w:rsid w:val="00837B69"/>
    <w:rsid w:val="00840520"/>
    <w:rsid w:val="00842569"/>
    <w:rsid w:val="008454D2"/>
    <w:rsid w:val="00846B7A"/>
    <w:rsid w:val="00846FD7"/>
    <w:rsid w:val="00847E9D"/>
    <w:rsid w:val="008507C0"/>
    <w:rsid w:val="00852913"/>
    <w:rsid w:val="0085455B"/>
    <w:rsid w:val="00856335"/>
    <w:rsid w:val="00856429"/>
    <w:rsid w:val="008567D8"/>
    <w:rsid w:val="00857336"/>
    <w:rsid w:val="00857960"/>
    <w:rsid w:val="00857E8C"/>
    <w:rsid w:val="008601EA"/>
    <w:rsid w:val="00861F33"/>
    <w:rsid w:val="00862C67"/>
    <w:rsid w:val="008636DC"/>
    <w:rsid w:val="00863738"/>
    <w:rsid w:val="00866630"/>
    <w:rsid w:val="008677CD"/>
    <w:rsid w:val="00870B8D"/>
    <w:rsid w:val="00874512"/>
    <w:rsid w:val="00874FC3"/>
    <w:rsid w:val="008750A4"/>
    <w:rsid w:val="00877EA2"/>
    <w:rsid w:val="00881FC6"/>
    <w:rsid w:val="00882326"/>
    <w:rsid w:val="00884BC1"/>
    <w:rsid w:val="00885857"/>
    <w:rsid w:val="00885B84"/>
    <w:rsid w:val="00886EF0"/>
    <w:rsid w:val="008935F3"/>
    <w:rsid w:val="008938B5"/>
    <w:rsid w:val="00895D9D"/>
    <w:rsid w:val="00897B3B"/>
    <w:rsid w:val="008A0E2C"/>
    <w:rsid w:val="008A142C"/>
    <w:rsid w:val="008A1EDC"/>
    <w:rsid w:val="008A662C"/>
    <w:rsid w:val="008A6869"/>
    <w:rsid w:val="008A6C74"/>
    <w:rsid w:val="008A6FF8"/>
    <w:rsid w:val="008B0646"/>
    <w:rsid w:val="008B1EEC"/>
    <w:rsid w:val="008B2541"/>
    <w:rsid w:val="008B35EB"/>
    <w:rsid w:val="008B4A70"/>
    <w:rsid w:val="008B6EB3"/>
    <w:rsid w:val="008B7DB8"/>
    <w:rsid w:val="008C0629"/>
    <w:rsid w:val="008C1609"/>
    <w:rsid w:val="008C55DB"/>
    <w:rsid w:val="008C6BB9"/>
    <w:rsid w:val="008C6DFB"/>
    <w:rsid w:val="008C791C"/>
    <w:rsid w:val="008D089D"/>
    <w:rsid w:val="008D10D4"/>
    <w:rsid w:val="008D1342"/>
    <w:rsid w:val="008D307F"/>
    <w:rsid w:val="008D4F11"/>
    <w:rsid w:val="008D68B7"/>
    <w:rsid w:val="008D7E77"/>
    <w:rsid w:val="008E133B"/>
    <w:rsid w:val="008E14C7"/>
    <w:rsid w:val="008E2FE7"/>
    <w:rsid w:val="008E43B9"/>
    <w:rsid w:val="008E51EF"/>
    <w:rsid w:val="008E5229"/>
    <w:rsid w:val="008E743E"/>
    <w:rsid w:val="008F3DFB"/>
    <w:rsid w:val="008F78DE"/>
    <w:rsid w:val="008F7C87"/>
    <w:rsid w:val="00901497"/>
    <w:rsid w:val="009019FA"/>
    <w:rsid w:val="00901B6B"/>
    <w:rsid w:val="00902737"/>
    <w:rsid w:val="00902804"/>
    <w:rsid w:val="00902E9C"/>
    <w:rsid w:val="0090591C"/>
    <w:rsid w:val="00906DC8"/>
    <w:rsid w:val="0091045B"/>
    <w:rsid w:val="00910CF2"/>
    <w:rsid w:val="009128E0"/>
    <w:rsid w:val="00912A8A"/>
    <w:rsid w:val="00912F2B"/>
    <w:rsid w:val="00914002"/>
    <w:rsid w:val="0091483E"/>
    <w:rsid w:val="00915A85"/>
    <w:rsid w:val="00916C36"/>
    <w:rsid w:val="0091783C"/>
    <w:rsid w:val="00921B06"/>
    <w:rsid w:val="00922A03"/>
    <w:rsid w:val="00923435"/>
    <w:rsid w:val="00925437"/>
    <w:rsid w:val="00925C19"/>
    <w:rsid w:val="00933252"/>
    <w:rsid w:val="00934FE6"/>
    <w:rsid w:val="00936C4C"/>
    <w:rsid w:val="00940550"/>
    <w:rsid w:val="00940AEC"/>
    <w:rsid w:val="009428EB"/>
    <w:rsid w:val="00943A1F"/>
    <w:rsid w:val="009458DA"/>
    <w:rsid w:val="00945A9B"/>
    <w:rsid w:val="00945B2A"/>
    <w:rsid w:val="0094636A"/>
    <w:rsid w:val="00947123"/>
    <w:rsid w:val="00947860"/>
    <w:rsid w:val="00950CC0"/>
    <w:rsid w:val="009520BC"/>
    <w:rsid w:val="00952C8F"/>
    <w:rsid w:val="00954B92"/>
    <w:rsid w:val="00955636"/>
    <w:rsid w:val="009564D8"/>
    <w:rsid w:val="009579E1"/>
    <w:rsid w:val="00961122"/>
    <w:rsid w:val="00961639"/>
    <w:rsid w:val="009629FE"/>
    <w:rsid w:val="00964CD2"/>
    <w:rsid w:val="0096659C"/>
    <w:rsid w:val="00966CE4"/>
    <w:rsid w:val="009705CF"/>
    <w:rsid w:val="00971065"/>
    <w:rsid w:val="009720E9"/>
    <w:rsid w:val="00972501"/>
    <w:rsid w:val="00972812"/>
    <w:rsid w:val="00973685"/>
    <w:rsid w:val="009747CF"/>
    <w:rsid w:val="00974BA2"/>
    <w:rsid w:val="00980A04"/>
    <w:rsid w:val="00980CAE"/>
    <w:rsid w:val="009812D6"/>
    <w:rsid w:val="009826E3"/>
    <w:rsid w:val="00982A13"/>
    <w:rsid w:val="00986AFB"/>
    <w:rsid w:val="00987C0B"/>
    <w:rsid w:val="00987C23"/>
    <w:rsid w:val="00990095"/>
    <w:rsid w:val="009900D0"/>
    <w:rsid w:val="00991FA5"/>
    <w:rsid w:val="00992F87"/>
    <w:rsid w:val="00993919"/>
    <w:rsid w:val="009944EA"/>
    <w:rsid w:val="00995F17"/>
    <w:rsid w:val="00995F51"/>
    <w:rsid w:val="009A2306"/>
    <w:rsid w:val="009A2B5C"/>
    <w:rsid w:val="009A2C04"/>
    <w:rsid w:val="009A2CF0"/>
    <w:rsid w:val="009A6EB6"/>
    <w:rsid w:val="009A79DB"/>
    <w:rsid w:val="009A7DC4"/>
    <w:rsid w:val="009B0530"/>
    <w:rsid w:val="009B1268"/>
    <w:rsid w:val="009B1B2C"/>
    <w:rsid w:val="009B1DEE"/>
    <w:rsid w:val="009B22BA"/>
    <w:rsid w:val="009B2E5B"/>
    <w:rsid w:val="009B4C1C"/>
    <w:rsid w:val="009B501F"/>
    <w:rsid w:val="009B5549"/>
    <w:rsid w:val="009C0229"/>
    <w:rsid w:val="009C0471"/>
    <w:rsid w:val="009C4A45"/>
    <w:rsid w:val="009C4BF9"/>
    <w:rsid w:val="009C51A9"/>
    <w:rsid w:val="009C5844"/>
    <w:rsid w:val="009C64B0"/>
    <w:rsid w:val="009C72FA"/>
    <w:rsid w:val="009C74A9"/>
    <w:rsid w:val="009D0F04"/>
    <w:rsid w:val="009D127E"/>
    <w:rsid w:val="009D2F51"/>
    <w:rsid w:val="009D4301"/>
    <w:rsid w:val="009D43CD"/>
    <w:rsid w:val="009D4863"/>
    <w:rsid w:val="009D5160"/>
    <w:rsid w:val="009E1ED8"/>
    <w:rsid w:val="009E2107"/>
    <w:rsid w:val="009E2D2B"/>
    <w:rsid w:val="009E3C4D"/>
    <w:rsid w:val="009E47B6"/>
    <w:rsid w:val="009E6486"/>
    <w:rsid w:val="009E650E"/>
    <w:rsid w:val="009E68BD"/>
    <w:rsid w:val="009E7807"/>
    <w:rsid w:val="009F1BEC"/>
    <w:rsid w:val="009F3E50"/>
    <w:rsid w:val="009F6182"/>
    <w:rsid w:val="009F7470"/>
    <w:rsid w:val="00A02E1B"/>
    <w:rsid w:val="00A031FD"/>
    <w:rsid w:val="00A0522A"/>
    <w:rsid w:val="00A0680B"/>
    <w:rsid w:val="00A06EA7"/>
    <w:rsid w:val="00A077AD"/>
    <w:rsid w:val="00A079EF"/>
    <w:rsid w:val="00A106AD"/>
    <w:rsid w:val="00A11638"/>
    <w:rsid w:val="00A12824"/>
    <w:rsid w:val="00A12E67"/>
    <w:rsid w:val="00A1586B"/>
    <w:rsid w:val="00A159ED"/>
    <w:rsid w:val="00A170BE"/>
    <w:rsid w:val="00A1757A"/>
    <w:rsid w:val="00A20531"/>
    <w:rsid w:val="00A222E0"/>
    <w:rsid w:val="00A22DD8"/>
    <w:rsid w:val="00A2330A"/>
    <w:rsid w:val="00A24A93"/>
    <w:rsid w:val="00A2542A"/>
    <w:rsid w:val="00A26237"/>
    <w:rsid w:val="00A26C47"/>
    <w:rsid w:val="00A272CE"/>
    <w:rsid w:val="00A307DE"/>
    <w:rsid w:val="00A30CAD"/>
    <w:rsid w:val="00A30EDB"/>
    <w:rsid w:val="00A3118D"/>
    <w:rsid w:val="00A31A12"/>
    <w:rsid w:val="00A33B6A"/>
    <w:rsid w:val="00A34957"/>
    <w:rsid w:val="00A35E29"/>
    <w:rsid w:val="00A37D3A"/>
    <w:rsid w:val="00A4059C"/>
    <w:rsid w:val="00A40C3D"/>
    <w:rsid w:val="00A42146"/>
    <w:rsid w:val="00A43F0D"/>
    <w:rsid w:val="00A47057"/>
    <w:rsid w:val="00A47157"/>
    <w:rsid w:val="00A47C44"/>
    <w:rsid w:val="00A5020B"/>
    <w:rsid w:val="00A5086D"/>
    <w:rsid w:val="00A50AAF"/>
    <w:rsid w:val="00A523E6"/>
    <w:rsid w:val="00A5325B"/>
    <w:rsid w:val="00A535A2"/>
    <w:rsid w:val="00A61097"/>
    <w:rsid w:val="00A64231"/>
    <w:rsid w:val="00A64858"/>
    <w:rsid w:val="00A64CD4"/>
    <w:rsid w:val="00A65DF6"/>
    <w:rsid w:val="00A661D5"/>
    <w:rsid w:val="00A66A4F"/>
    <w:rsid w:val="00A679EA"/>
    <w:rsid w:val="00A703E2"/>
    <w:rsid w:val="00A7118C"/>
    <w:rsid w:val="00A71BDF"/>
    <w:rsid w:val="00A72151"/>
    <w:rsid w:val="00A72397"/>
    <w:rsid w:val="00A723EE"/>
    <w:rsid w:val="00A72433"/>
    <w:rsid w:val="00A7250C"/>
    <w:rsid w:val="00A727E9"/>
    <w:rsid w:val="00A72BEA"/>
    <w:rsid w:val="00A72DB6"/>
    <w:rsid w:val="00A73D4C"/>
    <w:rsid w:val="00A750A9"/>
    <w:rsid w:val="00A755EA"/>
    <w:rsid w:val="00A758FB"/>
    <w:rsid w:val="00A8223D"/>
    <w:rsid w:val="00A82792"/>
    <w:rsid w:val="00A83666"/>
    <w:rsid w:val="00A8524D"/>
    <w:rsid w:val="00A8734B"/>
    <w:rsid w:val="00A87A3E"/>
    <w:rsid w:val="00A91113"/>
    <w:rsid w:val="00A911DB"/>
    <w:rsid w:val="00A93684"/>
    <w:rsid w:val="00A955CE"/>
    <w:rsid w:val="00A96502"/>
    <w:rsid w:val="00AA1CAC"/>
    <w:rsid w:val="00AA201B"/>
    <w:rsid w:val="00AA30A7"/>
    <w:rsid w:val="00AA32A1"/>
    <w:rsid w:val="00AA33AE"/>
    <w:rsid w:val="00AA4D2E"/>
    <w:rsid w:val="00AA7C46"/>
    <w:rsid w:val="00AB1A3E"/>
    <w:rsid w:val="00AB219D"/>
    <w:rsid w:val="00AB21CB"/>
    <w:rsid w:val="00AB3E49"/>
    <w:rsid w:val="00AB66E4"/>
    <w:rsid w:val="00AB69E4"/>
    <w:rsid w:val="00AB6D8F"/>
    <w:rsid w:val="00AC1752"/>
    <w:rsid w:val="00AC3718"/>
    <w:rsid w:val="00AC5351"/>
    <w:rsid w:val="00AD2980"/>
    <w:rsid w:val="00AD2982"/>
    <w:rsid w:val="00AD3428"/>
    <w:rsid w:val="00AD38E2"/>
    <w:rsid w:val="00AD521D"/>
    <w:rsid w:val="00AD6C4C"/>
    <w:rsid w:val="00AD6E78"/>
    <w:rsid w:val="00AE0E88"/>
    <w:rsid w:val="00AE28F1"/>
    <w:rsid w:val="00AE2FFA"/>
    <w:rsid w:val="00AE3D02"/>
    <w:rsid w:val="00AE79F6"/>
    <w:rsid w:val="00AE7B50"/>
    <w:rsid w:val="00AF012D"/>
    <w:rsid w:val="00AF4563"/>
    <w:rsid w:val="00AF7C2B"/>
    <w:rsid w:val="00B000B5"/>
    <w:rsid w:val="00B00B55"/>
    <w:rsid w:val="00B010CE"/>
    <w:rsid w:val="00B02C1C"/>
    <w:rsid w:val="00B04A6C"/>
    <w:rsid w:val="00B04B7D"/>
    <w:rsid w:val="00B056EA"/>
    <w:rsid w:val="00B1003C"/>
    <w:rsid w:val="00B12406"/>
    <w:rsid w:val="00B1274E"/>
    <w:rsid w:val="00B12782"/>
    <w:rsid w:val="00B12EE7"/>
    <w:rsid w:val="00B130F6"/>
    <w:rsid w:val="00B1377F"/>
    <w:rsid w:val="00B15642"/>
    <w:rsid w:val="00B16683"/>
    <w:rsid w:val="00B16955"/>
    <w:rsid w:val="00B16F92"/>
    <w:rsid w:val="00B21087"/>
    <w:rsid w:val="00B2578A"/>
    <w:rsid w:val="00B27679"/>
    <w:rsid w:val="00B3190E"/>
    <w:rsid w:val="00B32AC1"/>
    <w:rsid w:val="00B337DC"/>
    <w:rsid w:val="00B343D8"/>
    <w:rsid w:val="00B355B3"/>
    <w:rsid w:val="00B37C77"/>
    <w:rsid w:val="00B40195"/>
    <w:rsid w:val="00B404E0"/>
    <w:rsid w:val="00B4167A"/>
    <w:rsid w:val="00B41B19"/>
    <w:rsid w:val="00B41CA0"/>
    <w:rsid w:val="00B4287E"/>
    <w:rsid w:val="00B440A3"/>
    <w:rsid w:val="00B453CE"/>
    <w:rsid w:val="00B45682"/>
    <w:rsid w:val="00B45772"/>
    <w:rsid w:val="00B458EB"/>
    <w:rsid w:val="00B45D1A"/>
    <w:rsid w:val="00B46407"/>
    <w:rsid w:val="00B468CA"/>
    <w:rsid w:val="00B479D9"/>
    <w:rsid w:val="00B500D0"/>
    <w:rsid w:val="00B505A4"/>
    <w:rsid w:val="00B51C04"/>
    <w:rsid w:val="00B52221"/>
    <w:rsid w:val="00B53247"/>
    <w:rsid w:val="00B545AA"/>
    <w:rsid w:val="00B54CBC"/>
    <w:rsid w:val="00B55B52"/>
    <w:rsid w:val="00B55C12"/>
    <w:rsid w:val="00B55F65"/>
    <w:rsid w:val="00B56718"/>
    <w:rsid w:val="00B56C8B"/>
    <w:rsid w:val="00B571B4"/>
    <w:rsid w:val="00B6051D"/>
    <w:rsid w:val="00B609AB"/>
    <w:rsid w:val="00B620A1"/>
    <w:rsid w:val="00B6236D"/>
    <w:rsid w:val="00B624A8"/>
    <w:rsid w:val="00B67068"/>
    <w:rsid w:val="00B67C90"/>
    <w:rsid w:val="00B67FE0"/>
    <w:rsid w:val="00B70704"/>
    <w:rsid w:val="00B7377B"/>
    <w:rsid w:val="00B74652"/>
    <w:rsid w:val="00B74E84"/>
    <w:rsid w:val="00B75C8D"/>
    <w:rsid w:val="00B76375"/>
    <w:rsid w:val="00B76551"/>
    <w:rsid w:val="00B77BA4"/>
    <w:rsid w:val="00B81FC8"/>
    <w:rsid w:val="00B829A2"/>
    <w:rsid w:val="00B836FC"/>
    <w:rsid w:val="00B8755D"/>
    <w:rsid w:val="00B92367"/>
    <w:rsid w:val="00B92C81"/>
    <w:rsid w:val="00B936C3"/>
    <w:rsid w:val="00B943B5"/>
    <w:rsid w:val="00B950AE"/>
    <w:rsid w:val="00B9677D"/>
    <w:rsid w:val="00B97995"/>
    <w:rsid w:val="00BA25C9"/>
    <w:rsid w:val="00BA393C"/>
    <w:rsid w:val="00BA3B11"/>
    <w:rsid w:val="00BA3B59"/>
    <w:rsid w:val="00BA3E4B"/>
    <w:rsid w:val="00BA5113"/>
    <w:rsid w:val="00BA5C41"/>
    <w:rsid w:val="00BA6B09"/>
    <w:rsid w:val="00BA6E5E"/>
    <w:rsid w:val="00BA78DE"/>
    <w:rsid w:val="00BB1D2D"/>
    <w:rsid w:val="00BB2897"/>
    <w:rsid w:val="00BB31B6"/>
    <w:rsid w:val="00BB37A7"/>
    <w:rsid w:val="00BB39BB"/>
    <w:rsid w:val="00BB6278"/>
    <w:rsid w:val="00BB7E1C"/>
    <w:rsid w:val="00BC10DD"/>
    <w:rsid w:val="00BC2789"/>
    <w:rsid w:val="00BC29EC"/>
    <w:rsid w:val="00BC6180"/>
    <w:rsid w:val="00BD06BA"/>
    <w:rsid w:val="00BD07AB"/>
    <w:rsid w:val="00BD1610"/>
    <w:rsid w:val="00BD1622"/>
    <w:rsid w:val="00BD23A6"/>
    <w:rsid w:val="00BD2622"/>
    <w:rsid w:val="00BD2B92"/>
    <w:rsid w:val="00BD5E56"/>
    <w:rsid w:val="00BD6478"/>
    <w:rsid w:val="00BD6FBF"/>
    <w:rsid w:val="00BE0F4B"/>
    <w:rsid w:val="00BE1502"/>
    <w:rsid w:val="00BE1594"/>
    <w:rsid w:val="00BE22B6"/>
    <w:rsid w:val="00BE2C5E"/>
    <w:rsid w:val="00BE3375"/>
    <w:rsid w:val="00BE33D7"/>
    <w:rsid w:val="00BE4EB8"/>
    <w:rsid w:val="00BE5773"/>
    <w:rsid w:val="00BE690F"/>
    <w:rsid w:val="00BE6C2A"/>
    <w:rsid w:val="00BE724C"/>
    <w:rsid w:val="00BF0225"/>
    <w:rsid w:val="00BF07E1"/>
    <w:rsid w:val="00BF1EFC"/>
    <w:rsid w:val="00BF253C"/>
    <w:rsid w:val="00BF44D7"/>
    <w:rsid w:val="00BF4677"/>
    <w:rsid w:val="00BF4C1F"/>
    <w:rsid w:val="00BF73ED"/>
    <w:rsid w:val="00BF75FF"/>
    <w:rsid w:val="00C01C04"/>
    <w:rsid w:val="00C031E1"/>
    <w:rsid w:val="00C03268"/>
    <w:rsid w:val="00C039A1"/>
    <w:rsid w:val="00C043A2"/>
    <w:rsid w:val="00C0571E"/>
    <w:rsid w:val="00C05FDD"/>
    <w:rsid w:val="00C0667C"/>
    <w:rsid w:val="00C11B79"/>
    <w:rsid w:val="00C15FC6"/>
    <w:rsid w:val="00C1620C"/>
    <w:rsid w:val="00C205AE"/>
    <w:rsid w:val="00C20969"/>
    <w:rsid w:val="00C211EC"/>
    <w:rsid w:val="00C21C18"/>
    <w:rsid w:val="00C21E64"/>
    <w:rsid w:val="00C220C1"/>
    <w:rsid w:val="00C2335C"/>
    <w:rsid w:val="00C23BDA"/>
    <w:rsid w:val="00C259EC"/>
    <w:rsid w:val="00C25A70"/>
    <w:rsid w:val="00C25D8A"/>
    <w:rsid w:val="00C26C2B"/>
    <w:rsid w:val="00C2790A"/>
    <w:rsid w:val="00C302C4"/>
    <w:rsid w:val="00C30A67"/>
    <w:rsid w:val="00C3173E"/>
    <w:rsid w:val="00C332AD"/>
    <w:rsid w:val="00C33EC6"/>
    <w:rsid w:val="00C33ECE"/>
    <w:rsid w:val="00C3489C"/>
    <w:rsid w:val="00C35A74"/>
    <w:rsid w:val="00C35EB0"/>
    <w:rsid w:val="00C36429"/>
    <w:rsid w:val="00C3706F"/>
    <w:rsid w:val="00C370C6"/>
    <w:rsid w:val="00C40421"/>
    <w:rsid w:val="00C40DA3"/>
    <w:rsid w:val="00C434A8"/>
    <w:rsid w:val="00C45573"/>
    <w:rsid w:val="00C455C9"/>
    <w:rsid w:val="00C45D93"/>
    <w:rsid w:val="00C466DB"/>
    <w:rsid w:val="00C46951"/>
    <w:rsid w:val="00C46D6A"/>
    <w:rsid w:val="00C47AE8"/>
    <w:rsid w:val="00C50776"/>
    <w:rsid w:val="00C5085F"/>
    <w:rsid w:val="00C508CC"/>
    <w:rsid w:val="00C50B2F"/>
    <w:rsid w:val="00C50B39"/>
    <w:rsid w:val="00C50BFE"/>
    <w:rsid w:val="00C54B14"/>
    <w:rsid w:val="00C56003"/>
    <w:rsid w:val="00C56545"/>
    <w:rsid w:val="00C5708D"/>
    <w:rsid w:val="00C6121A"/>
    <w:rsid w:val="00C61BFE"/>
    <w:rsid w:val="00C639FF"/>
    <w:rsid w:val="00C67C23"/>
    <w:rsid w:val="00C72B83"/>
    <w:rsid w:val="00C73E69"/>
    <w:rsid w:val="00C74E3D"/>
    <w:rsid w:val="00C7508D"/>
    <w:rsid w:val="00C75239"/>
    <w:rsid w:val="00C75C98"/>
    <w:rsid w:val="00C77F5F"/>
    <w:rsid w:val="00C808D8"/>
    <w:rsid w:val="00C81CDF"/>
    <w:rsid w:val="00C82B68"/>
    <w:rsid w:val="00C82F5A"/>
    <w:rsid w:val="00C83FA1"/>
    <w:rsid w:val="00C851D8"/>
    <w:rsid w:val="00C85B19"/>
    <w:rsid w:val="00C865C8"/>
    <w:rsid w:val="00C867F7"/>
    <w:rsid w:val="00C90286"/>
    <w:rsid w:val="00C904AA"/>
    <w:rsid w:val="00C93DFC"/>
    <w:rsid w:val="00C9417A"/>
    <w:rsid w:val="00C9434F"/>
    <w:rsid w:val="00C948F1"/>
    <w:rsid w:val="00C954B1"/>
    <w:rsid w:val="00C9612E"/>
    <w:rsid w:val="00CA11B5"/>
    <w:rsid w:val="00CA2A93"/>
    <w:rsid w:val="00CA375B"/>
    <w:rsid w:val="00CA5966"/>
    <w:rsid w:val="00CA66E2"/>
    <w:rsid w:val="00CB1E36"/>
    <w:rsid w:val="00CB237F"/>
    <w:rsid w:val="00CB24AF"/>
    <w:rsid w:val="00CB2CC9"/>
    <w:rsid w:val="00CB770D"/>
    <w:rsid w:val="00CB78DA"/>
    <w:rsid w:val="00CC05CD"/>
    <w:rsid w:val="00CC43CD"/>
    <w:rsid w:val="00CD3232"/>
    <w:rsid w:val="00CD4175"/>
    <w:rsid w:val="00CD67BC"/>
    <w:rsid w:val="00CD78FD"/>
    <w:rsid w:val="00CD7A39"/>
    <w:rsid w:val="00CE1212"/>
    <w:rsid w:val="00CE2B2C"/>
    <w:rsid w:val="00CE3361"/>
    <w:rsid w:val="00CE41AC"/>
    <w:rsid w:val="00CE53C6"/>
    <w:rsid w:val="00CE5586"/>
    <w:rsid w:val="00CE5E9D"/>
    <w:rsid w:val="00CE6618"/>
    <w:rsid w:val="00CE6E5B"/>
    <w:rsid w:val="00CE7075"/>
    <w:rsid w:val="00CE7259"/>
    <w:rsid w:val="00CE7A56"/>
    <w:rsid w:val="00CE7AC5"/>
    <w:rsid w:val="00CF07B6"/>
    <w:rsid w:val="00CF20BE"/>
    <w:rsid w:val="00CF21B3"/>
    <w:rsid w:val="00CF23EC"/>
    <w:rsid w:val="00CF50D0"/>
    <w:rsid w:val="00CF5266"/>
    <w:rsid w:val="00CF67ED"/>
    <w:rsid w:val="00CF73DC"/>
    <w:rsid w:val="00D005A7"/>
    <w:rsid w:val="00D01011"/>
    <w:rsid w:val="00D01E36"/>
    <w:rsid w:val="00D0280D"/>
    <w:rsid w:val="00D03D97"/>
    <w:rsid w:val="00D03FB8"/>
    <w:rsid w:val="00D050E2"/>
    <w:rsid w:val="00D058F5"/>
    <w:rsid w:val="00D059E1"/>
    <w:rsid w:val="00D0606B"/>
    <w:rsid w:val="00D064D9"/>
    <w:rsid w:val="00D06EB2"/>
    <w:rsid w:val="00D073DB"/>
    <w:rsid w:val="00D12036"/>
    <w:rsid w:val="00D12142"/>
    <w:rsid w:val="00D13085"/>
    <w:rsid w:val="00D14604"/>
    <w:rsid w:val="00D1497A"/>
    <w:rsid w:val="00D1587B"/>
    <w:rsid w:val="00D158AC"/>
    <w:rsid w:val="00D17F8A"/>
    <w:rsid w:val="00D2050C"/>
    <w:rsid w:val="00D20BFC"/>
    <w:rsid w:val="00D2338C"/>
    <w:rsid w:val="00D235BC"/>
    <w:rsid w:val="00D23D8C"/>
    <w:rsid w:val="00D248AA"/>
    <w:rsid w:val="00D25675"/>
    <w:rsid w:val="00D2708F"/>
    <w:rsid w:val="00D271A7"/>
    <w:rsid w:val="00D30579"/>
    <w:rsid w:val="00D31351"/>
    <w:rsid w:val="00D336C6"/>
    <w:rsid w:val="00D364D6"/>
    <w:rsid w:val="00D36B4E"/>
    <w:rsid w:val="00D4035A"/>
    <w:rsid w:val="00D40FE6"/>
    <w:rsid w:val="00D438CC"/>
    <w:rsid w:val="00D4417C"/>
    <w:rsid w:val="00D45280"/>
    <w:rsid w:val="00D457F0"/>
    <w:rsid w:val="00D45AB5"/>
    <w:rsid w:val="00D5081E"/>
    <w:rsid w:val="00D50A69"/>
    <w:rsid w:val="00D51705"/>
    <w:rsid w:val="00D517E3"/>
    <w:rsid w:val="00D51861"/>
    <w:rsid w:val="00D533A6"/>
    <w:rsid w:val="00D567E8"/>
    <w:rsid w:val="00D56C02"/>
    <w:rsid w:val="00D57D95"/>
    <w:rsid w:val="00D6066E"/>
    <w:rsid w:val="00D60C62"/>
    <w:rsid w:val="00D62CAE"/>
    <w:rsid w:val="00D62F68"/>
    <w:rsid w:val="00D64C29"/>
    <w:rsid w:val="00D65722"/>
    <w:rsid w:val="00D65EA7"/>
    <w:rsid w:val="00D6652B"/>
    <w:rsid w:val="00D6701A"/>
    <w:rsid w:val="00D67407"/>
    <w:rsid w:val="00D67472"/>
    <w:rsid w:val="00D7795B"/>
    <w:rsid w:val="00D77B56"/>
    <w:rsid w:val="00D806FA"/>
    <w:rsid w:val="00D80A0C"/>
    <w:rsid w:val="00D81CEB"/>
    <w:rsid w:val="00D82048"/>
    <w:rsid w:val="00D833E5"/>
    <w:rsid w:val="00D8430C"/>
    <w:rsid w:val="00D85311"/>
    <w:rsid w:val="00D85E48"/>
    <w:rsid w:val="00D8659A"/>
    <w:rsid w:val="00D87148"/>
    <w:rsid w:val="00D87BAF"/>
    <w:rsid w:val="00D90BDE"/>
    <w:rsid w:val="00D93439"/>
    <w:rsid w:val="00D946B0"/>
    <w:rsid w:val="00D94CA7"/>
    <w:rsid w:val="00D950EB"/>
    <w:rsid w:val="00D95C36"/>
    <w:rsid w:val="00D97320"/>
    <w:rsid w:val="00DA15CF"/>
    <w:rsid w:val="00DA1E92"/>
    <w:rsid w:val="00DA3824"/>
    <w:rsid w:val="00DA3CD8"/>
    <w:rsid w:val="00DA53E4"/>
    <w:rsid w:val="00DA5CFD"/>
    <w:rsid w:val="00DA6146"/>
    <w:rsid w:val="00DA62DE"/>
    <w:rsid w:val="00DA79B1"/>
    <w:rsid w:val="00DB0284"/>
    <w:rsid w:val="00DB174F"/>
    <w:rsid w:val="00DB1819"/>
    <w:rsid w:val="00DB1CFE"/>
    <w:rsid w:val="00DB3EF0"/>
    <w:rsid w:val="00DB4A19"/>
    <w:rsid w:val="00DB5029"/>
    <w:rsid w:val="00DB71D0"/>
    <w:rsid w:val="00DB7928"/>
    <w:rsid w:val="00DB7ABF"/>
    <w:rsid w:val="00DC02C2"/>
    <w:rsid w:val="00DC4652"/>
    <w:rsid w:val="00DC6187"/>
    <w:rsid w:val="00DC64BC"/>
    <w:rsid w:val="00DC7AA0"/>
    <w:rsid w:val="00DD0A16"/>
    <w:rsid w:val="00DD1B2C"/>
    <w:rsid w:val="00DD5CD3"/>
    <w:rsid w:val="00DD680D"/>
    <w:rsid w:val="00DE12A0"/>
    <w:rsid w:val="00DE1AE7"/>
    <w:rsid w:val="00DE28ED"/>
    <w:rsid w:val="00DE366D"/>
    <w:rsid w:val="00DE4D9B"/>
    <w:rsid w:val="00DE54B9"/>
    <w:rsid w:val="00DE7DEE"/>
    <w:rsid w:val="00DF1DEC"/>
    <w:rsid w:val="00DF2C7D"/>
    <w:rsid w:val="00DF379A"/>
    <w:rsid w:val="00DF4C78"/>
    <w:rsid w:val="00DF5BAA"/>
    <w:rsid w:val="00DF6BB5"/>
    <w:rsid w:val="00DF7058"/>
    <w:rsid w:val="00DF7C1B"/>
    <w:rsid w:val="00E0075E"/>
    <w:rsid w:val="00E00F65"/>
    <w:rsid w:val="00E01D9F"/>
    <w:rsid w:val="00E05940"/>
    <w:rsid w:val="00E07F91"/>
    <w:rsid w:val="00E15669"/>
    <w:rsid w:val="00E1641F"/>
    <w:rsid w:val="00E17E03"/>
    <w:rsid w:val="00E201E7"/>
    <w:rsid w:val="00E207A4"/>
    <w:rsid w:val="00E21440"/>
    <w:rsid w:val="00E22C1C"/>
    <w:rsid w:val="00E23DE3"/>
    <w:rsid w:val="00E25957"/>
    <w:rsid w:val="00E26205"/>
    <w:rsid w:val="00E265E4"/>
    <w:rsid w:val="00E267ED"/>
    <w:rsid w:val="00E26F86"/>
    <w:rsid w:val="00E30E77"/>
    <w:rsid w:val="00E3260E"/>
    <w:rsid w:val="00E33409"/>
    <w:rsid w:val="00E363FE"/>
    <w:rsid w:val="00E36435"/>
    <w:rsid w:val="00E37D06"/>
    <w:rsid w:val="00E40B4C"/>
    <w:rsid w:val="00E40E63"/>
    <w:rsid w:val="00E41A63"/>
    <w:rsid w:val="00E41B9D"/>
    <w:rsid w:val="00E429E4"/>
    <w:rsid w:val="00E42A91"/>
    <w:rsid w:val="00E43215"/>
    <w:rsid w:val="00E43F75"/>
    <w:rsid w:val="00E47415"/>
    <w:rsid w:val="00E501DC"/>
    <w:rsid w:val="00E50460"/>
    <w:rsid w:val="00E50D09"/>
    <w:rsid w:val="00E51205"/>
    <w:rsid w:val="00E514E5"/>
    <w:rsid w:val="00E551A9"/>
    <w:rsid w:val="00E56642"/>
    <w:rsid w:val="00E60ABA"/>
    <w:rsid w:val="00E62B39"/>
    <w:rsid w:val="00E65628"/>
    <w:rsid w:val="00E66BD3"/>
    <w:rsid w:val="00E66CD5"/>
    <w:rsid w:val="00E67829"/>
    <w:rsid w:val="00E708A0"/>
    <w:rsid w:val="00E70910"/>
    <w:rsid w:val="00E71CBF"/>
    <w:rsid w:val="00E72AD8"/>
    <w:rsid w:val="00E7321F"/>
    <w:rsid w:val="00E7540D"/>
    <w:rsid w:val="00E77F9D"/>
    <w:rsid w:val="00E80427"/>
    <w:rsid w:val="00E805DA"/>
    <w:rsid w:val="00E81316"/>
    <w:rsid w:val="00E81747"/>
    <w:rsid w:val="00E84F9D"/>
    <w:rsid w:val="00E905B5"/>
    <w:rsid w:val="00E91929"/>
    <w:rsid w:val="00E93634"/>
    <w:rsid w:val="00E93A9B"/>
    <w:rsid w:val="00EA0054"/>
    <w:rsid w:val="00EA0444"/>
    <w:rsid w:val="00EA1EFF"/>
    <w:rsid w:val="00EA1FAC"/>
    <w:rsid w:val="00EA4613"/>
    <w:rsid w:val="00EA4F8F"/>
    <w:rsid w:val="00EA72DC"/>
    <w:rsid w:val="00EA7350"/>
    <w:rsid w:val="00EB0945"/>
    <w:rsid w:val="00EB09B9"/>
    <w:rsid w:val="00EB141B"/>
    <w:rsid w:val="00EB26E6"/>
    <w:rsid w:val="00EB29F2"/>
    <w:rsid w:val="00EB2F2F"/>
    <w:rsid w:val="00EB38A7"/>
    <w:rsid w:val="00EB43FC"/>
    <w:rsid w:val="00EB4932"/>
    <w:rsid w:val="00EB6E27"/>
    <w:rsid w:val="00EB7347"/>
    <w:rsid w:val="00EC6A34"/>
    <w:rsid w:val="00ED0F66"/>
    <w:rsid w:val="00ED170A"/>
    <w:rsid w:val="00ED18AA"/>
    <w:rsid w:val="00ED38A3"/>
    <w:rsid w:val="00ED392C"/>
    <w:rsid w:val="00ED3B6A"/>
    <w:rsid w:val="00ED5D56"/>
    <w:rsid w:val="00ED63E4"/>
    <w:rsid w:val="00ED6457"/>
    <w:rsid w:val="00ED7BBC"/>
    <w:rsid w:val="00EE081C"/>
    <w:rsid w:val="00EE1C71"/>
    <w:rsid w:val="00EE1D85"/>
    <w:rsid w:val="00EE2689"/>
    <w:rsid w:val="00EE2DE2"/>
    <w:rsid w:val="00EE3339"/>
    <w:rsid w:val="00EE44CC"/>
    <w:rsid w:val="00EE4BAA"/>
    <w:rsid w:val="00EE5493"/>
    <w:rsid w:val="00EE5CBF"/>
    <w:rsid w:val="00EE60F1"/>
    <w:rsid w:val="00EE70C8"/>
    <w:rsid w:val="00EE7F29"/>
    <w:rsid w:val="00EF0105"/>
    <w:rsid w:val="00EF37CD"/>
    <w:rsid w:val="00EF3F16"/>
    <w:rsid w:val="00EF44F5"/>
    <w:rsid w:val="00EF5307"/>
    <w:rsid w:val="00F014EB"/>
    <w:rsid w:val="00F02741"/>
    <w:rsid w:val="00F036E2"/>
    <w:rsid w:val="00F04DD2"/>
    <w:rsid w:val="00F05D48"/>
    <w:rsid w:val="00F0630B"/>
    <w:rsid w:val="00F07777"/>
    <w:rsid w:val="00F07A74"/>
    <w:rsid w:val="00F1003F"/>
    <w:rsid w:val="00F126DA"/>
    <w:rsid w:val="00F13D8C"/>
    <w:rsid w:val="00F1475A"/>
    <w:rsid w:val="00F1667C"/>
    <w:rsid w:val="00F16A25"/>
    <w:rsid w:val="00F16BFB"/>
    <w:rsid w:val="00F16CBC"/>
    <w:rsid w:val="00F17C2F"/>
    <w:rsid w:val="00F205FC"/>
    <w:rsid w:val="00F24AAF"/>
    <w:rsid w:val="00F253AF"/>
    <w:rsid w:val="00F25643"/>
    <w:rsid w:val="00F26124"/>
    <w:rsid w:val="00F26C24"/>
    <w:rsid w:val="00F26D72"/>
    <w:rsid w:val="00F27E38"/>
    <w:rsid w:val="00F32486"/>
    <w:rsid w:val="00F32B4C"/>
    <w:rsid w:val="00F34458"/>
    <w:rsid w:val="00F34783"/>
    <w:rsid w:val="00F36277"/>
    <w:rsid w:val="00F36489"/>
    <w:rsid w:val="00F36C59"/>
    <w:rsid w:val="00F40178"/>
    <w:rsid w:val="00F41AB5"/>
    <w:rsid w:val="00F41E58"/>
    <w:rsid w:val="00F42131"/>
    <w:rsid w:val="00F42D11"/>
    <w:rsid w:val="00F43BEC"/>
    <w:rsid w:val="00F443BC"/>
    <w:rsid w:val="00F447CA"/>
    <w:rsid w:val="00F455EE"/>
    <w:rsid w:val="00F462B7"/>
    <w:rsid w:val="00F462EF"/>
    <w:rsid w:val="00F46C70"/>
    <w:rsid w:val="00F5275D"/>
    <w:rsid w:val="00F52D9B"/>
    <w:rsid w:val="00F54F82"/>
    <w:rsid w:val="00F5531D"/>
    <w:rsid w:val="00F56BC9"/>
    <w:rsid w:val="00F60B64"/>
    <w:rsid w:val="00F63A6E"/>
    <w:rsid w:val="00F64631"/>
    <w:rsid w:val="00F64E5A"/>
    <w:rsid w:val="00F658E8"/>
    <w:rsid w:val="00F666A2"/>
    <w:rsid w:val="00F66926"/>
    <w:rsid w:val="00F671F5"/>
    <w:rsid w:val="00F6739F"/>
    <w:rsid w:val="00F717CE"/>
    <w:rsid w:val="00F71DD8"/>
    <w:rsid w:val="00F736E9"/>
    <w:rsid w:val="00F753F0"/>
    <w:rsid w:val="00F76144"/>
    <w:rsid w:val="00F76EFB"/>
    <w:rsid w:val="00F771B0"/>
    <w:rsid w:val="00F8105A"/>
    <w:rsid w:val="00F816C2"/>
    <w:rsid w:val="00F83EA5"/>
    <w:rsid w:val="00F840FA"/>
    <w:rsid w:val="00F85A30"/>
    <w:rsid w:val="00F87587"/>
    <w:rsid w:val="00F87860"/>
    <w:rsid w:val="00F87B55"/>
    <w:rsid w:val="00F90504"/>
    <w:rsid w:val="00F927F7"/>
    <w:rsid w:val="00F957A7"/>
    <w:rsid w:val="00F9619C"/>
    <w:rsid w:val="00F974AE"/>
    <w:rsid w:val="00FA0C17"/>
    <w:rsid w:val="00FA11A0"/>
    <w:rsid w:val="00FA1A28"/>
    <w:rsid w:val="00FA60C4"/>
    <w:rsid w:val="00FA7C64"/>
    <w:rsid w:val="00FA7F34"/>
    <w:rsid w:val="00FB04D9"/>
    <w:rsid w:val="00FB12D6"/>
    <w:rsid w:val="00FB1E18"/>
    <w:rsid w:val="00FB28EE"/>
    <w:rsid w:val="00FB3AE2"/>
    <w:rsid w:val="00FB51EA"/>
    <w:rsid w:val="00FB6067"/>
    <w:rsid w:val="00FB7A6A"/>
    <w:rsid w:val="00FC015F"/>
    <w:rsid w:val="00FC2BAA"/>
    <w:rsid w:val="00FC5814"/>
    <w:rsid w:val="00FC6500"/>
    <w:rsid w:val="00FC70EB"/>
    <w:rsid w:val="00FC724F"/>
    <w:rsid w:val="00FC7B90"/>
    <w:rsid w:val="00FD24C0"/>
    <w:rsid w:val="00FD2AE0"/>
    <w:rsid w:val="00FD3CB7"/>
    <w:rsid w:val="00FD4993"/>
    <w:rsid w:val="00FD4CDE"/>
    <w:rsid w:val="00FD5C44"/>
    <w:rsid w:val="00FD6211"/>
    <w:rsid w:val="00FD62A3"/>
    <w:rsid w:val="00FE10E6"/>
    <w:rsid w:val="00FE14E2"/>
    <w:rsid w:val="00FE2486"/>
    <w:rsid w:val="00FE24A2"/>
    <w:rsid w:val="00FE28ED"/>
    <w:rsid w:val="00FE29EB"/>
    <w:rsid w:val="00FE2ADF"/>
    <w:rsid w:val="00FE4589"/>
    <w:rsid w:val="00FE550F"/>
    <w:rsid w:val="00FE5F56"/>
    <w:rsid w:val="00FE65CE"/>
    <w:rsid w:val="00FE75C5"/>
    <w:rsid w:val="00FF18AD"/>
    <w:rsid w:val="00FF26FE"/>
    <w:rsid w:val="00FF3358"/>
    <w:rsid w:val="00FF3FAB"/>
    <w:rsid w:val="00FF569F"/>
    <w:rsid w:val="00FF6B62"/>
    <w:rsid w:val="00FF6D1D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4AC070"/>
  <w14:defaultImageDpi w14:val="96"/>
  <w15:docId w15:val="{42DD87E1-6750-4811-9D7A-FC206090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170BE"/>
    <w:pPr>
      <w:keepNext/>
      <w:numPr>
        <w:numId w:val="6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uiPriority w:val="99"/>
    <w:qFormat/>
    <w:rsid w:val="00BE2C5E"/>
    <w:pPr>
      <w:numPr>
        <w:ilvl w:val="1"/>
      </w:numPr>
      <w:outlineLvl w:val="1"/>
    </w:pPr>
    <w:rPr>
      <w:sz w:val="24"/>
    </w:rPr>
  </w:style>
  <w:style w:type="paragraph" w:styleId="Nadpis4">
    <w:name w:val="heading 4"/>
    <w:basedOn w:val="Nadpis2"/>
    <w:next w:val="Normln"/>
    <w:link w:val="Nadpis4Char"/>
    <w:uiPriority w:val="99"/>
    <w:qFormat/>
    <w:rsid w:val="00BE2C5E"/>
    <w:pPr>
      <w:numPr>
        <w:ilvl w:val="2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170BE"/>
    <w:rPr>
      <w:b/>
      <w:bC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E2C5E"/>
    <w:rPr>
      <w:b/>
      <w:bCs/>
      <w:kern w:val="32"/>
      <w:sz w:val="24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BE2C5E"/>
    <w:rPr>
      <w:b/>
      <w:bCs/>
      <w:kern w:val="32"/>
      <w:sz w:val="24"/>
      <w:szCs w:val="32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B18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Pr>
      <w:rFonts w:cs="Times New Roman"/>
      <w:color w:val="123C9E"/>
      <w:u w:val="none"/>
    </w:rPr>
  </w:style>
  <w:style w:type="paragraph" w:styleId="Zkladntext">
    <w:name w:val="Body Text"/>
    <w:basedOn w:val="Normln"/>
    <w:link w:val="ZkladntextChar"/>
    <w:pPr>
      <w:jc w:val="center"/>
    </w:pPr>
    <w:rPr>
      <w:b/>
      <w:bCs/>
      <w:i/>
      <w:iCs/>
      <w:sz w:val="36"/>
      <w:szCs w:val="36"/>
      <w:u w:val="single"/>
    </w:rPr>
  </w:style>
  <w:style w:type="character" w:customStyle="1" w:styleId="ZkladntextChar">
    <w:name w:val="Základní text Char"/>
    <w:basedOn w:val="Standardnpsmoodstavce"/>
    <w:link w:val="Zkladntext"/>
    <w:locked/>
    <w:rPr>
      <w:rFonts w:cs="Times New Roman"/>
      <w:sz w:val="24"/>
      <w:szCs w:val="24"/>
    </w:rPr>
  </w:style>
  <w:style w:type="character" w:customStyle="1" w:styleId="platne1">
    <w:name w:val="platne1"/>
    <w:basedOn w:val="Standardnpsmoodstavce"/>
    <w:rPr>
      <w:rFonts w:cs="Times New Roman"/>
    </w:rPr>
  </w:style>
  <w:style w:type="paragraph" w:customStyle="1" w:styleId="titre4">
    <w:name w:val="titre4"/>
    <w:basedOn w:val="Normln"/>
    <w:uiPriority w:val="99"/>
    <w:pPr>
      <w:numPr>
        <w:numId w:val="1"/>
      </w:numPr>
      <w:tabs>
        <w:tab w:val="decimal" w:pos="357"/>
      </w:tabs>
      <w:ind w:left="357" w:hanging="357"/>
      <w:jc w:val="left"/>
    </w:pPr>
    <w:rPr>
      <w:rFonts w:ascii="Arial" w:hAnsi="Arial" w:cs="Arial"/>
      <w:b/>
      <w:bCs/>
      <w:lang w:val="en-GB" w:eastAsia="en-US"/>
    </w:rPr>
  </w:style>
  <w:style w:type="paragraph" w:customStyle="1" w:styleId="Textodstavce">
    <w:name w:val="Text odstavce"/>
    <w:basedOn w:val="Normln"/>
    <w:uiPriority w:val="99"/>
    <w:pPr>
      <w:tabs>
        <w:tab w:val="num" w:pos="360"/>
        <w:tab w:val="left" w:pos="851"/>
      </w:tabs>
      <w:spacing w:before="120" w:after="120"/>
      <w:outlineLvl w:val="6"/>
    </w:pPr>
  </w:style>
  <w:style w:type="paragraph" w:customStyle="1" w:styleId="Textpsmene">
    <w:name w:val="Text písmene"/>
    <w:basedOn w:val="Normln"/>
    <w:uiPriority w:val="99"/>
    <w:pPr>
      <w:tabs>
        <w:tab w:val="num" w:pos="360"/>
      </w:tabs>
      <w:outlineLvl w:val="7"/>
    </w:pPr>
  </w:style>
  <w:style w:type="character" w:styleId="Sledovanodkaz">
    <w:name w:val="FollowedHyperlink"/>
    <w:basedOn w:val="Standardnpsmoodstavce"/>
    <w:uiPriority w:val="99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A205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Pr>
      <w:rFonts w:cs="Times New Roman"/>
      <w:sz w:val="16"/>
      <w:szCs w:val="16"/>
    </w:rPr>
  </w:style>
  <w:style w:type="paragraph" w:customStyle="1" w:styleId="Tabulka">
    <w:name w:val="Tabulka"/>
    <w:basedOn w:val="Normln"/>
    <w:uiPriority w:val="99"/>
    <w:pPr>
      <w:spacing w:before="60" w:after="60"/>
      <w:jc w:val="center"/>
    </w:pPr>
    <w:rPr>
      <w:rFonts w:ascii="Verdana" w:eastAsia="MS Mincho" w:hAnsi="Verdana" w:cs="Verdana"/>
      <w:sz w:val="16"/>
      <w:szCs w:val="16"/>
    </w:rPr>
  </w:style>
  <w:style w:type="paragraph" w:customStyle="1" w:styleId="BodyText21">
    <w:name w:val="Body Text 21"/>
    <w:basedOn w:val="Normln"/>
    <w:uiPriority w:val="99"/>
    <w:pPr>
      <w:widowControl w:val="0"/>
      <w:snapToGrid w:val="0"/>
    </w:pPr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Odstavec1">
    <w:name w:val="Odstavec1"/>
    <w:basedOn w:val="Normln"/>
    <w:uiPriority w:val="99"/>
    <w:rsid w:val="008E2FE7"/>
    <w:pPr>
      <w:spacing w:before="80"/>
    </w:pPr>
  </w:style>
  <w:style w:type="paragraph" w:styleId="Zkladntextodsazen3">
    <w:name w:val="Body Text Indent 3"/>
    <w:basedOn w:val="Normln"/>
    <w:link w:val="Zkladntextodsazen3Char"/>
    <w:uiPriority w:val="99"/>
    <w:rsid w:val="008E2FE7"/>
    <w:pPr>
      <w:spacing w:after="120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cs="Times New Roman"/>
      <w:sz w:val="16"/>
      <w:szCs w:val="16"/>
    </w:rPr>
  </w:style>
  <w:style w:type="table" w:styleId="Mkatabulky">
    <w:name w:val="Table Grid"/>
    <w:basedOn w:val="Normlntabulka"/>
    <w:uiPriority w:val="59"/>
    <w:rsid w:val="00AA30A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-mailovZprvy50">
    <w:name w:val="StylE-mailovéZprávy50"/>
    <w:basedOn w:val="Standardnpsmoodstavce"/>
    <w:uiPriority w:val="99"/>
    <w:semiHidden/>
    <w:rsid w:val="00037422"/>
    <w:rPr>
      <w:rFonts w:ascii="Palatino Linotype" w:hAnsi="Palatino Linotype" w:cs="Palatino Linotype"/>
      <w:color w:val="auto"/>
      <w:sz w:val="20"/>
      <w:szCs w:val="20"/>
      <w:u w:val="none"/>
    </w:rPr>
  </w:style>
  <w:style w:type="paragraph" w:customStyle="1" w:styleId="Tabellentext">
    <w:name w:val="Tabellentext"/>
    <w:basedOn w:val="Normln"/>
    <w:rsid w:val="00D13085"/>
    <w:pPr>
      <w:keepLines/>
      <w:spacing w:before="40" w:after="40"/>
      <w:jc w:val="left"/>
    </w:pPr>
    <w:rPr>
      <w:rFonts w:ascii="CorpoS" w:hAnsi="CorpoS" w:cs="CorpoS"/>
      <w:sz w:val="22"/>
      <w:szCs w:val="22"/>
      <w:lang w:val="de-DE"/>
    </w:rPr>
  </w:style>
  <w:style w:type="paragraph" w:customStyle="1" w:styleId="Zkladntext31">
    <w:name w:val="Základní text 31"/>
    <w:basedOn w:val="Normln"/>
    <w:uiPriority w:val="99"/>
    <w:rsid w:val="00DF5BAA"/>
    <w:pPr>
      <w:suppressAutoHyphens/>
      <w:jc w:val="left"/>
    </w:pPr>
    <w:rPr>
      <w:rFonts w:ascii="Arial" w:hAnsi="Arial" w:cs="Arial"/>
      <w:sz w:val="28"/>
      <w:szCs w:val="28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55472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cs="Times New Roman"/>
      <w:sz w:val="24"/>
      <w:szCs w:val="24"/>
    </w:rPr>
  </w:style>
  <w:style w:type="paragraph" w:customStyle="1" w:styleId="Odrtext">
    <w:name w:val="Odr. text"/>
    <w:basedOn w:val="Normln"/>
    <w:uiPriority w:val="99"/>
    <w:rsid w:val="0055472F"/>
    <w:pPr>
      <w:spacing w:after="120"/>
      <w:ind w:left="1701" w:hanging="567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55472F"/>
    <w:pPr>
      <w:ind w:left="708"/>
      <w:jc w:val="left"/>
    </w:pPr>
  </w:style>
  <w:style w:type="paragraph" w:styleId="Nzev">
    <w:name w:val="Title"/>
    <w:basedOn w:val="Normln"/>
    <w:link w:val="NzevChar"/>
    <w:qFormat/>
    <w:rsid w:val="007F1AF6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pfi-odstavec">
    <w:name w:val="pfi-odstavec"/>
    <w:basedOn w:val="Normln"/>
    <w:uiPriority w:val="99"/>
    <w:rsid w:val="006D2CA5"/>
    <w:pPr>
      <w:numPr>
        <w:ilvl w:val="4"/>
        <w:numId w:val="13"/>
      </w:numPr>
      <w:spacing w:after="120"/>
      <w:ind w:left="1247" w:hanging="567"/>
    </w:pPr>
    <w:rPr>
      <w:rFonts w:ascii="Palatino Linotype" w:hAnsi="Palatino Linotype"/>
      <w:sz w:val="22"/>
      <w:szCs w:val="22"/>
    </w:rPr>
  </w:style>
  <w:style w:type="paragraph" w:customStyle="1" w:styleId="pfi-pismeno">
    <w:name w:val="pfi-pismeno"/>
    <w:basedOn w:val="Normln"/>
    <w:uiPriority w:val="99"/>
    <w:rsid w:val="006D2CA5"/>
    <w:pPr>
      <w:numPr>
        <w:ilvl w:val="5"/>
        <w:numId w:val="13"/>
      </w:numPr>
      <w:spacing w:after="120"/>
    </w:pPr>
    <w:rPr>
      <w:rFonts w:ascii="Palatino Linotype" w:hAnsi="Palatino Linotype"/>
      <w:sz w:val="22"/>
      <w:szCs w:val="22"/>
    </w:rPr>
  </w:style>
  <w:style w:type="paragraph" w:styleId="Podnadpis">
    <w:name w:val="Subtitle"/>
    <w:basedOn w:val="Normln"/>
    <w:link w:val="PodnadpisChar"/>
    <w:uiPriority w:val="11"/>
    <w:qFormat/>
    <w:locked/>
    <w:rsid w:val="00DB71D0"/>
    <w:pPr>
      <w:jc w:val="center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DB71D0"/>
    <w:rPr>
      <w:rFonts w:cs="Times New Roman"/>
      <w:b/>
      <w:sz w:val="20"/>
      <w:szCs w:val="20"/>
    </w:rPr>
  </w:style>
  <w:style w:type="paragraph" w:styleId="Textpoznpodarou">
    <w:name w:val="footnote text"/>
    <w:basedOn w:val="Normln"/>
    <w:link w:val="TextpoznpodarouChar"/>
    <w:rsid w:val="007C1B64"/>
    <w:pPr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7C1B64"/>
    <w:rPr>
      <w:rFonts w:cs="Times New Roman"/>
      <w:sz w:val="20"/>
      <w:szCs w:val="20"/>
    </w:rPr>
  </w:style>
  <w:style w:type="paragraph" w:customStyle="1" w:styleId="BodyText31">
    <w:name w:val="Body Text 31"/>
    <w:basedOn w:val="Normln"/>
    <w:rsid w:val="00DB4A19"/>
    <w:pPr>
      <w:widowControl w:val="0"/>
    </w:pPr>
    <w:rPr>
      <w:rFonts w:ascii="Arial" w:hAnsi="Arial"/>
      <w:szCs w:val="20"/>
    </w:rPr>
  </w:style>
  <w:style w:type="character" w:styleId="Siln">
    <w:name w:val="Strong"/>
    <w:basedOn w:val="Standardnpsmoodstavce"/>
    <w:uiPriority w:val="22"/>
    <w:qFormat/>
    <w:locked/>
    <w:rsid w:val="005D5897"/>
    <w:rPr>
      <w:rFonts w:cs="Times New Roman"/>
      <w:b/>
    </w:rPr>
  </w:style>
  <w:style w:type="character" w:customStyle="1" w:styleId="OdstavecseseznamemChar">
    <w:name w:val="Odstavec se seznamem Char"/>
    <w:link w:val="Odstavecseseznamem"/>
    <w:uiPriority w:val="34"/>
    <w:locked/>
    <w:rsid w:val="00FA60C4"/>
    <w:rPr>
      <w:sz w:val="24"/>
    </w:rPr>
  </w:style>
  <w:style w:type="paragraph" w:customStyle="1" w:styleId="Default">
    <w:name w:val="Default"/>
    <w:rsid w:val="00BB1D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harStyle16">
    <w:name w:val="Char Style 16"/>
    <w:link w:val="Style15"/>
    <w:rsid w:val="0043366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15">
    <w:name w:val="Style 15"/>
    <w:basedOn w:val="Normln"/>
    <w:link w:val="CharStyle16"/>
    <w:rsid w:val="0043366A"/>
    <w:pPr>
      <w:widowControl w:val="0"/>
      <w:shd w:val="clear" w:color="auto" w:fill="FFFFFF"/>
      <w:spacing w:line="0" w:lineRule="atLeast"/>
      <w:jc w:val="left"/>
    </w:pPr>
    <w:rPr>
      <w:rFonts w:ascii="Arial" w:eastAsia="Arial" w:hAnsi="Arial" w:cs="Arial"/>
      <w:sz w:val="19"/>
      <w:szCs w:val="19"/>
    </w:rPr>
  </w:style>
  <w:style w:type="character" w:customStyle="1" w:styleId="CharStyle31">
    <w:name w:val="Char Style 31"/>
    <w:rsid w:val="0095563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cs"/>
    </w:rPr>
  </w:style>
  <w:style w:type="paragraph" w:styleId="Seznamsodrkami">
    <w:name w:val="List Bullet"/>
    <w:basedOn w:val="Normln"/>
    <w:uiPriority w:val="99"/>
    <w:unhideWhenUsed/>
    <w:rsid w:val="006105EE"/>
    <w:pPr>
      <w:numPr>
        <w:numId w:val="3"/>
      </w:numPr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484C2C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Obsah1">
    <w:name w:val="toc 1"/>
    <w:basedOn w:val="Normln"/>
    <w:next w:val="Normln"/>
    <w:autoRedefine/>
    <w:uiPriority w:val="39"/>
    <w:locked/>
    <w:rsid w:val="00484C2C"/>
    <w:pPr>
      <w:spacing w:after="100"/>
    </w:pPr>
  </w:style>
  <w:style w:type="paragraph" w:styleId="Obsah2">
    <w:name w:val="toc 2"/>
    <w:basedOn w:val="Normln"/>
    <w:next w:val="Normln"/>
    <w:autoRedefine/>
    <w:uiPriority w:val="39"/>
    <w:locked/>
    <w:rsid w:val="00484C2C"/>
    <w:pPr>
      <w:spacing w:after="100"/>
      <w:ind w:left="240"/>
    </w:pPr>
  </w:style>
  <w:style w:type="paragraph" w:customStyle="1" w:styleId="NADPISCENNETUC">
    <w:name w:val="NADPIS CENNETUC"/>
    <w:basedOn w:val="Normln"/>
    <w:uiPriority w:val="99"/>
    <w:rsid w:val="0060763F"/>
    <w:pPr>
      <w:keepNext/>
      <w:keepLines/>
      <w:widowControl w:val="0"/>
      <w:autoSpaceDE w:val="0"/>
      <w:autoSpaceDN w:val="0"/>
      <w:adjustRightInd w:val="0"/>
      <w:spacing w:before="120" w:after="60"/>
      <w:jc w:val="center"/>
    </w:pPr>
  </w:style>
  <w:style w:type="paragraph" w:styleId="Bezmezer">
    <w:name w:val="No Spacing"/>
    <w:link w:val="BezmezerChar"/>
    <w:uiPriority w:val="1"/>
    <w:qFormat/>
    <w:rsid w:val="003E5C5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BezmezerChar">
    <w:name w:val="Bez mezer Char"/>
    <w:link w:val="Bezmezer"/>
    <w:uiPriority w:val="1"/>
    <w:rsid w:val="003E5C5D"/>
    <w:rPr>
      <w:rFonts w:asciiTheme="minorHAnsi" w:eastAsiaTheme="minorHAnsi" w:hAnsiTheme="minorHAnsi" w:cstheme="minorBidi"/>
      <w:lang w:eastAsia="en-US"/>
    </w:rPr>
  </w:style>
  <w:style w:type="character" w:customStyle="1" w:styleId="nowrap">
    <w:name w:val="nowrap"/>
    <w:rsid w:val="00A170BE"/>
  </w:style>
  <w:style w:type="paragraph" w:styleId="Prosttext">
    <w:name w:val="Plain Text"/>
    <w:basedOn w:val="Normln"/>
    <w:link w:val="ProsttextChar"/>
    <w:uiPriority w:val="99"/>
    <w:unhideWhenUsed/>
    <w:rsid w:val="003A0CDF"/>
    <w:pPr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A0CDF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idDXar+ko7KhtTmc0lEtiWtRHCBbVRt3MrgMBugFl1w=</DigestValue>
    </Reference>
    <Reference Type="http://www.w3.org/2000/09/xmldsig#Object" URI="#idOfficeObject">
      <DigestMethod Algorithm="http://www.w3.org/2001/04/xmlenc#sha256"/>
      <DigestValue>19ZjQseZh3qYhHWgS64WGoDEifBt216EK9StN6nvgHo=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T5VCiHYBtuoY6kSqnCe8WxtPi2kJruaLB+Tt1/IizMs=</DigestValue>
    </Reference>
  </SignedInfo>
  <SignatureValue>Iy5vNZZKiE/nuj9nfoFgYPV+untz50WP+hvKAtn9df1EcxwCJMTufu7QdwerbduXCNdkk1kAqEhP
31Pw1L/9gjURHBykRx50ZVsVWMkluWOSZmQXM3oWhdw2MLbSbVwVIOFwfHadJeh3t3AvenYCsadK
BkqdkdSj66sMErtsRtZisjYSPYxIqnT1xL3zATdq7jKv1bc1NeJWD8JXNXlxD/InRrHOcqqzw6Hv
FjKQUMFgQXrRHkUYAxjSKB+SB/ASWJqzpkHWGoR/CEhvzZ9sd+mh82x2K9BmQEkCc5wuviZUKv7y
1q5gNhgQ6kzRDujThIo6eEFnrixVT5fM3RvyLw==</SignatureValue>
  <KeyInfo>
    <X509Data>
      <X509Certificate>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CMIGlBggrBgEFBQcBAwSBmDCBlTAIBgYEAI5GAQEwCAYGBACORgEEMGoGBgQAjkYBBTBgMC4WKGh0dHBzOi8vd3d3LnBvc3RzaWdudW0uY3ovcGRzL3Bkc19lbi5wZGYTAmVuMC4WKGh0dHBzOi8vd3d3LnBvc3RzaWdudW0uY3ovcGRzL3Bkc19jcy5wZGYTAmNzMBMGBgQAjkYBBjAJBgcEAI5GAQYB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k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HEjWA3Hbe+4E+MXM2YHe41QumIDMA0GCSqGSIb3DQEBCwUAA4IBAQCOjVxzMpO/lDONsI8Ndk+4KvM3nla8z+UcavuqtSpigpe/+6nbdeavW+in2qm3u5nS3sqkt09itOy6JrjS7SjKfYmPir1zAQTbsdrdn5+v8IP6HkQ6LxDdoZXhF+wQYAqIawuSNlsrIxAvfV1332wY5JjzLiOMDSWaRNmFqTr7x9/6BO5kLoC12S8+ivdh5DgBEb+ISsmUR8bkpbot75fzPEHWK9BsV5nt6da3KFLH0Di2kbFbtAPyWoqI5STFxk+OiAOvRW1jKlmzLDRfOkJQaoUwiWez9dcRdDCwJtBlVPhFEAe2qplgG+QaqLtKdYlrNtU/m+6/jEWGe6U7NK2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7cKjdcnw9AN8P9CZOmrPBAJLTdWII7EKXOjv8ar5UHU=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emr/qIUcZlxszLqx57QXIUx3YYPMGO3DoQU3LX2ysiY=</DigestValue>
      </Reference>
      <Reference URI="/word/endnotes.xml?ContentType=application/vnd.openxmlformats-officedocument.wordprocessingml.endnotes+xml">
        <DigestMethod Algorithm="http://www.w3.org/2001/04/xmlenc#sha256"/>
        <DigestValue>OTD2KncQKFQc3UGOKjZ8HXrXwX/USXg/758P+bahJD4=</DigestValue>
      </Reference>
      <Reference URI="/word/fontTable.xml?ContentType=application/vnd.openxmlformats-officedocument.wordprocessingml.fontTable+xml">
        <DigestMethod Algorithm="http://www.w3.org/2001/04/xmlenc#sha256"/>
        <DigestValue>Y0/CkQ1Jb4FvzH/5xdRaOCH1R/UXry4YxC+ykkPklHI=</DigestValue>
      </Reference>
      <Reference URI="/word/footer1.xml?ContentType=application/vnd.openxmlformats-officedocument.wordprocessingml.footer+xml">
        <DigestMethod Algorithm="http://www.w3.org/2001/04/xmlenc#sha256"/>
        <DigestValue>zLuORPFLmaiL9n7Bebw9jBbwWjFQjTOAcfdgV+zyteI=</DigestValue>
      </Reference>
      <Reference URI="/word/footer2.xml?ContentType=application/vnd.openxmlformats-officedocument.wordprocessingml.footer+xml">
        <DigestMethod Algorithm="http://www.w3.org/2001/04/xmlenc#sha256"/>
        <DigestValue>jypx8oOVeT1dgSuNOHXg1ESx+PAtW03t6Ldtw/4AsQs=</DigestValue>
      </Reference>
      <Reference URI="/word/footnotes.xml?ContentType=application/vnd.openxmlformats-officedocument.wordprocessingml.footnotes+xml">
        <DigestMethod Algorithm="http://www.w3.org/2001/04/xmlenc#sha256"/>
        <DigestValue>kaCQxCeSoqU6/n/MPYdwF9Xa6kxGRGHlXvq+2vZcsK0=</DigestValue>
      </Reference>
      <Reference URI="/word/header1.xml?ContentType=application/vnd.openxmlformats-officedocument.wordprocessingml.header+xml">
        <DigestMethod Algorithm="http://www.w3.org/2001/04/xmlenc#sha256"/>
        <DigestValue>9LCzHhWJ2JvXud+ByboZJ3YV7OEXYSiGgaLQHudV8CU=</DigestValue>
      </Reference>
      <Reference URI="/word/media/image1.jpeg?ContentType=image/jpeg">
        <DigestMethod Algorithm="http://www.w3.org/2001/04/xmlenc#sha256"/>
        <DigestValue>2hXu3cO/dh40zmf67Z7EKXxwUWtpuwAfcuTm9s44CwM=</DigestValue>
      </Reference>
      <Reference URI="/word/numbering.xml?ContentType=application/vnd.openxmlformats-officedocument.wordprocessingml.numbering+xml">
        <DigestMethod Algorithm="http://www.w3.org/2001/04/xmlenc#sha256"/>
        <DigestValue>InQDwFqZQSPV+u3i2vdxfLSyjFPSpN3NlDPJ2bqlBxg=</DigestValue>
      </Reference>
      <Reference URI="/word/settings.xml?ContentType=application/vnd.openxmlformats-officedocument.wordprocessingml.settings+xml">
        <DigestMethod Algorithm="http://www.w3.org/2001/04/xmlenc#sha256"/>
        <DigestValue>l1kH2LblnRiN+KXFmOsMw5dFAXIZHU8ZTjCZygAvokc=</DigestValue>
      </Reference>
      <Reference URI="/word/styles.xml?ContentType=application/vnd.openxmlformats-officedocument.wordprocessingml.styles+xml">
        <DigestMethod Algorithm="http://www.w3.org/2001/04/xmlenc#sha256"/>
        <DigestValue>S6PikiNa2XndfjVxXKPHJwDNtftFTd80zelAHTvJhsQ=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nRoOTOrkJC5KV3bX8Uls366ExEWHbCRIr08VfjI3C/U=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2019-12-16T10:35:48Z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16.0.12228/19</OfficeVersion>
          <ApplicationVersion>16.0.12228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2019-12-16T10:35:48Z</xd:SigningTime>
          <xd:SigningCertificate>
            <xd:Cert>
              <xd:CertDigest>
                <DigestMethod Algorithm="http://www.w3.org/2001/04/xmlenc#sha256"/>
                <DigestValue>dBVTiUbgTDeLw8O8IKJIiF0TBqWxu8BO/i7h1jT5SWM=</DigestValue>
              </xd:CertDigest>
              <xd:IssuerSerial>
                <X509IssuerName>CN=PostSignum Qualified CA 3, O="Česká pošta, s.p. [IČ 47114983]", C=CZ</X509IssuerName>
                <X509SerialNumber>5008228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8B127-F799-4116-A4C2-23423B72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1697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</vt:lpstr>
    </vt:vector>
  </TitlesOfParts>
  <Company>kulk</Company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</dc:title>
  <dc:creator>Spanilá Veronika</dc:creator>
  <cp:lastModifiedBy>Jan Růžička</cp:lastModifiedBy>
  <cp:revision>2</cp:revision>
  <cp:lastPrinted>2019-09-12T10:14:00Z</cp:lastPrinted>
  <dcterms:created xsi:type="dcterms:W3CDTF">2019-12-16T10:35:00Z</dcterms:created>
  <dcterms:modified xsi:type="dcterms:W3CDTF">2019-12-16T10:35:00Z</dcterms:modified>
</cp:coreProperties>
</file>