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6A34A5C2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50EC3F58" w:rsidR="00611391" w:rsidRDefault="00564276" w:rsidP="005F5DE2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AD32D1" w:rsidRPr="00AD32D1">
        <w:rPr>
          <w:rFonts w:ascii="Arial Narrow" w:hAnsi="Arial Narrow" w:cstheme="majorHAnsi"/>
          <w:b/>
          <w:sz w:val="22"/>
          <w:szCs w:val="22"/>
        </w:rPr>
        <w:t>Kancelársky nábytok, kovový nábytok a interiérové vybavenie DNS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</w:p>
    <w:p w14:paraId="317AE8FC" w14:textId="1170D057" w:rsidR="007E7186" w:rsidRPr="003959DB" w:rsidRDefault="00564276" w:rsidP="003959DB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b/>
          <w:sz w:val="22"/>
        </w:rPr>
      </w:pPr>
      <w:r w:rsidRPr="007E7186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7E7186">
        <w:rPr>
          <w:rFonts w:ascii="Arial Narrow" w:hAnsi="Arial Narrow"/>
          <w:b/>
          <w:sz w:val="22"/>
        </w:rPr>
        <w:t xml:space="preserve"> </w:t>
      </w:r>
      <w:r w:rsidR="002761BF" w:rsidRPr="007E7186">
        <w:rPr>
          <w:rFonts w:ascii="Arial Narrow" w:hAnsi="Arial Narrow"/>
          <w:sz w:val="22"/>
        </w:rPr>
        <w:t>obstarávanie</w:t>
      </w:r>
      <w:r w:rsidRPr="007E7186">
        <w:rPr>
          <w:rFonts w:ascii="Arial Narrow" w:hAnsi="Arial Narrow" w:cs="Calibri"/>
          <w:sz w:val="22"/>
          <w:szCs w:val="22"/>
        </w:rPr>
        <w:t xml:space="preserve"> na predmet zákazky</w:t>
      </w:r>
      <w:r w:rsidR="00E2144E" w:rsidRPr="007E7186">
        <w:rPr>
          <w:rFonts w:ascii="Arial Narrow" w:hAnsi="Arial Narrow" w:cs="Calibri"/>
          <w:sz w:val="22"/>
          <w:szCs w:val="22"/>
        </w:rPr>
        <w:t xml:space="preserve"> </w:t>
      </w:r>
      <w:r w:rsidR="003959DB" w:rsidRPr="003959DB">
        <w:rPr>
          <w:rFonts w:ascii="Arial Narrow" w:hAnsi="Arial Narrow"/>
          <w:b/>
          <w:sz w:val="22"/>
          <w:szCs w:val="22"/>
        </w:rPr>
        <w:t>Interiérové vybavenie pre útvary MV SR</w:t>
      </w:r>
      <w:r w:rsidR="007E7186" w:rsidRPr="007E7186">
        <w:rPr>
          <w:rFonts w:ascii="Arial Narrow" w:hAnsi="Arial Narrow"/>
          <w:b/>
          <w:sz w:val="22"/>
          <w:szCs w:val="22"/>
        </w:rPr>
        <w:t>  </w:t>
      </w:r>
      <w:r w:rsidR="007E7186" w:rsidRPr="007E7186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(ID zákazky </w:t>
      </w:r>
      <w:r w:rsidR="007E7186" w:rsidRPr="007E7186">
        <w:rPr>
          <w:rFonts w:ascii="Arial Narrow" w:hAnsi="Arial Narrow"/>
          <w:b/>
          <w:sz w:val="22"/>
          <w:szCs w:val="22"/>
          <w:shd w:val="clear" w:color="auto" w:fill="FFFFFF"/>
        </w:rPr>
        <w:t>42963</w:t>
      </w:r>
      <w:r w:rsidR="007E7186" w:rsidRPr="007E7186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3959DB">
        <w:rPr>
          <w:rFonts w:ascii="Arial Narrow" w:hAnsi="Arial Narrow" w:cs="Helvetica"/>
          <w:b/>
          <w:sz w:val="22"/>
          <w:szCs w:val="22"/>
          <w:shd w:val="clear" w:color="auto" w:fill="FFFFFF"/>
        </w:rPr>
        <w:t>.</w:t>
      </w:r>
    </w:p>
    <w:p w14:paraId="4696F771" w14:textId="475CF3E1" w:rsidR="00AF4602" w:rsidRPr="00AF4602" w:rsidRDefault="00E2144E" w:rsidP="003959DB">
      <w:pPr>
        <w:pStyle w:val="CTL"/>
        <w:numPr>
          <w:ilvl w:val="1"/>
          <w:numId w:val="51"/>
        </w:numPr>
        <w:spacing w:after="240" w:line="276" w:lineRule="auto"/>
        <w:rPr>
          <w:rFonts w:ascii="Arial Narrow" w:hAnsi="Arial Narrow" w:cs="Calibri"/>
          <w:sz w:val="22"/>
          <w:szCs w:val="22"/>
        </w:rPr>
      </w:pPr>
      <w:r w:rsidRPr="00E2144E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o verejnom obstarávaní.  </w:t>
      </w:r>
      <w:r w:rsidR="00AF4602" w:rsidRPr="00AF4602">
        <w:rPr>
          <w:rFonts w:ascii="Arial Narrow" w:hAnsi="Arial Narrow"/>
          <w:sz w:val="22"/>
          <w:szCs w:val="22"/>
        </w:rPr>
        <w:t xml:space="preserve">Predmetom zákazky </w:t>
      </w:r>
      <w:r w:rsidR="00AF4602">
        <w:rPr>
          <w:rFonts w:ascii="Arial Narrow" w:hAnsi="Arial Narrow"/>
          <w:sz w:val="22"/>
          <w:szCs w:val="22"/>
        </w:rPr>
        <w:t>realizovaný a</w:t>
      </w:r>
      <w:r w:rsidR="003959DB">
        <w:rPr>
          <w:rFonts w:ascii="Arial Narrow" w:hAnsi="Arial Narrow"/>
          <w:sz w:val="22"/>
          <w:szCs w:val="22"/>
        </w:rPr>
        <w:t> financovaný zo štátneho rozpočtu</w:t>
      </w:r>
      <w:r w:rsidR="00AF4602" w:rsidRPr="00AF4602">
        <w:rPr>
          <w:rFonts w:ascii="Arial Narrow" w:hAnsi="Arial Narrow"/>
          <w:bCs/>
          <w:sz w:val="22"/>
          <w:szCs w:val="22"/>
        </w:rPr>
        <w:t>.</w:t>
      </w:r>
    </w:p>
    <w:p w14:paraId="2ECF1FB8" w14:textId="1F9CC84B" w:rsidR="00FC2417" w:rsidRPr="00F803F7" w:rsidRDefault="00564276" w:rsidP="00F803F7">
      <w:pPr>
        <w:pStyle w:val="CTLhead"/>
        <w:spacing w:line="24" w:lineRule="atLeast"/>
        <w:rPr>
          <w:rFonts w:ascii="Arial Narrow" w:hAnsi="Arial Narrow"/>
          <w:sz w:val="22"/>
        </w:rPr>
      </w:pPr>
      <w:r w:rsidRPr="00F803F7">
        <w:rPr>
          <w:rFonts w:ascii="Arial Narrow" w:hAnsi="Arial Narrow" w:cs="Calibri"/>
          <w:b w:val="0"/>
          <w:sz w:val="22"/>
          <w:szCs w:val="22"/>
        </w:rPr>
        <w:t xml:space="preserve">  </w:t>
      </w:r>
      <w:r w:rsidR="00FC2417" w:rsidRPr="00F803F7">
        <w:rPr>
          <w:rFonts w:ascii="Arial Narrow" w:hAnsi="Arial Narrow"/>
          <w:sz w:val="22"/>
        </w:rPr>
        <w:t>Článok III.</w:t>
      </w:r>
    </w:p>
    <w:p w14:paraId="5B00A6C4" w14:textId="138CB835" w:rsidR="00FC2417" w:rsidRDefault="00FC2417" w:rsidP="00F803F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18837670" w14:textId="77777777" w:rsidR="00F803F7" w:rsidRPr="004D27AE" w:rsidRDefault="00F803F7" w:rsidP="00F803F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30A8DA3" w14:textId="6CB3AF3C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F803F7" w:rsidRPr="00F803F7">
        <w:rPr>
          <w:rFonts w:ascii="Arial Narrow" w:eastAsia="Arial" w:hAnsi="Arial Narrow" w:cstheme="majorHAnsi"/>
          <w:sz w:val="22"/>
          <w:szCs w:val="22"/>
        </w:rPr>
        <w:t>interiérového vybavenia</w:t>
      </w:r>
      <w:r w:rsidR="00F803F7" w:rsidRPr="00F803F7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F14A91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222BCB23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F803F7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04070003" w:rsidR="00363E6B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="00FC2417"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="00FC2417" w:rsidRPr="004D27AE">
        <w:rPr>
          <w:rFonts w:ascii="Arial Narrow" w:hAnsi="Arial Narrow"/>
          <w:sz w:val="22"/>
        </w:rPr>
        <w:t xml:space="preserve"> predpismi</w:t>
      </w:r>
      <w:r w:rsidR="00FF6C96">
        <w:rPr>
          <w:rFonts w:ascii="Arial Narrow" w:hAnsi="Arial Narrow"/>
          <w:sz w:val="22"/>
        </w:rPr>
        <w:t xml:space="preserve"> platnými na území </w:t>
      </w:r>
      <w:r w:rsidR="004738F4" w:rsidRPr="004D27AE">
        <w:rPr>
          <w:rFonts w:ascii="Arial Narrow" w:hAnsi="Arial Narrow"/>
          <w:sz w:val="22"/>
        </w:rPr>
        <w:t>SR</w:t>
      </w:r>
      <w:r w:rsidR="00FC2417"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vzťahujú</w:t>
      </w:r>
      <w:r w:rsidR="00FF6C96">
        <w:rPr>
          <w:rFonts w:ascii="Arial Narrow" w:hAnsi="Arial Narrow"/>
          <w:sz w:val="22"/>
        </w:rPr>
        <w:t xml:space="preserve">, a to najmä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="00FC2417"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1306E410" w:rsidR="00287E51" w:rsidRPr="005979C1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</w:rPr>
        <w:t xml:space="preserve">   4.2</w:t>
      </w:r>
      <w:r>
        <w:rPr>
          <w:rFonts w:ascii="Arial Narrow" w:hAnsi="Arial Narrow"/>
          <w:sz w:val="22"/>
        </w:rPr>
        <w:tab/>
      </w:r>
      <w:r w:rsidR="00287E51" w:rsidRPr="004D27AE">
        <w:rPr>
          <w:rFonts w:ascii="Arial Narrow" w:hAnsi="Arial Narrow"/>
          <w:sz w:val="22"/>
        </w:rPr>
        <w:t xml:space="preserve">Predávajúci </w:t>
      </w:r>
      <w:r w:rsidR="00287E51" w:rsidRPr="00FF6C96">
        <w:rPr>
          <w:rFonts w:ascii="Arial Narrow" w:hAnsi="Arial Narrow"/>
          <w:sz w:val="22"/>
          <w:szCs w:val="22"/>
        </w:rPr>
        <w:t xml:space="preserve">zabezpečí aj súvisiace služby spojené s dodaním </w:t>
      </w:r>
      <w:r w:rsidR="00E97A3E" w:rsidRPr="00FF6C96">
        <w:rPr>
          <w:rFonts w:ascii="Arial Narrow" w:hAnsi="Arial Narrow"/>
          <w:sz w:val="22"/>
          <w:szCs w:val="22"/>
        </w:rPr>
        <w:t xml:space="preserve">tovaru </w:t>
      </w:r>
      <w:r w:rsidR="00287E51" w:rsidRPr="00FF6C96">
        <w:rPr>
          <w:rFonts w:ascii="Arial Narrow" w:hAnsi="Arial Narrow"/>
          <w:sz w:val="22"/>
          <w:szCs w:val="22"/>
        </w:rPr>
        <w:t>na miest</w:t>
      </w:r>
      <w:r w:rsidR="00BB7E38" w:rsidRPr="00FF6C96">
        <w:rPr>
          <w:rFonts w:ascii="Arial Narrow" w:hAnsi="Arial Narrow"/>
          <w:sz w:val="22"/>
          <w:szCs w:val="22"/>
        </w:rPr>
        <w:t>a</w:t>
      </w:r>
      <w:r w:rsidR="00287E51" w:rsidRPr="00FF6C96">
        <w:rPr>
          <w:rFonts w:ascii="Arial Narrow" w:hAnsi="Arial Narrow"/>
          <w:sz w:val="22"/>
          <w:szCs w:val="22"/>
        </w:rPr>
        <w:t xml:space="preserve"> dodania, </w:t>
      </w:r>
      <w:r w:rsidRPr="00FF6C96">
        <w:rPr>
          <w:rFonts w:ascii="Arial Narrow" w:hAnsi="Arial Narrow"/>
          <w:sz w:val="22"/>
          <w:szCs w:val="22"/>
        </w:rPr>
        <w:t xml:space="preserve">a to služby </w:t>
      </w:r>
      <w:r w:rsidR="007A08E0" w:rsidRPr="00FF6C96">
        <w:rPr>
          <w:rFonts w:ascii="Arial Narrow" w:hAnsi="Arial Narrow"/>
          <w:sz w:val="22"/>
          <w:szCs w:val="22"/>
        </w:rPr>
        <w:t xml:space="preserve">súvisiace </w:t>
      </w:r>
      <w:r w:rsidR="00287E51" w:rsidRPr="00FF6C96">
        <w:rPr>
          <w:rFonts w:ascii="Arial Narrow" w:hAnsi="Arial Narrow"/>
          <w:sz w:val="22"/>
          <w:szCs w:val="22"/>
        </w:rPr>
        <w:t>s</w:t>
      </w:r>
      <w:r w:rsidR="007A08E0" w:rsidRPr="00FF6C96">
        <w:rPr>
          <w:rFonts w:ascii="Arial Narrow" w:hAnsi="Arial Narrow"/>
          <w:sz w:val="22"/>
          <w:szCs w:val="22"/>
        </w:rPr>
        <w:t> </w:t>
      </w:r>
      <w:r w:rsidR="00287E51" w:rsidRPr="00FF6C96">
        <w:rPr>
          <w:rFonts w:ascii="Arial Narrow" w:hAnsi="Arial Narrow"/>
          <w:sz w:val="22"/>
          <w:szCs w:val="22"/>
        </w:rPr>
        <w:t>vyložením</w:t>
      </w:r>
      <w:r w:rsidR="007A08E0" w:rsidRPr="00FF6C96">
        <w:rPr>
          <w:rFonts w:ascii="Arial Narrow" w:hAnsi="Arial Narrow"/>
          <w:sz w:val="22"/>
          <w:szCs w:val="22"/>
        </w:rPr>
        <w:t xml:space="preserve"> tovaru</w:t>
      </w:r>
      <w:r w:rsidR="00287E51" w:rsidRPr="00FF6C96">
        <w:rPr>
          <w:rFonts w:ascii="Arial Narrow" w:hAnsi="Arial Narrow"/>
          <w:sz w:val="22"/>
          <w:szCs w:val="22"/>
        </w:rPr>
        <w:t xml:space="preserve"> v</w:t>
      </w:r>
      <w:r w:rsidR="004314B0" w:rsidRPr="00FF6C96">
        <w:rPr>
          <w:rFonts w:ascii="Arial Narrow" w:hAnsi="Arial Narrow"/>
          <w:sz w:val="22"/>
          <w:szCs w:val="22"/>
        </w:rPr>
        <w:t> </w:t>
      </w:r>
      <w:r w:rsidR="00287E51" w:rsidRPr="00FF6C96">
        <w:rPr>
          <w:rFonts w:ascii="Arial Narrow" w:hAnsi="Arial Narrow"/>
          <w:sz w:val="22"/>
          <w:szCs w:val="22"/>
        </w:rPr>
        <w:t>mieste</w:t>
      </w:r>
      <w:r w:rsidR="004314B0" w:rsidRPr="00FF6C96">
        <w:rPr>
          <w:rFonts w:ascii="Arial Narrow" w:hAnsi="Arial Narrow"/>
          <w:sz w:val="22"/>
          <w:szCs w:val="22"/>
        </w:rPr>
        <w:t xml:space="preserve"> </w:t>
      </w:r>
      <w:r w:rsidR="004738F4" w:rsidRPr="00FF6C96">
        <w:rPr>
          <w:rFonts w:ascii="Arial Narrow" w:hAnsi="Arial Narrow"/>
          <w:sz w:val="22"/>
          <w:szCs w:val="22"/>
        </w:rPr>
        <w:t>dodania</w:t>
      </w:r>
      <w:r w:rsidR="00F14A91" w:rsidRPr="00FF6C96">
        <w:rPr>
          <w:rFonts w:ascii="Arial Narrow" w:hAnsi="Arial Narrow"/>
          <w:sz w:val="22"/>
          <w:szCs w:val="22"/>
        </w:rPr>
        <w:t xml:space="preserve"> a</w:t>
      </w:r>
      <w:r w:rsidR="00BB7E38" w:rsidRPr="00FF6C96">
        <w:rPr>
          <w:rFonts w:ascii="Arial Narrow" w:hAnsi="Arial Narrow"/>
          <w:sz w:val="22"/>
          <w:szCs w:val="22"/>
        </w:rPr>
        <w:t> </w:t>
      </w:r>
      <w:r w:rsidR="00F14A91" w:rsidRPr="00FF6C96">
        <w:rPr>
          <w:rFonts w:ascii="Arial Narrow" w:hAnsi="Arial Narrow"/>
          <w:sz w:val="22"/>
          <w:szCs w:val="22"/>
        </w:rPr>
        <w:t>montáž</w:t>
      </w:r>
      <w:r w:rsidR="00BB7E38" w:rsidRPr="00FF6C96">
        <w:rPr>
          <w:rFonts w:ascii="Arial Narrow" w:hAnsi="Arial Narrow"/>
          <w:sz w:val="22"/>
          <w:szCs w:val="22"/>
        </w:rPr>
        <w:t xml:space="preserve"> na miestach dodania</w:t>
      </w:r>
      <w:r w:rsidR="00983402">
        <w:rPr>
          <w:rFonts w:ascii="Arial Narrow" w:hAnsi="Arial Narrow"/>
          <w:sz w:val="22"/>
          <w:szCs w:val="22"/>
        </w:rPr>
        <w:t xml:space="preserve"> pri položke č. 29 podľa Prílohy č. 1</w:t>
      </w:r>
      <w:r w:rsidR="00FF6C96" w:rsidRPr="00FF6C96">
        <w:rPr>
          <w:rFonts w:ascii="Arial Narrow" w:hAnsi="Arial Narrow"/>
          <w:sz w:val="22"/>
          <w:szCs w:val="22"/>
        </w:rPr>
        <w:t xml:space="preserve">, </w:t>
      </w:r>
      <w:r w:rsidR="00FF6C96" w:rsidRPr="005979C1">
        <w:rPr>
          <w:rFonts w:ascii="Arial Narrow" w:hAnsi="Arial Narrow"/>
          <w:sz w:val="22"/>
          <w:szCs w:val="22"/>
        </w:rPr>
        <w:t xml:space="preserve">ako </w:t>
      </w:r>
      <w:r w:rsidR="00FF6C96" w:rsidRPr="005F5DE2">
        <w:rPr>
          <w:rFonts w:ascii="Arial Narrow" w:hAnsi="Arial Narrow"/>
          <w:sz w:val="22"/>
          <w:szCs w:val="22"/>
        </w:rPr>
        <w:t>aj odvoz a ekologickú likvidáciu odpadu z obalu tovaru</w:t>
      </w:r>
      <w:r w:rsidR="00287E51" w:rsidRPr="005979C1">
        <w:rPr>
          <w:rFonts w:ascii="Arial Narrow" w:hAnsi="Arial Narrow"/>
          <w:sz w:val="22"/>
          <w:szCs w:val="22"/>
        </w:rPr>
        <w:t xml:space="preserve">. </w:t>
      </w:r>
    </w:p>
    <w:p w14:paraId="06B82263" w14:textId="727C5F50" w:rsidR="00FC2417" w:rsidRDefault="00F803F7" w:rsidP="00F803F7">
      <w:pPr>
        <w:pStyle w:val="CTL"/>
        <w:numPr>
          <w:ilvl w:val="0"/>
          <w:numId w:val="0"/>
        </w:numPr>
        <w:tabs>
          <w:tab w:val="left" w:pos="360"/>
        </w:tabs>
        <w:spacing w:line="24" w:lineRule="atLeast"/>
        <w:ind w:left="567" w:hanging="720"/>
        <w:rPr>
          <w:rFonts w:ascii="Arial Narrow" w:hAnsi="Arial Narrow"/>
          <w:sz w:val="22"/>
        </w:rPr>
      </w:pPr>
      <w:r w:rsidRPr="005979C1">
        <w:rPr>
          <w:rFonts w:ascii="Arial Narrow" w:hAnsi="Arial Narrow"/>
          <w:sz w:val="22"/>
          <w:szCs w:val="22"/>
        </w:rPr>
        <w:t xml:space="preserve">   4.3</w:t>
      </w:r>
      <w:r w:rsidRPr="005979C1">
        <w:rPr>
          <w:rFonts w:ascii="Arial Narrow" w:hAnsi="Arial Narrow"/>
          <w:sz w:val="22"/>
          <w:szCs w:val="22"/>
        </w:rPr>
        <w:tab/>
        <w:t xml:space="preserve">    </w:t>
      </w:r>
      <w:r w:rsidR="00FC2417" w:rsidRPr="005979C1">
        <w:rPr>
          <w:rFonts w:ascii="Arial Narrow" w:hAnsi="Arial Narrow"/>
          <w:sz w:val="22"/>
          <w:szCs w:val="22"/>
        </w:rPr>
        <w:t xml:space="preserve">Predávajúci sa zaväzuje odovzdať </w:t>
      </w:r>
      <w:r w:rsidR="00E97A3E" w:rsidRPr="00FF6C96">
        <w:rPr>
          <w:rFonts w:ascii="Arial Narrow" w:hAnsi="Arial Narrow" w:cs="Calibri"/>
          <w:sz w:val="22"/>
          <w:szCs w:val="22"/>
        </w:rPr>
        <w:t>tovar</w:t>
      </w:r>
      <w:r w:rsidR="00E97A3E" w:rsidRPr="005979C1">
        <w:rPr>
          <w:rFonts w:ascii="Arial Narrow" w:hAnsi="Arial Narrow"/>
          <w:sz w:val="22"/>
          <w:szCs w:val="22"/>
        </w:rPr>
        <w:t xml:space="preserve"> </w:t>
      </w:r>
      <w:r w:rsidR="00FC2417" w:rsidRPr="005979C1">
        <w:rPr>
          <w:rFonts w:ascii="Arial Narrow" w:hAnsi="Arial Narrow"/>
          <w:sz w:val="22"/>
          <w:szCs w:val="22"/>
        </w:rPr>
        <w:t>Kupujúcemu</w:t>
      </w:r>
      <w:r w:rsidR="004C286C" w:rsidRPr="005979C1">
        <w:rPr>
          <w:rFonts w:ascii="Arial Narrow" w:hAnsi="Arial Narrow"/>
          <w:sz w:val="22"/>
          <w:szCs w:val="22"/>
        </w:rPr>
        <w:t xml:space="preserve"> </w:t>
      </w:r>
      <w:r w:rsidR="003E5B18" w:rsidRPr="00FF6C96">
        <w:rPr>
          <w:rFonts w:ascii="Arial Narrow" w:hAnsi="Arial Narrow" w:cs="Calibri"/>
          <w:sz w:val="22"/>
          <w:szCs w:val="22"/>
        </w:rPr>
        <w:t>v </w:t>
      </w:r>
      <w:r w:rsidR="00691CD7" w:rsidRPr="00FF6C96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9F0BCA">
        <w:rPr>
          <w:rFonts w:ascii="Arial Narrow" w:hAnsi="Arial Narrow" w:cs="Calibri"/>
          <w:sz w:val="22"/>
          <w:szCs w:val="22"/>
        </w:rPr>
        <w:t xml:space="preserve">najneskôr </w:t>
      </w:r>
      <w:r w:rsidR="009F0BCA" w:rsidRPr="009F0BCA">
        <w:rPr>
          <w:rFonts w:ascii="Arial Narrow" w:hAnsi="Arial Narrow" w:cs="Calibri"/>
          <w:sz w:val="22"/>
          <w:szCs w:val="22"/>
        </w:rPr>
        <w:t xml:space="preserve">do </w:t>
      </w:r>
      <w:r w:rsidR="009F0BCA" w:rsidRPr="009F0BCA">
        <w:rPr>
          <w:rFonts w:ascii="Arial Narrow" w:hAnsi="Arial Narrow"/>
          <w:b/>
          <w:sz w:val="22"/>
          <w:szCs w:val="22"/>
        </w:rPr>
        <w:t xml:space="preserve">šesťdesiat (60) </w:t>
      </w:r>
      <w:r w:rsidR="009F0BCA" w:rsidRPr="009F0BCA">
        <w:rPr>
          <w:rFonts w:ascii="Arial Narrow" w:hAnsi="Arial Narrow" w:cs="Calibri"/>
          <w:b/>
          <w:sz w:val="22"/>
          <w:szCs w:val="22"/>
        </w:rPr>
        <w:t xml:space="preserve"> dní  odo dňa nadobudnutia účinnosti tejto zmluvy, pričom lehota dodania predmetu zmluvy musí byť najneskôr do 31.12.2023.</w:t>
      </w:r>
      <w:bookmarkStart w:id="0" w:name="_GoBack"/>
      <w:bookmarkEnd w:id="0"/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7C2B8BE3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4.4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Miestom dodania </w:t>
      </w:r>
      <w:r w:rsidR="00E2144E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56EA63E2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360" w:hanging="36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4.5</w:t>
      </w:r>
      <w:r>
        <w:rPr>
          <w:rFonts w:ascii="Arial Narrow" w:hAnsi="Arial Narrow"/>
          <w:sz w:val="22"/>
        </w:rPr>
        <w:tab/>
        <w:t xml:space="preserve">    </w:t>
      </w:r>
      <w:r w:rsidR="00FC2417"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="00FC241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67855E66" w:rsidR="00FC2417" w:rsidRPr="004D27AE" w:rsidRDefault="00F803F7" w:rsidP="00F803F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4.6</w:t>
      </w:r>
      <w:r>
        <w:rPr>
          <w:rFonts w:ascii="Arial Narrow" w:hAnsi="Arial Narrow"/>
          <w:sz w:val="22"/>
        </w:rPr>
        <w:tab/>
      </w:r>
      <w:r w:rsidR="004003BF"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10FD35D4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4.7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 </w:t>
      </w:r>
      <w:r w:rsidR="00FC2417"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. Kupujúci po </w:t>
      </w:r>
      <w:r w:rsidR="00FC2417"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="00FC2417" w:rsidRPr="00E53022">
        <w:rPr>
          <w:rFonts w:ascii="Arial Narrow" w:hAnsi="Arial Narrow" w:cs="Calibri"/>
          <w:sz w:val="22"/>
          <w:szCs w:val="22"/>
        </w:rPr>
        <w:t>redávajúci</w:t>
      </w:r>
      <w:r w:rsidR="00FC2417" w:rsidRPr="004D27AE">
        <w:rPr>
          <w:rFonts w:ascii="Arial Narrow" w:hAnsi="Arial Narrow"/>
          <w:sz w:val="22"/>
        </w:rPr>
        <w:t xml:space="preserve"> sa mu zaväzuje toto užívanie dňom </w:t>
      </w:r>
      <w:r w:rsidR="00FC2417"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4C9978B7" w:rsidR="00BA2865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4.8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="00BA2865"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="00BA2865"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5112FD69" w:rsidR="00BA2865" w:rsidRPr="004D27AE" w:rsidRDefault="00F803F7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4.9</w:t>
      </w:r>
      <w:r>
        <w:rPr>
          <w:rFonts w:ascii="Arial Narrow" w:hAnsi="Arial Narrow"/>
          <w:sz w:val="22"/>
        </w:rPr>
        <w:tab/>
      </w:r>
      <w:r w:rsidR="00D5473D"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="00D5473D"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>
        <w:rPr>
          <w:rFonts w:ascii="Arial Narrow" w:hAnsi="Arial Narrow"/>
          <w:sz w:val="22"/>
        </w:rPr>
        <w:t xml:space="preserve">vateľov uvedených </w:t>
      </w:r>
      <w:r w:rsidR="00383985">
        <w:rPr>
          <w:rFonts w:ascii="Arial Narrow" w:hAnsi="Arial Narrow"/>
          <w:sz w:val="22"/>
        </w:rPr>
        <w:t>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5DB8DAD" w:rsidR="00BA2865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4.10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="00BA2865"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="00BA2865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="00BA2865"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="00BA2865"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="00BA2865"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>
        <w:rPr>
          <w:rFonts w:ascii="Arial Narrow" w:hAnsi="Arial Narrow"/>
          <w:sz w:val="22"/>
        </w:rPr>
        <w:t>4</w:t>
      </w:r>
      <w:r w:rsidR="00BA2865"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="00BA2865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BA2865"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="00BA2865" w:rsidRPr="00BA2865">
        <w:rPr>
          <w:rFonts w:ascii="Arial Narrow" w:hAnsi="Arial Narrow"/>
          <w:sz w:val="22"/>
          <w:szCs w:val="22"/>
        </w:rPr>
        <w:t>ri</w:t>
      </w:r>
      <w:r w:rsidR="00BA2865"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="00BA2865"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F0FC58C" w:rsidR="000A644D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4.11</w:t>
      </w:r>
      <w:r>
        <w:rPr>
          <w:rFonts w:ascii="Arial Narrow" w:hAnsi="Arial Narrow"/>
          <w:sz w:val="22"/>
        </w:rPr>
        <w:tab/>
      </w:r>
      <w:r w:rsidR="000A644D" w:rsidRPr="004D27AE">
        <w:rPr>
          <w:rFonts w:ascii="Arial Narrow" w:hAnsi="Arial Narrow"/>
          <w:sz w:val="22"/>
        </w:rPr>
        <w:t>Predávajúci vyhlasuje, že v čase uzatvorenia</w:t>
      </w:r>
      <w:r w:rsidR="000A644D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="000A644D"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="000A644D"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="000A644D"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="000A644D"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="000A644D"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="000A644D"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="000A644D" w:rsidRPr="004D27AE">
        <w:rPr>
          <w:rFonts w:ascii="Arial Narrow" w:hAnsi="Arial Narrow"/>
          <w:sz w:val="22"/>
        </w:rPr>
        <w:t>.</w:t>
      </w:r>
    </w:p>
    <w:p w14:paraId="1A3835CD" w14:textId="7A76FF6D" w:rsidR="000A644D" w:rsidRPr="004D27AE" w:rsidRDefault="00D232FE" w:rsidP="00D232F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4.12</w:t>
      </w:r>
      <w:r>
        <w:rPr>
          <w:rFonts w:ascii="Arial Narrow" w:hAnsi="Arial Narrow"/>
          <w:sz w:val="22"/>
        </w:rPr>
        <w:tab/>
      </w:r>
      <w:r w:rsidR="00052BBB"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="00052BBB"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6859CE44" w:rsidR="00FC2417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4.13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FC2417"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</w:rPr>
        <w:t>.</w:t>
      </w:r>
    </w:p>
    <w:p w14:paraId="0F4F0A19" w14:textId="21564D77" w:rsidR="00FC2417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4.14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342C7B75" w:rsidR="00BB427D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4.15</w:t>
      </w:r>
      <w:r>
        <w:rPr>
          <w:rFonts w:ascii="Arial Narrow" w:hAnsi="Arial Narrow"/>
          <w:sz w:val="22"/>
        </w:rPr>
        <w:tab/>
      </w:r>
      <w:r w:rsidR="00BB427D"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FF6C96">
        <w:rPr>
          <w:rFonts w:ascii="Arial Narrow" w:hAnsi="Arial Narrow" w:cs="Calibri"/>
          <w:sz w:val="22"/>
          <w:szCs w:val="22"/>
        </w:rPr>
        <w:t xml:space="preserve"> a vlastnícke právo k 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BB427D"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FF6C96">
        <w:rPr>
          <w:rFonts w:ascii="Arial Narrow" w:hAnsi="Arial Narrow" w:cs="Calibri"/>
          <w:sz w:val="22"/>
          <w:szCs w:val="22"/>
        </w:rPr>
        <w:t>.</w:t>
      </w:r>
    </w:p>
    <w:p w14:paraId="4CD25B73" w14:textId="6BD2511C" w:rsidR="00FC2417" w:rsidRPr="004D27AE" w:rsidRDefault="00D232FE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2703CDED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</w:t>
      </w:r>
      <w:r w:rsidR="00FF6C9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232FE">
        <w:rPr>
          <w:rFonts w:ascii="Arial Narrow" w:hAnsi="Arial Narrow"/>
          <w:sz w:val="22"/>
          <w:szCs w:val="22"/>
        </w:rPr>
        <w:t>zmluvy</w:t>
      </w:r>
      <w:r w:rsidR="00FF6C96">
        <w:rPr>
          <w:rFonts w:ascii="Arial Narrow" w:hAnsi="Arial Narrow"/>
          <w:sz w:val="22"/>
          <w:szCs w:val="22"/>
        </w:rPr>
        <w:t>, a to n</w:t>
      </w:r>
      <w:r w:rsidRPr="004D2CF2">
        <w:rPr>
          <w:rFonts w:ascii="Arial Narrow" w:hAnsi="Arial Narrow"/>
          <w:sz w:val="22"/>
          <w:szCs w:val="22"/>
        </w:rPr>
        <w:t xml:space="preserve">ajmä náklady za </w:t>
      </w:r>
      <w:r w:rsidR="00FF6C9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FF6C9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6189829A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73643199" w14:textId="2988FDB7" w:rsidR="00E2144E" w:rsidRDefault="00E2144E" w:rsidP="00E214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3B9FF79F" w14:textId="59B68A80" w:rsidR="00FC2417" w:rsidRPr="005F5DE2" w:rsidRDefault="00D232FE" w:rsidP="003959DB">
      <w:pPr>
        <w:pStyle w:val="CTLhead"/>
        <w:spacing w:line="24" w:lineRule="atLeast"/>
        <w:rPr>
          <w:rFonts w:ascii="Arial Narrow" w:hAnsi="Arial Narrow"/>
          <w:sz w:val="22"/>
        </w:rPr>
      </w:pPr>
      <w:r w:rsidRPr="005F5DE2">
        <w:rPr>
          <w:rFonts w:ascii="Arial Narrow" w:hAnsi="Arial Narrow"/>
          <w:sz w:val="22"/>
        </w:rPr>
        <w:t>Článok VI</w:t>
      </w:r>
      <w:r w:rsidR="00FC2417" w:rsidRPr="005F5DE2">
        <w:rPr>
          <w:rFonts w:ascii="Arial Narrow" w:hAnsi="Arial Narrow"/>
          <w:sz w:val="22"/>
        </w:rPr>
        <w:t>.</w:t>
      </w:r>
    </w:p>
    <w:p w14:paraId="1991329F" w14:textId="470FBE1A" w:rsidR="00FC2417" w:rsidRDefault="00FC2417" w:rsidP="003959DB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Záručná doba a zodpovednosť za vady</w:t>
      </w:r>
    </w:p>
    <w:p w14:paraId="41FCD1B9" w14:textId="77777777" w:rsidR="00E2144E" w:rsidRPr="004D27AE" w:rsidRDefault="00E2144E" w:rsidP="00E2144E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724FCF22" w14:textId="70D8C39C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CA72B1">
        <w:rPr>
          <w:rFonts w:ascii="Arial Narrow" w:hAnsi="Arial Narrow"/>
          <w:sz w:val="22"/>
          <w:szCs w:val="22"/>
        </w:rPr>
        <w:t xml:space="preserve">je </w:t>
      </w:r>
      <w:r w:rsidR="00D232FE">
        <w:rPr>
          <w:rFonts w:ascii="Arial Narrow" w:hAnsi="Arial Narrow"/>
          <w:sz w:val="22"/>
          <w:szCs w:val="22"/>
        </w:rPr>
        <w:t>24 mesiacov</w:t>
      </w:r>
      <w:r w:rsidR="00CA72B1">
        <w:rPr>
          <w:rFonts w:ascii="Arial Narrow" w:hAnsi="Arial Narrow"/>
          <w:sz w:val="22"/>
          <w:szCs w:val="22"/>
        </w:rPr>
        <w:t xml:space="preserve"> </w:t>
      </w:r>
      <w:r w:rsidR="00CA72B1" w:rsidRPr="00B95B09">
        <w:rPr>
          <w:rFonts w:ascii="Arial Narrow" w:hAnsi="Arial Narrow"/>
          <w:sz w:val="22"/>
          <w:szCs w:val="22"/>
        </w:rPr>
        <w:t xml:space="preserve">od </w:t>
      </w:r>
      <w:r w:rsidR="00FF6C96" w:rsidRPr="00B95B09">
        <w:rPr>
          <w:rFonts w:ascii="Arial Narrow" w:hAnsi="Arial Narrow"/>
          <w:sz w:val="22"/>
          <w:szCs w:val="22"/>
        </w:rPr>
        <w:t>pre</w:t>
      </w:r>
      <w:r w:rsidR="00FF6C96">
        <w:rPr>
          <w:rFonts w:ascii="Arial Narrow" w:hAnsi="Arial Narrow"/>
          <w:sz w:val="22"/>
          <w:szCs w:val="22"/>
        </w:rPr>
        <w:t>vzatia</w:t>
      </w:r>
      <w:r w:rsidR="00FF6C96" w:rsidRPr="00B95B09">
        <w:rPr>
          <w:rFonts w:ascii="Arial Narrow" w:hAnsi="Arial Narrow"/>
          <w:sz w:val="22"/>
          <w:szCs w:val="22"/>
        </w:rPr>
        <w:t xml:space="preserve"> </w:t>
      </w:r>
      <w:r w:rsidR="00FF6C96">
        <w:rPr>
          <w:rFonts w:ascii="Arial Narrow" w:hAnsi="Arial Narrow"/>
          <w:sz w:val="22"/>
          <w:szCs w:val="22"/>
        </w:rPr>
        <w:t>tovaru</w:t>
      </w:r>
      <w:r w:rsidR="00CA72B1" w:rsidRPr="00B95B09">
        <w:rPr>
          <w:rFonts w:ascii="Arial Narrow" w:hAnsi="Arial Narrow"/>
          <w:sz w:val="22"/>
          <w:szCs w:val="22"/>
        </w:rPr>
        <w:t xml:space="preserve"> kupujúcim</w:t>
      </w:r>
      <w:r w:rsidR="00CA72B1">
        <w:rPr>
          <w:rFonts w:ascii="Arial Narrow" w:hAnsi="Arial Narrow"/>
          <w:sz w:val="22"/>
          <w:szCs w:val="22"/>
        </w:rPr>
        <w:t xml:space="preserve">, </w:t>
      </w:r>
      <w:r w:rsidR="00CA72B1" w:rsidRPr="00B95B09">
        <w:rPr>
          <w:rFonts w:ascii="Arial Narrow" w:hAnsi="Arial Narrow"/>
          <w:color w:val="000000"/>
          <w:sz w:val="22"/>
          <w:szCs w:val="22"/>
        </w:rPr>
        <w:t xml:space="preserve">pokiaľ na záručnom liste alebo obale </w:t>
      </w:r>
      <w:r w:rsidR="00544FAB">
        <w:rPr>
          <w:rFonts w:ascii="Arial Narrow" w:hAnsi="Arial Narrow"/>
          <w:color w:val="000000"/>
          <w:sz w:val="22"/>
          <w:szCs w:val="22"/>
        </w:rPr>
        <w:t>tovaru</w:t>
      </w:r>
      <w:r w:rsidR="00CA72B1" w:rsidRPr="00B95B09">
        <w:rPr>
          <w:rFonts w:ascii="Arial Narrow" w:hAnsi="Arial Narrow"/>
          <w:color w:val="000000"/>
          <w:sz w:val="22"/>
          <w:szCs w:val="22"/>
        </w:rPr>
        <w:t xml:space="preserve"> nie je vyznačená dlhšia</w:t>
      </w:r>
      <w:r w:rsidR="00544FAB">
        <w:rPr>
          <w:rFonts w:ascii="Arial Narrow" w:hAnsi="Arial Narrow"/>
          <w:color w:val="000000"/>
          <w:sz w:val="22"/>
          <w:szCs w:val="22"/>
        </w:rPr>
        <w:t xml:space="preserve"> záručná</w:t>
      </w:r>
      <w:r w:rsidR="00CA72B1" w:rsidRPr="00B95B09">
        <w:rPr>
          <w:rFonts w:ascii="Arial Narrow" w:hAnsi="Arial Narrow"/>
          <w:color w:val="000000"/>
          <w:sz w:val="22"/>
          <w:szCs w:val="22"/>
        </w:rPr>
        <w:t xml:space="preserve"> doba podľa záručných podmienok výrobcu</w:t>
      </w:r>
      <w:r w:rsidR="00CA72B1" w:rsidRPr="00B95B09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871105D" w:rsidR="00FC2417" w:rsidRPr="004D27AE" w:rsidRDefault="00CA72B1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s</w:t>
      </w:r>
      <w:r w:rsidR="00FC2417" w:rsidRPr="004D27AE">
        <w:rPr>
          <w:rFonts w:ascii="Arial Narrow" w:hAnsi="Arial Narrow"/>
          <w:sz w:val="22"/>
        </w:rPr>
        <w:t xml:space="preserve">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7F19BA1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CA72B1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CA72B1">
        <w:rPr>
          <w:rFonts w:ascii="Arial Narrow" w:hAnsi="Arial Narrow"/>
          <w:sz w:val="22"/>
        </w:rPr>
        <w:t xml:space="preserve">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71FB7B60" w:rsidR="00FC2417" w:rsidRPr="004D27AE" w:rsidRDefault="00CA72B1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77AA9B6C" w14:textId="77777777" w:rsidR="00FF6C96" w:rsidRPr="00F2514A" w:rsidRDefault="00FF6C96" w:rsidP="00FF6C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2514A">
        <w:rPr>
          <w:rFonts w:ascii="Arial Narrow" w:hAnsi="Arial Narrow"/>
          <w:sz w:val="22"/>
        </w:rPr>
        <w:t>Predávajúci je povinný tovar dodať nasledovným spôsobom:</w:t>
      </w:r>
    </w:p>
    <w:p w14:paraId="6719724C" w14:textId="6B7FD8D8" w:rsidR="00FF6C96" w:rsidRPr="00F2514A" w:rsidRDefault="003959DB" w:rsidP="00FF6C96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F2514A">
        <w:rPr>
          <w:rFonts w:ascii="Arial Narrow" w:hAnsi="Arial Narrow"/>
          <w:sz w:val="22"/>
        </w:rPr>
        <w:t xml:space="preserve">a) </w:t>
      </w:r>
      <w:r w:rsidR="00FF6C96" w:rsidRPr="00F2514A">
        <w:rPr>
          <w:rFonts w:ascii="Arial Narrow" w:hAnsi="Arial Narrow"/>
          <w:sz w:val="22"/>
          <w:szCs w:val="22"/>
        </w:rPr>
        <w:t>obaly na zabalenie tovaru budú vyrobené z ľahko recyklovateľného materiálu, alebo materiálu z obnoviteľných zdrojov, alebo sa musí jednať o obalový systém pre opakované použitie, obaly z PVC sú vylúčené,</w:t>
      </w:r>
    </w:p>
    <w:p w14:paraId="5642B562" w14:textId="2117A3E0" w:rsidR="00FF6C96" w:rsidRPr="00F2514A" w:rsidRDefault="003959DB" w:rsidP="00FF6C96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F2514A">
        <w:rPr>
          <w:rFonts w:ascii="Arial Narrow" w:hAnsi="Arial Narrow"/>
          <w:sz w:val="22"/>
          <w:szCs w:val="22"/>
        </w:rPr>
        <w:t xml:space="preserve">b) </w:t>
      </w:r>
      <w:r w:rsidR="00FF6C96" w:rsidRPr="00F2514A">
        <w:rPr>
          <w:rFonts w:ascii="Arial Narrow" w:hAnsi="Arial Narrow"/>
          <w:sz w:val="22"/>
          <w:szCs w:val="22"/>
        </w:rPr>
        <w:t>všetky obalové materiály musia byť ľahko oddeliteľné na recyklovateľné časti tvorené jedným materiálom (napr. lepenka, papier, textília),</w:t>
      </w:r>
    </w:p>
    <w:p w14:paraId="58356065" w14:textId="4BD02460" w:rsidR="00FF6C96" w:rsidRPr="00F2514A" w:rsidRDefault="003959DB" w:rsidP="00FF6C96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F2514A">
        <w:rPr>
          <w:rFonts w:ascii="Arial Narrow" w:hAnsi="Arial Narrow"/>
          <w:sz w:val="22"/>
          <w:szCs w:val="22"/>
        </w:rPr>
        <w:t xml:space="preserve">c) </w:t>
      </w:r>
      <w:r w:rsidR="00FF6C96" w:rsidRPr="00F2514A">
        <w:rPr>
          <w:rFonts w:ascii="Arial Narrow" w:hAnsi="Arial Narrow"/>
          <w:sz w:val="22"/>
          <w:szCs w:val="22"/>
        </w:rPr>
        <w:t>po písomnom vyzvaní kupujúcim, predávajúci zabezpečí odvoz materiálu použitého na zabalenie tovaru, ktorý je možné opätovne recyklovať a zabezpečiť jeho opätovné použitie formou recyklácie v recyklačných zariadeniach s regionálnou pôsobnosťou a zabezpečí likvidáciu materiálu použitého na zabalenie predmetu zákazky, ktorý nie je možné opätovne recyklovať, v zariadeniach na zhodnocovanie energie s regionálnou pôsobnosťou,</w:t>
      </w:r>
    </w:p>
    <w:p w14:paraId="5CA900DE" w14:textId="56B80B6C" w:rsidR="00FF6C96" w:rsidRPr="00F2514A" w:rsidRDefault="003959DB" w:rsidP="005F5DE2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  <w:r w:rsidRPr="00F2514A">
        <w:rPr>
          <w:rFonts w:ascii="Arial Narrow" w:hAnsi="Arial Narrow"/>
          <w:sz w:val="22"/>
          <w:szCs w:val="22"/>
        </w:rPr>
        <w:t xml:space="preserve">d) </w:t>
      </w:r>
      <w:r w:rsidR="00FF6C96" w:rsidRPr="00F2514A">
        <w:rPr>
          <w:rFonts w:ascii="Arial Narrow" w:hAnsi="Arial Narrow"/>
          <w:sz w:val="22"/>
          <w:szCs w:val="22"/>
        </w:rPr>
        <w:t>najneskôr do 5 dní odo dňa nadobudnutia účinnosti tejto zmluvy doručí kupujúcemu v súlade s bodom 10.2 zoznam recyklačných zariadení a zariadení na zhodnocovanie energie s regionálnou pôsobnosťou na udelenie súhlasu kupujúcim, kupujúci sa zaväzuje, že udelenie súhlasu nebude bezdôvodne odoprené</w:t>
      </w:r>
      <w:r w:rsidR="004C5C1C" w:rsidRPr="00F2514A">
        <w:rPr>
          <w:rFonts w:ascii="Arial Narrow" w:hAnsi="Arial Narrow"/>
          <w:sz w:val="22"/>
          <w:szCs w:val="22"/>
        </w:rPr>
        <w:t>.</w:t>
      </w:r>
    </w:p>
    <w:p w14:paraId="25A0EBDD" w14:textId="1381265A" w:rsidR="00FC2417" w:rsidRPr="00F2514A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2514A">
        <w:rPr>
          <w:rFonts w:ascii="Arial Narrow" w:hAnsi="Arial Narrow"/>
          <w:sz w:val="22"/>
        </w:rPr>
        <w:t>Kupujúci je povinný:</w:t>
      </w:r>
    </w:p>
    <w:p w14:paraId="2985504F" w14:textId="2BBA1059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CA72B1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CA72B1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8FCEBBF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62A177FB" w:rsidR="00622DC5" w:rsidRPr="002736E1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3836646" w14:textId="08EFB11A" w:rsidR="00357D06" w:rsidRPr="00B02C77" w:rsidRDefault="00357D06" w:rsidP="00502B5E">
      <w:pPr>
        <w:tabs>
          <w:tab w:val="clear" w:pos="2160"/>
          <w:tab w:val="clear" w:pos="2880"/>
        </w:tabs>
        <w:spacing w:line="276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04B9BE15" w14:textId="328C4EF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</w:t>
      </w:r>
      <w:r w:rsidR="00A02C55">
        <w:rPr>
          <w:rFonts w:ascii="Arial Narrow" w:hAnsi="Arial Narrow" w:cs="Calibri"/>
          <w:sz w:val="22"/>
          <w:szCs w:val="22"/>
        </w:rPr>
        <w:t>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2FF3D8C" w14:textId="46D53D32" w:rsidR="00FC2417" w:rsidRPr="004D27AE" w:rsidRDefault="000A4E58" w:rsidP="004C5C1C">
      <w:pPr>
        <w:pStyle w:val="CTL"/>
        <w:numPr>
          <w:ilvl w:val="0"/>
          <w:numId w:val="0"/>
        </w:numPr>
        <w:spacing w:line="24" w:lineRule="atLeast"/>
        <w:ind w:left="709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F6C96">
        <w:rPr>
          <w:rFonts w:ascii="Arial Narrow" w:hAnsi="Arial Narrow"/>
          <w:sz w:val="22"/>
        </w:rPr>
        <w:t>z</w:t>
      </w:r>
      <w:r w:rsidR="00F50D9F" w:rsidRPr="004D27AE">
        <w:rPr>
          <w:rFonts w:ascii="Arial Narrow" w:hAnsi="Arial Narrow"/>
          <w:sz w:val="22"/>
        </w:rPr>
        <w:t xml:space="preserve">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7D997503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FF6C96">
        <w:rPr>
          <w:rFonts w:ascii="Arial Narrow" w:hAnsi="Arial Narrow" w:cs="Calibri"/>
          <w:sz w:val="22"/>
          <w:szCs w:val="22"/>
          <w:lang w:val="sk-SK"/>
        </w:rPr>
        <w:t>(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F73231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A02C55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7F5FFC">
        <w:rPr>
          <w:rFonts w:ascii="Arial Narrow" w:hAnsi="Arial Narrow" w:cs="Calibri"/>
          <w:sz w:val="22"/>
          <w:szCs w:val="22"/>
          <w:lang w:val="sk-SK"/>
        </w:rPr>
        <w:t>3.</w:t>
      </w:r>
      <w:r w:rsidRPr="004D27AE">
        <w:rPr>
          <w:rFonts w:ascii="Arial Narrow" w:hAnsi="Arial Narrow"/>
          <w:sz w:val="22"/>
          <w:lang w:val="sk-SK"/>
        </w:rPr>
        <w:t xml:space="preserve"> tejto zmluvy</w:t>
      </w:r>
      <w:r w:rsidR="007F5FFC">
        <w:rPr>
          <w:rFonts w:ascii="Arial Narrow" w:hAnsi="Arial Narrow"/>
          <w:sz w:val="22"/>
          <w:lang w:val="sk-SK"/>
        </w:rPr>
        <w:t xml:space="preserve">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</w:t>
      </w:r>
      <w:r w:rsidR="00FF6C96">
        <w:rPr>
          <w:rFonts w:ascii="Arial Narrow" w:hAnsi="Arial Narrow"/>
          <w:sz w:val="22"/>
          <w:lang w:val="sk-SK"/>
        </w:rPr>
        <w:t xml:space="preserve"> celkovej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48CA7C45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A02C55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 xml:space="preserve">je </w:t>
      </w:r>
      <w:r w:rsidR="00FF6C96">
        <w:rPr>
          <w:rFonts w:ascii="Arial Narrow" w:hAnsi="Arial Narrow"/>
          <w:sz w:val="22"/>
          <w:lang w:val="sk-SK"/>
        </w:rPr>
        <w:t>k</w:t>
      </w:r>
      <w:proofErr w:type="spellStart"/>
      <w:r w:rsidRPr="004D27AE">
        <w:rPr>
          <w:rFonts w:ascii="Arial Narrow" w:hAnsi="Arial Narrow"/>
          <w:sz w:val="22"/>
        </w:rPr>
        <w:t>upujúci</w:t>
      </w:r>
      <w:proofErr w:type="spellEnd"/>
      <w:r w:rsidRPr="004D27AE">
        <w:rPr>
          <w:rFonts w:ascii="Arial Narrow" w:hAnsi="Arial Narrow"/>
          <w:sz w:val="22"/>
        </w:rPr>
        <w:t xml:space="preserve">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6A0FEF26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FF6C96">
        <w:rPr>
          <w:rFonts w:ascii="Arial Narrow" w:hAnsi="Arial Narrow"/>
          <w:sz w:val="22"/>
          <w:lang w:val="sk-SK"/>
        </w:rPr>
        <w:t xml:space="preserve"> od kupujúceho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4C42A01A" w14:textId="032AE9BB" w:rsidR="00FF6C96" w:rsidRPr="00F2514A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A02C55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A02C55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</w:t>
      </w:r>
      <w:r w:rsidR="00FF6C96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F2514A">
        <w:rPr>
          <w:rFonts w:ascii="Arial Narrow" w:hAnsi="Arial Narrow"/>
          <w:sz w:val="22"/>
          <w:lang w:val="sk-SK"/>
        </w:rPr>
        <w:t>10 % z</w:t>
      </w:r>
      <w:r w:rsidR="005014F7" w:rsidRPr="00F2514A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F2514A">
        <w:rPr>
          <w:rFonts w:ascii="Arial Narrow" w:hAnsi="Arial Narrow"/>
          <w:sz w:val="22"/>
          <w:lang w:val="sk-SK"/>
        </w:rPr>
        <w:t>ceny</w:t>
      </w:r>
      <w:r w:rsidR="005014F7" w:rsidRPr="00F2514A">
        <w:rPr>
          <w:rFonts w:ascii="Arial Narrow" w:hAnsi="Arial Narrow"/>
          <w:sz w:val="22"/>
          <w:lang w:val="sk-SK"/>
        </w:rPr>
        <w:t xml:space="preserve"> </w:t>
      </w:r>
      <w:r w:rsidR="003E3A47" w:rsidRPr="00F2514A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FF6C96" w:rsidRPr="00F2514A">
        <w:rPr>
          <w:rFonts w:ascii="Arial Narrow" w:hAnsi="Arial Narrow"/>
          <w:sz w:val="22"/>
          <w:lang w:val="sk-SK"/>
        </w:rPr>
        <w:t>,</w:t>
      </w:r>
    </w:p>
    <w:p w14:paraId="5DA96BB2" w14:textId="77777777" w:rsidR="00FF6C96" w:rsidRPr="00F2514A" w:rsidRDefault="00FF6C96" w:rsidP="00FF6C96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</w:rPr>
      </w:pPr>
      <w:r w:rsidRPr="00F2514A">
        <w:rPr>
          <w:rFonts w:ascii="Arial Narrow" w:hAnsi="Arial Narrow"/>
          <w:sz w:val="22"/>
          <w:lang w:val="sk-SK"/>
        </w:rPr>
        <w:t>v prípade</w:t>
      </w:r>
      <w:r w:rsidRPr="00F2514A">
        <w:rPr>
          <w:rFonts w:ascii="Arial Narrow" w:hAnsi="Arial Narrow"/>
          <w:sz w:val="22"/>
        </w:rPr>
        <w:t xml:space="preserve">, že </w:t>
      </w:r>
      <w:r w:rsidRPr="00F2514A">
        <w:rPr>
          <w:rFonts w:ascii="Arial Narrow" w:hAnsi="Arial Narrow"/>
          <w:sz w:val="22"/>
          <w:lang w:val="sk-SK"/>
        </w:rPr>
        <w:t xml:space="preserve">predávajúci nesplní povinnosti uvedené v čl. VII bod 7.3 tejto zmluvy </w:t>
      </w:r>
      <w:r w:rsidRPr="00F2514A">
        <w:rPr>
          <w:rFonts w:ascii="Arial Narrow" w:hAnsi="Arial Narrow"/>
          <w:sz w:val="22"/>
        </w:rPr>
        <w:t>je kupujúci oprávnený uplatniť si</w:t>
      </w:r>
      <w:r w:rsidRPr="00F2514A">
        <w:rPr>
          <w:rFonts w:ascii="Arial Narrow" w:hAnsi="Arial Narrow" w:cs="Calibri"/>
          <w:sz w:val="22"/>
          <w:szCs w:val="22"/>
        </w:rPr>
        <w:t xml:space="preserve"> </w:t>
      </w:r>
      <w:r w:rsidRPr="00F2514A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F2514A">
        <w:rPr>
          <w:rFonts w:ascii="Arial Narrow" w:hAnsi="Arial Narrow"/>
          <w:sz w:val="22"/>
        </w:rPr>
        <w:t xml:space="preserve"> zmluvnú pokutu vo výške </w:t>
      </w:r>
      <w:r w:rsidRPr="00F2514A">
        <w:rPr>
          <w:rFonts w:ascii="Arial Narrow" w:hAnsi="Arial Narrow"/>
          <w:sz w:val="22"/>
          <w:lang w:val="sk-SK"/>
        </w:rPr>
        <w:t>10</w:t>
      </w:r>
      <w:r w:rsidRPr="00F2514A">
        <w:rPr>
          <w:rFonts w:ascii="Arial Narrow" w:hAnsi="Arial Narrow"/>
          <w:sz w:val="22"/>
          <w:szCs w:val="22"/>
        </w:rPr>
        <w:t xml:space="preserve"> % z celkovej </w:t>
      </w:r>
      <w:r w:rsidRPr="00F2514A">
        <w:rPr>
          <w:rFonts w:ascii="Arial Narrow" w:hAnsi="Arial Narrow"/>
          <w:sz w:val="22"/>
          <w:szCs w:val="22"/>
          <w:lang w:val="sk-SK"/>
        </w:rPr>
        <w:t xml:space="preserve">ceny tovaru </w:t>
      </w:r>
      <w:r w:rsidRPr="00F2514A">
        <w:rPr>
          <w:rFonts w:ascii="Arial Narrow" w:hAnsi="Arial Narrow"/>
          <w:sz w:val="22"/>
          <w:szCs w:val="22"/>
        </w:rPr>
        <w:t xml:space="preserve">uvedenej v prílohe č. 1 k tejto zmluve. </w:t>
      </w:r>
    </w:p>
    <w:p w14:paraId="08266F03" w14:textId="7A7CAC32" w:rsidR="00503DEC" w:rsidRPr="004D27AE" w:rsidRDefault="00503DEC" w:rsidP="005F5DE2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70EB8EDB" w:rsidR="00582DCF" w:rsidRPr="004D27AE" w:rsidRDefault="00A02C55" w:rsidP="00A02C55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>Zaplatením zmluvnej pokuty</w:t>
      </w:r>
      <w:r w:rsidR="00FF6C96">
        <w:rPr>
          <w:rFonts w:ascii="Arial Narrow" w:hAnsi="Arial Narrow"/>
          <w:sz w:val="22"/>
        </w:rPr>
        <w:t>/zmluvných pokút</w:t>
      </w:r>
      <w:r w:rsidR="006056F6"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69EFD19B" w:rsidR="00613A8C" w:rsidRDefault="00A02C55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3C32DC1F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A02C55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35C7887C" w:rsidR="00FC2417" w:rsidRPr="004D27AE" w:rsidRDefault="00A02C55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5E76ED6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písomnou dohodou </w:t>
      </w:r>
      <w:r w:rsidR="00FF6C96">
        <w:rPr>
          <w:rFonts w:ascii="Arial Narrow" w:hAnsi="Arial Narrow"/>
          <w:sz w:val="22"/>
          <w:lang w:val="sk-SK"/>
        </w:rPr>
        <w:t>z</w:t>
      </w:r>
      <w:r w:rsidRPr="004D27AE">
        <w:rPr>
          <w:rFonts w:ascii="Arial Narrow" w:hAnsi="Arial Narrow"/>
          <w:sz w:val="22"/>
          <w:lang w:val="sk-SK"/>
        </w:rPr>
        <w:t>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 xml:space="preserve">končení zmluvy sa súčasne upravia nároky </w:t>
      </w:r>
      <w:r w:rsidR="00FF6C96">
        <w:rPr>
          <w:rFonts w:ascii="Arial Narrow" w:hAnsi="Arial Narrow"/>
          <w:sz w:val="22"/>
          <w:lang w:val="sk-SK"/>
        </w:rPr>
        <w:t>z</w:t>
      </w:r>
      <w:r w:rsidR="00543852" w:rsidRPr="004D27AE">
        <w:rPr>
          <w:rFonts w:ascii="Arial Narrow" w:hAnsi="Arial Narrow"/>
          <w:sz w:val="22"/>
          <w:lang w:val="sk-SK"/>
        </w:rPr>
        <w:t>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5ED2CC2B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Odstúpenie od zmluvy sa uskutoční písomným oznámením odstupujúcej </w:t>
      </w:r>
      <w:r w:rsidR="00FF6C96">
        <w:rPr>
          <w:rFonts w:ascii="Arial Narrow" w:hAnsi="Arial Narrow"/>
          <w:sz w:val="22"/>
          <w:lang w:val="sk-SK"/>
        </w:rPr>
        <w:t>z</w:t>
      </w:r>
      <w:r w:rsidRPr="004D27AE">
        <w:rPr>
          <w:rFonts w:ascii="Arial Narrow" w:hAnsi="Arial Narrow"/>
          <w:sz w:val="22"/>
          <w:lang w:val="sk-SK"/>
        </w:rPr>
        <w:t xml:space="preserve">mluvnej strany adresovaným druhej </w:t>
      </w:r>
      <w:r w:rsidR="00FF6C96">
        <w:rPr>
          <w:rFonts w:ascii="Arial Narrow" w:hAnsi="Arial Narrow"/>
          <w:sz w:val="22"/>
          <w:lang w:val="sk-SK"/>
        </w:rPr>
        <w:t>z</w:t>
      </w:r>
      <w:r w:rsidRPr="004D27AE">
        <w:rPr>
          <w:rFonts w:ascii="Arial Narrow" w:hAnsi="Arial Narrow"/>
          <w:sz w:val="22"/>
          <w:lang w:val="sk-SK"/>
        </w:rPr>
        <w:t xml:space="preserve">mluvnej strane zároveň s uvedením dôvodu odstúpenia od zmluvy a je účinné okamihom jeho </w:t>
      </w:r>
      <w:r w:rsidRPr="004D27AE">
        <w:rPr>
          <w:rFonts w:ascii="Arial Narrow" w:hAnsi="Arial Narrow"/>
          <w:sz w:val="22"/>
          <w:lang w:val="sk-SK"/>
        </w:rPr>
        <w:lastRenderedPageBreak/>
        <w:t>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</w:t>
      </w:r>
      <w:r w:rsidR="00FF6C96">
        <w:rPr>
          <w:rFonts w:ascii="Arial Narrow" w:hAnsi="Arial Narrow"/>
          <w:sz w:val="22"/>
          <w:lang w:val="sk-SK"/>
        </w:rPr>
        <w:t>z</w:t>
      </w:r>
      <w:r w:rsidRPr="004D27AE">
        <w:rPr>
          <w:rFonts w:ascii="Arial Narrow" w:hAnsi="Arial Narrow"/>
          <w:sz w:val="22"/>
          <w:lang w:val="sk-SK"/>
        </w:rPr>
        <w:t>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120E7755" w:rsidR="00D5473D" w:rsidRPr="004D27AE" w:rsidRDefault="00FC2417" w:rsidP="00A02C5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A02C55">
        <w:rPr>
          <w:rFonts w:ascii="Arial Narrow" w:hAnsi="Arial Narrow" w:cs="Calibri"/>
          <w:sz w:val="22"/>
          <w:szCs w:val="22"/>
          <w:lang w:val="sk-SK"/>
        </w:rPr>
        <w:t xml:space="preserve"> po lehote jej </w:t>
      </w:r>
      <w:r w:rsidR="00622DC5"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7F6A39B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A02C55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A02C55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43183FF" w14:textId="402CB647" w:rsidR="00DD6996" w:rsidRPr="00CB761A" w:rsidRDefault="00A02C55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X</w:t>
      </w:r>
      <w:r w:rsidR="00DD6996"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F2514A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6D6FE8BD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="00F02363">
        <w:rPr>
          <w:rFonts w:ascii="Arial Narrow" w:hAnsi="Arial Narrow"/>
        </w:rPr>
        <w:t xml:space="preserve"> </w:t>
      </w:r>
      <w:proofErr w:type="spellStart"/>
      <w:r w:rsidR="00F02363" w:rsidRPr="00C33AE6">
        <w:rPr>
          <w:rFonts w:ascii="Arial Narrow" w:hAnsi="Arial Narrow"/>
        </w:rPr>
        <w:t>xxxxxxxxxxxxxxxxxx</w:t>
      </w:r>
      <w:proofErr w:type="spellEnd"/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3A7DF89B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F02363" w:rsidRPr="00C33AE6">
        <w:rPr>
          <w:rFonts w:ascii="Arial Narrow" w:hAnsi="Arial Narrow"/>
        </w:rPr>
        <w:t>xxxxxxxxxxxxxxxxxx</w:t>
      </w:r>
      <w:proofErr w:type="spellEnd"/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2DD0C4B8" w14:textId="77777777" w:rsidR="008C6AAD" w:rsidRPr="00E5390A" w:rsidRDefault="008C6AAD" w:rsidP="008C6AAD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5390A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3ADBF221" w14:textId="77777777" w:rsidR="00357D06" w:rsidRPr="00C33AE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</w:p>
    <w:p w14:paraId="5A632C46" w14:textId="0447CC0D" w:rsidR="00111BE1" w:rsidRPr="00AD32D1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446BFD0D" w14:textId="77777777" w:rsidR="00AD32D1" w:rsidRPr="00C33AE6" w:rsidRDefault="00AD32D1" w:rsidP="00AD32D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15001" w14:textId="77777777" w:rsidR="0066445A" w:rsidRDefault="0066445A" w:rsidP="00983CE3">
      <w:r>
        <w:separator/>
      </w:r>
    </w:p>
  </w:endnote>
  <w:endnote w:type="continuationSeparator" w:id="0">
    <w:p w14:paraId="26CC8069" w14:textId="77777777" w:rsidR="0066445A" w:rsidRDefault="0066445A" w:rsidP="00983CE3">
      <w:r>
        <w:continuationSeparator/>
      </w:r>
    </w:p>
  </w:endnote>
  <w:endnote w:type="continuationNotice" w:id="1">
    <w:p w14:paraId="20819BBA" w14:textId="77777777" w:rsidR="0066445A" w:rsidRDefault="00664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</w:rPr>
    </w:sdtEndPr>
    <w:sdtContent>
      <w:p w14:paraId="39084C5E" w14:textId="3F7720BF" w:rsidR="00DD6996" w:rsidRPr="003959DB" w:rsidRDefault="00DD6996">
        <w:pPr>
          <w:pStyle w:val="Pta"/>
          <w:jc w:val="right"/>
          <w:rPr>
            <w:rFonts w:ascii="Arial Narrow" w:hAnsi="Arial Narrow"/>
            <w:sz w:val="16"/>
          </w:rPr>
        </w:pPr>
        <w:r w:rsidRPr="003959DB">
          <w:rPr>
            <w:rFonts w:ascii="Arial Narrow" w:hAnsi="Arial Narrow"/>
            <w:sz w:val="16"/>
          </w:rPr>
          <w:fldChar w:fldCharType="begin"/>
        </w:r>
        <w:r w:rsidRPr="000A4E58">
          <w:rPr>
            <w:rFonts w:ascii="Arial Narrow" w:hAnsi="Arial Narrow"/>
            <w:sz w:val="16"/>
            <w:szCs w:val="16"/>
          </w:rPr>
          <w:instrText>PAGE   \* MERGEFORMAT</w:instrText>
        </w:r>
        <w:r w:rsidRPr="003959DB">
          <w:rPr>
            <w:rFonts w:ascii="Arial Narrow" w:hAnsi="Arial Narrow"/>
            <w:sz w:val="16"/>
          </w:rPr>
          <w:fldChar w:fldCharType="separate"/>
        </w:r>
        <w:r w:rsidR="00F163F5">
          <w:rPr>
            <w:rFonts w:ascii="Arial Narrow" w:hAnsi="Arial Narrow"/>
            <w:noProof/>
            <w:sz w:val="16"/>
            <w:szCs w:val="16"/>
          </w:rPr>
          <w:t>7</w:t>
        </w:r>
        <w:r w:rsidRPr="003959DB">
          <w:rPr>
            <w:rFonts w:ascii="Arial Narrow" w:hAnsi="Arial Narrow"/>
            <w:sz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63D15" w14:textId="77777777" w:rsidR="0066445A" w:rsidRDefault="0066445A" w:rsidP="00983CE3">
      <w:r>
        <w:separator/>
      </w:r>
    </w:p>
  </w:footnote>
  <w:footnote w:type="continuationSeparator" w:id="0">
    <w:p w14:paraId="70B77478" w14:textId="77777777" w:rsidR="0066445A" w:rsidRDefault="0066445A" w:rsidP="00983CE3">
      <w:r>
        <w:continuationSeparator/>
      </w:r>
    </w:p>
  </w:footnote>
  <w:footnote w:type="continuationNotice" w:id="1">
    <w:p w14:paraId="0C56BBAF" w14:textId="77777777" w:rsidR="0066445A" w:rsidRDefault="006644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900484D"/>
    <w:multiLevelType w:val="hybridMultilevel"/>
    <w:tmpl w:val="749C04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4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9"/>
  </w:num>
  <w:num w:numId="5">
    <w:abstractNumId w:val="50"/>
  </w:num>
  <w:num w:numId="6">
    <w:abstractNumId w:val="16"/>
  </w:num>
  <w:num w:numId="7">
    <w:abstractNumId w:val="27"/>
  </w:num>
  <w:num w:numId="8">
    <w:abstractNumId w:val="44"/>
  </w:num>
  <w:num w:numId="9">
    <w:abstractNumId w:val="47"/>
  </w:num>
  <w:num w:numId="10">
    <w:abstractNumId w:val="29"/>
  </w:num>
  <w:num w:numId="11">
    <w:abstractNumId w:val="22"/>
  </w:num>
  <w:num w:numId="12">
    <w:abstractNumId w:val="14"/>
  </w:num>
  <w:num w:numId="13">
    <w:abstractNumId w:val="18"/>
  </w:num>
  <w:num w:numId="14">
    <w:abstractNumId w:val="32"/>
  </w:num>
  <w:num w:numId="15">
    <w:abstractNumId w:val="21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2"/>
  </w:num>
  <w:num w:numId="29">
    <w:abstractNumId w:val="37"/>
  </w:num>
  <w:num w:numId="30">
    <w:abstractNumId w:val="36"/>
  </w:num>
  <w:num w:numId="31">
    <w:abstractNumId w:val="26"/>
  </w:num>
  <w:num w:numId="32">
    <w:abstractNumId w:val="34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5"/>
  </w:num>
  <w:num w:numId="45">
    <w:abstractNumId w:val="40"/>
  </w:num>
  <w:num w:numId="46">
    <w:abstractNumId w:val="23"/>
  </w:num>
  <w:num w:numId="47">
    <w:abstractNumId w:val="43"/>
  </w:num>
  <w:num w:numId="48">
    <w:abstractNumId w:val="33"/>
  </w:num>
  <w:num w:numId="49">
    <w:abstractNumId w:val="31"/>
  </w:num>
  <w:num w:numId="50">
    <w:abstractNumId w:val="19"/>
  </w:num>
  <w:num w:numId="51">
    <w:abstractNumId w:val="25"/>
  </w:num>
  <w:num w:numId="52">
    <w:abstractNumId w:val="39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</w:num>
  <w:num w:numId="63">
    <w:abstractNumId w:val="45"/>
  </w:num>
  <w:num w:numId="64">
    <w:abstractNumId w:val="28"/>
  </w:num>
  <w:num w:numId="65">
    <w:abstractNumId w:val="20"/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gUArwLc+SwAAAA="/>
  </w:docVars>
  <w:rsids>
    <w:rsidRoot w:val="00FC2417"/>
    <w:rsid w:val="0000767C"/>
    <w:rsid w:val="0001354E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4E58"/>
    <w:rsid w:val="000A644D"/>
    <w:rsid w:val="000B3709"/>
    <w:rsid w:val="000B3A0C"/>
    <w:rsid w:val="000B4043"/>
    <w:rsid w:val="000B4ECA"/>
    <w:rsid w:val="000B5370"/>
    <w:rsid w:val="000B6765"/>
    <w:rsid w:val="000C0067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5D9"/>
    <w:rsid w:val="00166A1C"/>
    <w:rsid w:val="0017463A"/>
    <w:rsid w:val="001822E3"/>
    <w:rsid w:val="0018384E"/>
    <w:rsid w:val="00187189"/>
    <w:rsid w:val="001939BD"/>
    <w:rsid w:val="001A0C40"/>
    <w:rsid w:val="001A1D1B"/>
    <w:rsid w:val="001A6AEF"/>
    <w:rsid w:val="001B01D3"/>
    <w:rsid w:val="001B18BD"/>
    <w:rsid w:val="001B4B11"/>
    <w:rsid w:val="001B5406"/>
    <w:rsid w:val="001C1564"/>
    <w:rsid w:val="001C1E38"/>
    <w:rsid w:val="001C7204"/>
    <w:rsid w:val="001D0C05"/>
    <w:rsid w:val="001D117F"/>
    <w:rsid w:val="001D67E7"/>
    <w:rsid w:val="001E174B"/>
    <w:rsid w:val="001F026E"/>
    <w:rsid w:val="001F4EE1"/>
    <w:rsid w:val="00201137"/>
    <w:rsid w:val="002036A5"/>
    <w:rsid w:val="0021612E"/>
    <w:rsid w:val="00216D53"/>
    <w:rsid w:val="00223693"/>
    <w:rsid w:val="002258B5"/>
    <w:rsid w:val="0023083E"/>
    <w:rsid w:val="00232340"/>
    <w:rsid w:val="00234CC9"/>
    <w:rsid w:val="00241A9A"/>
    <w:rsid w:val="002500F9"/>
    <w:rsid w:val="0025448F"/>
    <w:rsid w:val="0025789F"/>
    <w:rsid w:val="002618BA"/>
    <w:rsid w:val="002644AA"/>
    <w:rsid w:val="002725FA"/>
    <w:rsid w:val="002736E1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533F"/>
    <w:rsid w:val="00336D81"/>
    <w:rsid w:val="003465F8"/>
    <w:rsid w:val="00353C6A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59DB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E79B4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46A40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C5C1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2B5E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4FAB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87604"/>
    <w:rsid w:val="00593CAE"/>
    <w:rsid w:val="005961BD"/>
    <w:rsid w:val="005979C1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5DE2"/>
    <w:rsid w:val="0060327D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6381"/>
    <w:rsid w:val="00627621"/>
    <w:rsid w:val="00636CA9"/>
    <w:rsid w:val="0064007D"/>
    <w:rsid w:val="00644E98"/>
    <w:rsid w:val="006459FE"/>
    <w:rsid w:val="006479B1"/>
    <w:rsid w:val="0066445A"/>
    <w:rsid w:val="006710D7"/>
    <w:rsid w:val="00671792"/>
    <w:rsid w:val="00675C28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57E"/>
    <w:rsid w:val="006E7843"/>
    <w:rsid w:val="006F1081"/>
    <w:rsid w:val="006F2067"/>
    <w:rsid w:val="006F23C1"/>
    <w:rsid w:val="006F2A19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1A48"/>
    <w:rsid w:val="00794896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E7186"/>
    <w:rsid w:val="007F32BF"/>
    <w:rsid w:val="007F5808"/>
    <w:rsid w:val="007F5FFC"/>
    <w:rsid w:val="00806255"/>
    <w:rsid w:val="00816278"/>
    <w:rsid w:val="008434BF"/>
    <w:rsid w:val="008503DC"/>
    <w:rsid w:val="00853F92"/>
    <w:rsid w:val="00866950"/>
    <w:rsid w:val="00871303"/>
    <w:rsid w:val="00871650"/>
    <w:rsid w:val="008736CC"/>
    <w:rsid w:val="00875F1A"/>
    <w:rsid w:val="008808C4"/>
    <w:rsid w:val="00880C7A"/>
    <w:rsid w:val="008A3759"/>
    <w:rsid w:val="008A5A46"/>
    <w:rsid w:val="008A780A"/>
    <w:rsid w:val="008B47C9"/>
    <w:rsid w:val="008B5D71"/>
    <w:rsid w:val="008C415C"/>
    <w:rsid w:val="008C420E"/>
    <w:rsid w:val="008C65F2"/>
    <w:rsid w:val="008C6AAD"/>
    <w:rsid w:val="008D1565"/>
    <w:rsid w:val="008D3DA8"/>
    <w:rsid w:val="008E1AA4"/>
    <w:rsid w:val="008E5017"/>
    <w:rsid w:val="008E72A7"/>
    <w:rsid w:val="008F0B5A"/>
    <w:rsid w:val="008F5D3B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1F64"/>
    <w:rsid w:val="00982C25"/>
    <w:rsid w:val="00983402"/>
    <w:rsid w:val="00983C00"/>
    <w:rsid w:val="00983CE3"/>
    <w:rsid w:val="00984481"/>
    <w:rsid w:val="009856C5"/>
    <w:rsid w:val="009938E1"/>
    <w:rsid w:val="00997F19"/>
    <w:rsid w:val="009B030F"/>
    <w:rsid w:val="009C4031"/>
    <w:rsid w:val="009D018F"/>
    <w:rsid w:val="009D0370"/>
    <w:rsid w:val="009E27DA"/>
    <w:rsid w:val="009E3F1C"/>
    <w:rsid w:val="009E5D1A"/>
    <w:rsid w:val="009F0BCA"/>
    <w:rsid w:val="009F0C40"/>
    <w:rsid w:val="009F1433"/>
    <w:rsid w:val="009F3F1B"/>
    <w:rsid w:val="009F7778"/>
    <w:rsid w:val="00A005C0"/>
    <w:rsid w:val="00A009D1"/>
    <w:rsid w:val="00A02C55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24A2"/>
    <w:rsid w:val="00A97B98"/>
    <w:rsid w:val="00AA04A6"/>
    <w:rsid w:val="00AA2E02"/>
    <w:rsid w:val="00AA5611"/>
    <w:rsid w:val="00AA6F2E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602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6DEE"/>
    <w:rsid w:val="00B67577"/>
    <w:rsid w:val="00B71A81"/>
    <w:rsid w:val="00B71E5F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02AF"/>
    <w:rsid w:val="00BB38A2"/>
    <w:rsid w:val="00BB427D"/>
    <w:rsid w:val="00BB6F56"/>
    <w:rsid w:val="00BB79AD"/>
    <w:rsid w:val="00BB7E38"/>
    <w:rsid w:val="00BC2B1E"/>
    <w:rsid w:val="00BC2C18"/>
    <w:rsid w:val="00BD7B3F"/>
    <w:rsid w:val="00BE1E37"/>
    <w:rsid w:val="00BE4A65"/>
    <w:rsid w:val="00BE6BF3"/>
    <w:rsid w:val="00BE7664"/>
    <w:rsid w:val="00BF0AE1"/>
    <w:rsid w:val="00BF68A0"/>
    <w:rsid w:val="00C0423C"/>
    <w:rsid w:val="00C06DB6"/>
    <w:rsid w:val="00C06E1F"/>
    <w:rsid w:val="00C071EA"/>
    <w:rsid w:val="00C30E73"/>
    <w:rsid w:val="00C33AE6"/>
    <w:rsid w:val="00C348A1"/>
    <w:rsid w:val="00C61439"/>
    <w:rsid w:val="00C63B11"/>
    <w:rsid w:val="00C7321E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2B1"/>
    <w:rsid w:val="00CA7569"/>
    <w:rsid w:val="00CB3294"/>
    <w:rsid w:val="00CB3BD5"/>
    <w:rsid w:val="00CB761A"/>
    <w:rsid w:val="00CB7E78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4C1B"/>
    <w:rsid w:val="00D058E5"/>
    <w:rsid w:val="00D07BDB"/>
    <w:rsid w:val="00D232FE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64FCA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C68DD"/>
    <w:rsid w:val="00DD08B7"/>
    <w:rsid w:val="00DD1793"/>
    <w:rsid w:val="00DD67B5"/>
    <w:rsid w:val="00DD6996"/>
    <w:rsid w:val="00DE2E90"/>
    <w:rsid w:val="00DE6451"/>
    <w:rsid w:val="00DF13AE"/>
    <w:rsid w:val="00DF70CA"/>
    <w:rsid w:val="00E05266"/>
    <w:rsid w:val="00E0559D"/>
    <w:rsid w:val="00E06AEC"/>
    <w:rsid w:val="00E06EF8"/>
    <w:rsid w:val="00E2144E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09F7"/>
    <w:rsid w:val="00E84A23"/>
    <w:rsid w:val="00E912A7"/>
    <w:rsid w:val="00E94266"/>
    <w:rsid w:val="00E9552D"/>
    <w:rsid w:val="00E97A3E"/>
    <w:rsid w:val="00EA047C"/>
    <w:rsid w:val="00EA1188"/>
    <w:rsid w:val="00EA36F3"/>
    <w:rsid w:val="00EA5F24"/>
    <w:rsid w:val="00EA5F58"/>
    <w:rsid w:val="00EC512C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2543"/>
    <w:rsid w:val="00EF7F7E"/>
    <w:rsid w:val="00F01D61"/>
    <w:rsid w:val="00F02363"/>
    <w:rsid w:val="00F0274A"/>
    <w:rsid w:val="00F04A8E"/>
    <w:rsid w:val="00F07F10"/>
    <w:rsid w:val="00F135EA"/>
    <w:rsid w:val="00F14A91"/>
    <w:rsid w:val="00F151BD"/>
    <w:rsid w:val="00F163F5"/>
    <w:rsid w:val="00F167DD"/>
    <w:rsid w:val="00F21217"/>
    <w:rsid w:val="00F223A9"/>
    <w:rsid w:val="00F236FE"/>
    <w:rsid w:val="00F2456B"/>
    <w:rsid w:val="00F2514A"/>
    <w:rsid w:val="00F35032"/>
    <w:rsid w:val="00F432CD"/>
    <w:rsid w:val="00F436F6"/>
    <w:rsid w:val="00F45682"/>
    <w:rsid w:val="00F50D9F"/>
    <w:rsid w:val="00F560BE"/>
    <w:rsid w:val="00F56899"/>
    <w:rsid w:val="00F62D10"/>
    <w:rsid w:val="00F73231"/>
    <w:rsid w:val="00F76746"/>
    <w:rsid w:val="00F803F7"/>
    <w:rsid w:val="00F8115F"/>
    <w:rsid w:val="00F8219D"/>
    <w:rsid w:val="00F825A4"/>
    <w:rsid w:val="00F84F73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6C96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tl1">
    <w:name w:val="Štýl1"/>
    <w:basedOn w:val="Normlny"/>
    <w:next w:val="Nadpis7"/>
    <w:uiPriority w:val="99"/>
    <w:rsid w:val="005F5DE2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Zkladntext0">
    <w:name w:val="Základný text_"/>
    <w:link w:val="Zkladntext20"/>
    <w:rsid w:val="005F5DE2"/>
    <w:rPr>
      <w:shd w:val="clear" w:color="auto" w:fill="FFFFFF"/>
    </w:rPr>
  </w:style>
  <w:style w:type="paragraph" w:customStyle="1" w:styleId="Zkladntext20">
    <w:name w:val="Základný text2"/>
    <w:basedOn w:val="Normlny"/>
    <w:link w:val="Zkladntext0"/>
    <w:rsid w:val="005F5DE2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EA5B0FE-5962-4112-843C-367D74EFE1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A9F7F7-E99D-49BB-93D3-DE33441A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3</cp:revision>
  <cp:lastPrinted>2022-08-04T10:02:00Z</cp:lastPrinted>
  <dcterms:created xsi:type="dcterms:W3CDTF">2023-10-02T07:44:00Z</dcterms:created>
  <dcterms:modified xsi:type="dcterms:W3CDTF">2023-10-02T07:54:00Z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