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62B05BF6"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B16DDE" w:rsidRPr="007D75E2">
        <w:rPr>
          <w:rFonts w:ascii="Arial Narrow" w:hAnsi="Arial Narrow" w:cs="Helvetica"/>
          <w:b/>
          <w:sz w:val="22"/>
          <w:szCs w:val="22"/>
          <w:shd w:val="clear" w:color="auto" w:fill="FFFFFF"/>
        </w:rPr>
        <w:t xml:space="preserve">Odpady </w:t>
      </w:r>
      <w:r w:rsidR="00521EC1">
        <w:rPr>
          <w:rFonts w:ascii="Arial Narrow" w:hAnsi="Arial Narrow" w:cs="Helvetica"/>
          <w:b/>
          <w:sz w:val="22"/>
          <w:szCs w:val="22"/>
          <w:shd w:val="clear" w:color="auto" w:fill="FFFFFF"/>
        </w:rPr>
        <w:t>okres Prievidza</w:t>
      </w:r>
      <w:r w:rsidR="00BE214D" w:rsidRPr="00BE214D">
        <w:rPr>
          <w:rFonts w:ascii="Arial Narrow" w:hAnsi="Arial Narrow" w:cs="Helvetica"/>
          <w:b/>
          <w:sz w:val="22"/>
          <w:szCs w:val="22"/>
          <w:shd w:val="clear" w:color="auto" w:fill="FFFFFF"/>
        </w:rPr>
        <w:t xml:space="preserve"> – </w:t>
      </w:r>
      <w:r w:rsidR="00521EC1">
        <w:rPr>
          <w:rFonts w:ascii="Arial Narrow" w:hAnsi="Arial Narrow" w:cs="Helvetica"/>
          <w:b/>
          <w:sz w:val="22"/>
          <w:szCs w:val="22"/>
          <w:shd w:val="clear" w:color="auto" w:fill="FFFFFF"/>
        </w:rPr>
        <w:t>Handlová, Veľká Čausa, Kľačno</w:t>
      </w:r>
      <w:r w:rsidR="005B6128">
        <w:rPr>
          <w:rFonts w:ascii="Arial Narrow" w:hAnsi="Arial Narrow" w:cs="Helvetica"/>
          <w:b/>
          <w:sz w:val="22"/>
          <w:szCs w:val="22"/>
          <w:shd w:val="clear" w:color="auto" w:fill="FFFFFF"/>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00FE7523" w:rsidR="00F552BC" w:rsidRPr="00983B59" w:rsidRDefault="00F552BC" w:rsidP="00950C8A">
      <w:pPr>
        <w:rPr>
          <w:rFonts w:ascii="Arial Narrow" w:hAnsi="Arial Narrow"/>
          <w:sz w:val="22"/>
        </w:rPr>
      </w:pPr>
      <w:r w:rsidRPr="00983B59">
        <w:rPr>
          <w:rFonts w:ascii="Arial Narrow" w:hAnsi="Arial Narrow"/>
          <w:sz w:val="22"/>
        </w:rPr>
        <w:t>V</w:t>
      </w:r>
      <w:r w:rsidR="00603878">
        <w:rPr>
          <w:rFonts w:ascii="Arial Narrow" w:hAnsi="Arial Narrow"/>
          <w:sz w:val="22"/>
        </w:rPr>
        <w:t xml:space="preserve"> Trenčíne, september </w:t>
      </w:r>
      <w:r w:rsidR="00983B59" w:rsidRPr="00983B59">
        <w:rPr>
          <w:rFonts w:ascii="Arial Narrow" w:hAnsi="Arial Narrow"/>
          <w:sz w:val="22"/>
        </w:rPr>
        <w:t>2023</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B1E7F4F"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E916B2">
        <w:rPr>
          <w:rFonts w:ascii="Arial Narrow" w:hAnsi="Arial Narrow"/>
          <w:sz w:val="22"/>
          <w:szCs w:val="22"/>
        </w:rPr>
        <w:t xml:space="preserve">, </w:t>
      </w:r>
    </w:p>
    <w:p w14:paraId="46785ED4" w14:textId="3B77931D"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E916B2">
        <w:rPr>
          <w:rFonts w:ascii="Arial Narrow" w:hAnsi="Arial Narrow"/>
          <w:sz w:val="22"/>
          <w:szCs w:val="22"/>
        </w:rPr>
        <w:t xml:space="preserve">Centrum podpory Trenčín, </w:t>
      </w:r>
      <w:r w:rsidR="00B16DDE">
        <w:rPr>
          <w:rFonts w:ascii="Arial Narrow" w:hAnsi="Arial Narrow"/>
          <w:sz w:val="22"/>
          <w:szCs w:val="22"/>
        </w:rPr>
        <w:t>Jilemnického 1, Trenčín 911 42</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216EABA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983B59">
        <w:rPr>
          <w:rFonts w:ascii="Arial Narrow" w:hAnsi="Arial Narrow"/>
          <w:sz w:val="22"/>
          <w:szCs w:val="22"/>
        </w:rPr>
        <w:t xml:space="preserve">Mgr. </w:t>
      </w:r>
      <w:r w:rsidR="00B16DDE">
        <w:rPr>
          <w:rFonts w:ascii="Arial Narrow" w:hAnsi="Arial Narrow"/>
          <w:sz w:val="22"/>
          <w:szCs w:val="22"/>
        </w:rPr>
        <w:t>Dana Surovcová</w:t>
      </w:r>
    </w:p>
    <w:p w14:paraId="1E390D02" w14:textId="7692A53A"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983B59" w:rsidRPr="004E444C">
        <w:rPr>
          <w:rFonts w:ascii="Arial Narrow" w:hAnsi="Arial Narrow"/>
          <w:sz w:val="22"/>
          <w:szCs w:val="22"/>
        </w:rPr>
        <w:t xml:space="preserve">+421 </w:t>
      </w:r>
      <w:r w:rsidR="00B16DDE">
        <w:rPr>
          <w:rFonts w:ascii="Arial Narrow" w:hAnsi="Arial Narrow"/>
          <w:sz w:val="22"/>
          <w:szCs w:val="22"/>
        </w:rPr>
        <w:t>961205350</w:t>
      </w:r>
    </w:p>
    <w:p w14:paraId="3F9002C1" w14:textId="1DF137DA"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r w:rsidR="00B16DDE">
        <w:t>dana.surovcova</w:t>
      </w:r>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6D44F1E4" w:rsidR="00983B59" w:rsidRPr="00C4470F" w:rsidRDefault="00983B59" w:rsidP="007842D8">
      <w:pPr>
        <w:spacing w:line="276" w:lineRule="auto"/>
        <w:jc w:val="both"/>
        <w:rPr>
          <w:rFonts w:ascii="Arial Narrow" w:hAnsi="Arial Narrow"/>
          <w:sz w:val="22"/>
          <w:szCs w:val="22"/>
        </w:rPr>
      </w:pPr>
      <w:r>
        <w:rPr>
          <w:rFonts w:ascii="Arial Narrow" w:hAnsi="Arial Narrow"/>
          <w:sz w:val="22"/>
          <w:szCs w:val="22"/>
        </w:rPr>
        <w:t>ID zákazky (</w:t>
      </w:r>
      <w:r w:rsidRPr="00C4470F">
        <w:rPr>
          <w:rFonts w:ascii="Arial Narrow" w:hAnsi="Arial Narrow"/>
          <w:sz w:val="22"/>
          <w:szCs w:val="22"/>
        </w:rPr>
        <w:t xml:space="preserve">JOSEPHINE): </w:t>
      </w:r>
      <w:r w:rsidR="006F7EBD" w:rsidRPr="00C4470F">
        <w:rPr>
          <w:rFonts w:ascii="Arial Narrow" w:hAnsi="Arial Narrow"/>
          <w:sz w:val="22"/>
          <w:szCs w:val="22"/>
        </w:rPr>
        <w:t>47</w:t>
      </w:r>
      <w:r w:rsidR="00C4470F" w:rsidRPr="00C4470F">
        <w:rPr>
          <w:rFonts w:ascii="Arial Narrow" w:hAnsi="Arial Narrow"/>
          <w:sz w:val="22"/>
          <w:szCs w:val="22"/>
        </w:rPr>
        <w:t>206</w:t>
      </w:r>
    </w:p>
    <w:p w14:paraId="409F660E" w14:textId="77777777" w:rsidR="00983B59" w:rsidRPr="00C4470F" w:rsidRDefault="00983B59" w:rsidP="007842D8">
      <w:pPr>
        <w:spacing w:line="276" w:lineRule="auto"/>
        <w:jc w:val="both"/>
      </w:pPr>
    </w:p>
    <w:p w14:paraId="7318936C" w14:textId="77777777" w:rsidR="00802A8C" w:rsidRPr="00C4470F" w:rsidRDefault="00802A8C" w:rsidP="00802A8C">
      <w:pPr>
        <w:pStyle w:val="Default"/>
        <w:rPr>
          <w:rFonts w:ascii="Arial Narrow" w:hAnsi="Arial Narrow" w:cs="Times New Roman"/>
          <w:color w:val="auto"/>
          <w:sz w:val="22"/>
          <w:szCs w:val="22"/>
        </w:rPr>
      </w:pPr>
      <w:r w:rsidRPr="00C4470F">
        <w:rPr>
          <w:rFonts w:ascii="Arial Narrow" w:hAnsi="Arial Narrow" w:cs="Times New Roman"/>
          <w:color w:val="auto"/>
          <w:sz w:val="22"/>
          <w:szCs w:val="22"/>
        </w:rPr>
        <w:t xml:space="preserve">Adresa stránky, kde je možný prístup k dokumentácií VO: </w:t>
      </w:r>
    </w:p>
    <w:p w14:paraId="63A04263" w14:textId="77777777" w:rsidR="00802A8C" w:rsidRPr="00C4470F" w:rsidRDefault="00802A8C" w:rsidP="00802A8C">
      <w:pPr>
        <w:pStyle w:val="Default"/>
        <w:rPr>
          <w:rFonts w:ascii="Arial Narrow" w:hAnsi="Arial Narrow" w:cs="Times New Roman"/>
          <w:color w:val="auto"/>
          <w:sz w:val="22"/>
          <w:szCs w:val="22"/>
        </w:rPr>
      </w:pPr>
    </w:p>
    <w:p w14:paraId="4DC36643" w14:textId="57E8E660" w:rsidR="00DB4466" w:rsidRPr="00DB4466" w:rsidRDefault="00802A8C" w:rsidP="00802A8C">
      <w:pPr>
        <w:pStyle w:val="Default"/>
        <w:rPr>
          <w:rFonts w:ascii="Arial Narrow" w:hAnsi="Arial Narrow" w:cs="Times New Roman"/>
          <w:color w:val="2F5496" w:themeColor="accent1" w:themeShade="BF"/>
          <w:sz w:val="22"/>
          <w:szCs w:val="22"/>
        </w:rPr>
      </w:pPr>
      <w:r w:rsidRPr="00C4470F">
        <w:rPr>
          <w:rFonts w:ascii="Arial Narrow" w:hAnsi="Arial Narrow" w:cs="Times New Roman"/>
          <w:color w:val="auto"/>
          <w:sz w:val="22"/>
          <w:szCs w:val="22"/>
        </w:rPr>
        <w:t xml:space="preserve">KO: </w:t>
      </w:r>
      <w:hyperlink r:id="rId8" w:history="1">
        <w:r w:rsidR="00C4470F" w:rsidRPr="00C4470F">
          <w:rPr>
            <w:rStyle w:val="Hypertextovprepojenie"/>
            <w:rFonts w:ascii="Arial Narrow" w:hAnsi="Arial Narrow" w:cs="Times New Roman"/>
            <w:sz w:val="22"/>
            <w:szCs w:val="22"/>
          </w:rPr>
          <w:t>https://josephine.proebiz.com/sk/tender/47206/summary</w:t>
        </w:r>
      </w:hyperlink>
      <w:r w:rsidR="00983B59" w:rsidRPr="00DB4466">
        <w:rPr>
          <w:rFonts w:ascii="Arial Narrow" w:hAnsi="Arial Narrow" w:cs="Times New Roman"/>
          <w:color w:val="2F5496" w:themeColor="accent1" w:themeShade="BF"/>
          <w:sz w:val="22"/>
          <w:szCs w:val="22"/>
        </w:rPr>
        <w:t xml:space="preserve"> </w:t>
      </w:r>
    </w:p>
    <w:p w14:paraId="48F25FD7" w14:textId="71510595" w:rsidR="00802A8C" w:rsidRPr="00DB4466" w:rsidRDefault="00802A8C" w:rsidP="00802A8C">
      <w:pPr>
        <w:pStyle w:val="Default"/>
        <w:rPr>
          <w:rFonts w:ascii="Arial Narrow" w:hAnsi="Arial Narrow" w:cs="Times New Roman"/>
          <w:color w:val="0070C0"/>
          <w:sz w:val="22"/>
          <w:szCs w:val="22"/>
        </w:rPr>
      </w:pPr>
      <w:r w:rsidRPr="00DB4466">
        <w:rPr>
          <w:rFonts w:ascii="Arial Narrow" w:hAnsi="Arial Narrow" w:cs="Times New Roman"/>
          <w:color w:val="0070C0"/>
          <w:sz w:val="22"/>
          <w:szCs w:val="22"/>
        </w:rPr>
        <w:t xml:space="preserve"> </w:t>
      </w:r>
    </w:p>
    <w:p w14:paraId="1553A3DC" w14:textId="2849A0B8" w:rsidR="00802A8C" w:rsidRPr="00983B59" w:rsidRDefault="00802A8C" w:rsidP="00802A8C">
      <w:pPr>
        <w:pStyle w:val="Default"/>
        <w:rPr>
          <w:rStyle w:val="Hypertextovprepojenie"/>
        </w:rPr>
      </w:pPr>
      <w:r w:rsidRPr="00983B59">
        <w:rPr>
          <w:rFonts w:ascii="Arial Narrow" w:hAnsi="Arial Narrow" w:cs="Times New Roman"/>
          <w:color w:val="auto"/>
          <w:sz w:val="22"/>
          <w:szCs w:val="22"/>
        </w:rPr>
        <w:t xml:space="preserve">DNS: </w:t>
      </w:r>
      <w:hyperlink r:id="rId9" w:history="1">
        <w:r w:rsidRPr="00983B59">
          <w:rPr>
            <w:rStyle w:val="Hypertextovprepojenie"/>
            <w:rFonts w:ascii="Arial Narrow" w:hAnsi="Arial Narrow" w:cs="Times New Roman"/>
            <w:sz w:val="22"/>
            <w:szCs w:val="22"/>
          </w:rPr>
          <w:t>https://josephine.proebiz.com/sk/tender/34817/summary</w:t>
        </w:r>
      </w:hyperlink>
      <w:r w:rsidRPr="00983B59">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12C67E75" w14:textId="50EFF43D" w:rsidR="00802A8C" w:rsidRPr="00983B59" w:rsidRDefault="00802A8C" w:rsidP="00802A8C">
      <w:pPr>
        <w:spacing w:line="276" w:lineRule="auto"/>
        <w:jc w:val="both"/>
        <w:rPr>
          <w:rFonts w:ascii="Arial Narrow" w:hAnsi="Arial Narrow"/>
          <w:sz w:val="22"/>
          <w:szCs w:val="22"/>
        </w:rPr>
      </w:pPr>
      <w:r w:rsidRPr="00983B59">
        <w:rPr>
          <w:rFonts w:ascii="Arial Narrow" w:hAnsi="Arial Narrow"/>
          <w:sz w:val="22"/>
          <w:szCs w:val="22"/>
        </w:rPr>
        <w:t xml:space="preserve">Oznámenie o vyhlásení VO: </w:t>
      </w:r>
      <w:hyperlink r:id="rId10" w:history="1">
        <w:r w:rsidR="00983B59" w:rsidRPr="001A2EE1">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bookmarkStart w:id="0" w:name="_GoBack"/>
      <w:bookmarkEnd w:id="0"/>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0"/>
      <w:r w:rsidRPr="001C5910">
        <w:rPr>
          <w:rFonts w:ascii="Arial Narrow" w:hAnsi="Arial Narrow" w:cstheme="majorHAnsi"/>
          <w:bCs/>
          <w:color w:val="2F5496" w:themeColor="accent1" w:themeShade="BF"/>
          <w:sz w:val="28"/>
          <w:szCs w:val="36"/>
        </w:rPr>
        <w:t>Predmet zákazky</w:t>
      </w:r>
      <w:bookmarkEnd w:id="1"/>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12514D0D"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je</w:t>
      </w:r>
      <w:r w:rsidR="00BE214D">
        <w:rPr>
          <w:rFonts w:ascii="Arial Narrow" w:hAnsi="Arial Narrow"/>
          <w:sz w:val="22"/>
          <w:szCs w:val="24"/>
        </w:rPr>
        <w:t xml:space="preserve"> </w:t>
      </w:r>
      <w:r w:rsidR="00DB4466" w:rsidRPr="00DB4466">
        <w:rPr>
          <w:rFonts w:ascii="Arial Narrow" w:hAnsi="Arial Narrow"/>
          <w:b/>
          <w:sz w:val="22"/>
          <w:szCs w:val="24"/>
        </w:rPr>
        <w:t>2 428,80</w:t>
      </w:r>
      <w:r w:rsidRPr="00DB4466">
        <w:rPr>
          <w:rFonts w:ascii="Arial Narrow" w:hAnsi="Arial Narrow"/>
          <w:b/>
          <w:sz w:val="22"/>
          <w:szCs w:val="24"/>
        </w:rPr>
        <w:t xml:space="preserve"> </w:t>
      </w:r>
      <w:r w:rsidR="00EF14A5" w:rsidRPr="00DB4466">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34FC85FF"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2E466E">
        <w:rPr>
          <w:rFonts w:ascii="Arial Narrow" w:hAnsi="Arial Narrow"/>
          <w:sz w:val="22"/>
        </w:rPr>
        <w:t>2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1"/>
      <w:r w:rsidRPr="001C5910">
        <w:rPr>
          <w:rFonts w:ascii="Arial Narrow" w:hAnsi="Arial Narrow" w:cstheme="majorHAnsi"/>
          <w:bCs/>
          <w:color w:val="2F5496" w:themeColor="accent1" w:themeShade="BF"/>
          <w:sz w:val="28"/>
          <w:szCs w:val="36"/>
        </w:rPr>
        <w:t>Komplexnosť dodávky</w:t>
      </w:r>
      <w:bookmarkEnd w:id="2"/>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2"/>
      <w:r w:rsidRPr="001C5910">
        <w:rPr>
          <w:rFonts w:ascii="Arial Narrow" w:hAnsi="Arial Narrow" w:cstheme="majorHAnsi"/>
          <w:bCs/>
          <w:color w:val="2F5496" w:themeColor="accent1" w:themeShade="BF"/>
          <w:sz w:val="28"/>
          <w:szCs w:val="36"/>
        </w:rPr>
        <w:t>Typ zmluvy</w:t>
      </w:r>
      <w:bookmarkEnd w:id="3"/>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3"/>
      <w:r w:rsidRPr="001C5910">
        <w:rPr>
          <w:rFonts w:ascii="Arial Narrow" w:hAnsi="Arial Narrow" w:cstheme="majorHAnsi"/>
          <w:bCs/>
          <w:color w:val="2F5496" w:themeColor="accent1" w:themeShade="BF"/>
          <w:sz w:val="28"/>
          <w:szCs w:val="36"/>
        </w:rPr>
        <w:t>Zdroj finančných prostriedkov</w:t>
      </w:r>
      <w:bookmarkEnd w:id="4"/>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4"/>
      <w:r w:rsidRPr="001C5910">
        <w:rPr>
          <w:rFonts w:ascii="Arial Narrow" w:hAnsi="Arial Narrow" w:cstheme="majorHAnsi"/>
          <w:bCs/>
          <w:color w:val="2F5496" w:themeColor="accent1" w:themeShade="BF"/>
          <w:sz w:val="28"/>
          <w:szCs w:val="36"/>
        </w:rPr>
        <w:t>Podmienky predloženia ponuky</w:t>
      </w:r>
      <w:bookmarkEnd w:id="5"/>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5"/>
      <w:r w:rsidRPr="001C5910">
        <w:rPr>
          <w:rFonts w:ascii="Arial Narrow" w:hAnsi="Arial Narrow" w:cstheme="majorHAnsi"/>
          <w:bCs/>
          <w:color w:val="2F5496" w:themeColor="accent1" w:themeShade="BF"/>
          <w:sz w:val="28"/>
          <w:szCs w:val="36"/>
        </w:rPr>
        <w:t>Jazyk ponuky</w:t>
      </w:r>
      <w:bookmarkEnd w:id="6"/>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6"/>
      <w:r w:rsidRPr="001C5910">
        <w:rPr>
          <w:rFonts w:ascii="Arial Narrow" w:hAnsi="Arial Narrow" w:cstheme="majorHAnsi"/>
          <w:bCs/>
          <w:color w:val="2F5496" w:themeColor="accent1" w:themeShade="BF"/>
          <w:sz w:val="28"/>
          <w:szCs w:val="36"/>
        </w:rPr>
        <w:t>Predkladanie a obsah ponuky</w:t>
      </w:r>
      <w:bookmarkEnd w:id="7"/>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Zaradený záujemca sa prihlasuje do pomocou eID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5646E6E"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EF14A5" w:rsidRPr="001C5910">
        <w:rPr>
          <w:rFonts w:ascii="Arial Narrow" w:hAnsi="Arial Narrow"/>
          <w:color w:val="000000"/>
          <w:sz w:val="22"/>
          <w:shd w:val="clear" w:color="auto" w:fill="FFFFFF"/>
        </w:rPr>
        <w:t>s</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 xml:space="preserve">tvoriace </w:t>
      </w:r>
      <w:r w:rsidR="009C6825" w:rsidRPr="001C5910">
        <w:rPr>
          <w:rFonts w:ascii="Arial Narrow" w:hAnsi="Arial Narrow"/>
          <w:sz w:val="22"/>
        </w:rPr>
        <w:lastRenderedPageBreak/>
        <w:t>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7085186E" w14:textId="006E7701" w:rsidR="0014283F" w:rsidRPr="001C5910"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link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t.j.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Mozilla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Microsoft Edge.</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lastRenderedPageBreak/>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77777777"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 xml:space="preserve">predložiť scan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1CC5C" w14:textId="77777777" w:rsidR="00E7361C" w:rsidRDefault="00E7361C">
      <w:r>
        <w:separator/>
      </w:r>
    </w:p>
  </w:endnote>
  <w:endnote w:type="continuationSeparator" w:id="0">
    <w:p w14:paraId="594D0B2B" w14:textId="77777777" w:rsidR="00E7361C" w:rsidRDefault="00E7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3C351AD5"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C4470F" w:rsidRPr="00C4470F">
          <w:rPr>
            <w:rFonts w:ascii="Arial Narrow" w:hAnsi="Arial Narrow"/>
            <w:noProof/>
            <w:sz w:val="20"/>
            <w:lang w:val="sk-SK"/>
          </w:rPr>
          <w:t>2</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9825B" w14:textId="77777777" w:rsidR="00E7361C" w:rsidRDefault="00E7361C">
      <w:r>
        <w:separator/>
      </w:r>
    </w:p>
  </w:footnote>
  <w:footnote w:type="continuationSeparator" w:id="0">
    <w:p w14:paraId="579A06C8" w14:textId="77777777" w:rsidR="00E7361C" w:rsidRDefault="00E73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2772"/>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621"/>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2BA1"/>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97D6E"/>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61D7"/>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C99"/>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1EC1"/>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128"/>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6C82"/>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3878"/>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6F7EBD"/>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B83"/>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972"/>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08D8"/>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6DDE"/>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14D"/>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70F"/>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4466"/>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61C"/>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6B2"/>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2D24"/>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7206/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F8974-C861-4987-888E-FE82B368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4</TotalTime>
  <Pages>8</Pages>
  <Words>3041</Words>
  <Characters>17338</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20339</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Dana Surovcova</cp:lastModifiedBy>
  <cp:revision>5</cp:revision>
  <cp:lastPrinted>2021-01-20T13:59:00Z</cp:lastPrinted>
  <dcterms:created xsi:type="dcterms:W3CDTF">2023-09-20T08:06:00Z</dcterms:created>
  <dcterms:modified xsi:type="dcterms:W3CDTF">2023-09-21T08:56:00Z</dcterms:modified>
</cp:coreProperties>
</file>