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F916E6B" w14:textId="77777777" w:rsidR="00FE21A4" w:rsidRDefault="00FE21A4" w:rsidP="00F73E67">
      <w:pPr>
        <w:jc w:val="center"/>
        <w:rPr>
          <w:b/>
          <w:sz w:val="52"/>
        </w:rPr>
      </w:pPr>
    </w:p>
    <w:p w14:paraId="0E695992" w14:textId="12089D91" w:rsidR="00F73E67" w:rsidRPr="00106A2B" w:rsidRDefault="00F73E67" w:rsidP="00F73E67">
      <w:pPr>
        <w:jc w:val="center"/>
        <w:rPr>
          <w:b/>
          <w:sz w:val="52"/>
        </w:rPr>
      </w:pPr>
      <w:r w:rsidRPr="00106A2B">
        <w:rPr>
          <w:b/>
          <w:sz w:val="52"/>
        </w:rPr>
        <w:t>VÝZVA K PODÁNÍ NABÍDEK</w:t>
      </w:r>
    </w:p>
    <w:p w14:paraId="450019CA" w14:textId="07430A13" w:rsidR="005A138F" w:rsidRPr="00F73E67" w:rsidRDefault="00F73E67" w:rsidP="00F73E67">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30FBC26C" w14:textId="1DE4E37B" w:rsidR="00F73E67" w:rsidRDefault="00F73E67" w:rsidP="00F73E67">
      <w:pPr>
        <w:spacing w:after="0"/>
        <w:jc w:val="center"/>
      </w:pPr>
      <w:r w:rsidRPr="007217B0">
        <w:t xml:space="preserve">pro veřejnou zakázku </w:t>
      </w:r>
      <w:r w:rsidR="00642511">
        <w:t xml:space="preserve">malého rozsahu </w:t>
      </w:r>
      <w:r w:rsidRPr="007217B0">
        <w:t xml:space="preserve">na </w:t>
      </w:r>
      <w:r>
        <w:t>dodávky</w:t>
      </w:r>
      <w:r w:rsidRPr="007217B0">
        <w:t xml:space="preserve"> </w:t>
      </w:r>
    </w:p>
    <w:p w14:paraId="455E7D87" w14:textId="50688F58" w:rsidR="00F73E67" w:rsidRPr="009367B9" w:rsidRDefault="00F73E67" w:rsidP="00F73E67">
      <w:pPr>
        <w:jc w:val="center"/>
      </w:pPr>
      <w:r w:rsidRPr="007217B0">
        <w:t xml:space="preserve">zadávanou v souladu § </w:t>
      </w:r>
      <w:r w:rsidR="00642511">
        <w:t>31</w:t>
      </w:r>
      <w:r>
        <w:t xml:space="preserve"> </w:t>
      </w:r>
      <w:r w:rsidRPr="007217B0">
        <w:t>zákona č. 134/2016 Sb.,</w:t>
      </w:r>
      <w:r>
        <w:t xml:space="preserve"> </w:t>
      </w:r>
      <w:r w:rsidRPr="007217B0">
        <w:t>o zadávání veřejných zakázek, ve znění pozdějších předpisů (dále jen „</w:t>
      </w:r>
      <w:r w:rsidRPr="007217B0">
        <w:rPr>
          <w:b/>
        </w:rPr>
        <w:t>ZZVZ</w:t>
      </w:r>
      <w:r w:rsidRPr="007217B0">
        <w:t xml:space="preserve">“), </w:t>
      </w:r>
      <w:r w:rsidR="002570CF">
        <w:t>mimo režim ZZVZ</w:t>
      </w:r>
      <w:r>
        <w:t xml:space="preserve"> (dále jen „</w:t>
      </w:r>
      <w:r w:rsidR="00C24864">
        <w:rPr>
          <w:b/>
          <w:bCs/>
        </w:rPr>
        <w:t>výběrové</w:t>
      </w:r>
      <w:r>
        <w:rPr>
          <w:b/>
          <w:bCs/>
        </w:rPr>
        <w:t xml:space="preserve"> řízení</w:t>
      </w:r>
      <w:r>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49A4536" w14:textId="39E32FDB" w:rsidR="005F44EB" w:rsidRDefault="005444BB" w:rsidP="000C4AE5">
      <w:pPr>
        <w:jc w:val="center"/>
        <w:rPr>
          <w:b/>
          <w:caps/>
          <w:color w:val="E36C0A" w:themeColor="accent6" w:themeShade="BF"/>
          <w:sz w:val="40"/>
        </w:rPr>
      </w:pPr>
      <w:r>
        <w:rPr>
          <w:b/>
          <w:caps/>
          <w:color w:val="E36C0A" w:themeColor="accent6" w:themeShade="BF"/>
          <w:sz w:val="40"/>
        </w:rPr>
        <w:t xml:space="preserve">dodávka </w:t>
      </w:r>
      <w:r w:rsidR="00BB78AF">
        <w:rPr>
          <w:b/>
          <w:caps/>
          <w:color w:val="E36C0A" w:themeColor="accent6" w:themeShade="BF"/>
          <w:sz w:val="40"/>
        </w:rPr>
        <w:t>elektrické energi</w:t>
      </w:r>
      <w:r w:rsidR="004C2DE9">
        <w:rPr>
          <w:b/>
          <w:caps/>
          <w:color w:val="E36C0A" w:themeColor="accent6" w:themeShade="BF"/>
          <w:sz w:val="40"/>
        </w:rPr>
        <w:t xml:space="preserve">e </w:t>
      </w:r>
      <w:r w:rsidR="00BB78AF">
        <w:rPr>
          <w:b/>
          <w:caps/>
          <w:color w:val="E36C0A" w:themeColor="accent6" w:themeShade="BF"/>
          <w:sz w:val="40"/>
        </w:rPr>
        <w:t>na rok 2024</w:t>
      </w:r>
    </w:p>
    <w:p w14:paraId="2449117D" w14:textId="61F25174" w:rsidR="00BD1E69" w:rsidRPr="004E2A75" w:rsidRDefault="00BD1E69" w:rsidP="005F44EB">
      <w:pPr>
        <w:jc w:val="center"/>
        <w:rPr>
          <w:b/>
          <w:caps/>
          <w:sz w:val="40"/>
        </w:rPr>
      </w:pPr>
      <w:r w:rsidRPr="004E2A75">
        <w:rPr>
          <w:b/>
          <w:caps/>
          <w:sz w:val="40"/>
        </w:rPr>
        <w:t>Z</w:t>
      </w:r>
      <w:r w:rsidR="00DF2F8C" w:rsidRPr="004E2A75">
        <w:rPr>
          <w:b/>
          <w:caps/>
          <w:sz w:val="40"/>
        </w:rPr>
        <w:t>2</w:t>
      </w:r>
      <w:r w:rsidR="005444BB" w:rsidRPr="004E2A75">
        <w:rPr>
          <w:b/>
          <w:caps/>
          <w:sz w:val="40"/>
        </w:rPr>
        <w:t>3</w:t>
      </w:r>
      <w:r w:rsidR="002A0E2A" w:rsidRPr="004E2A75">
        <w:rPr>
          <w:b/>
          <w:caps/>
          <w:sz w:val="40"/>
        </w:rPr>
        <w:t>0</w:t>
      </w:r>
      <w:r w:rsidR="00BB78AF">
        <w:rPr>
          <w:b/>
          <w:caps/>
          <w:sz w:val="40"/>
        </w:rPr>
        <w:t>51</w:t>
      </w:r>
    </w:p>
    <w:p w14:paraId="4B6418B2" w14:textId="77777777" w:rsidR="009066E9" w:rsidRPr="009066E9" w:rsidRDefault="009066E9" w:rsidP="000C4AE5"/>
    <w:p w14:paraId="5A143DAD" w14:textId="77777777" w:rsidR="009066E9" w:rsidRDefault="009066E9" w:rsidP="000C4AE5"/>
    <w:p w14:paraId="558F0DF5" w14:textId="12C9CA30"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365CEB58"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77777777" w:rsidR="00AB5244" w:rsidRPr="00BA614A" w:rsidRDefault="00AB5244" w:rsidP="000C4AE5">
      <w:pPr>
        <w:spacing w:after="0"/>
      </w:pPr>
      <w:r w:rsidRPr="00BA614A">
        <w:t>IČ: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6851A388" w14:textId="7AEDB092" w:rsidR="00AB5244" w:rsidRDefault="003B4A0E" w:rsidP="000C4AE5">
      <w:pPr>
        <w:rPr>
          <w:rFonts w:ascii="Calibri" w:hAnsi="Calibri" w:cs="Calibri"/>
        </w:rPr>
      </w:pPr>
      <w:r w:rsidRPr="00E5642D">
        <w:rPr>
          <w:rFonts w:ascii="Calibri" w:hAnsi="Calibri" w:cs="Calibri"/>
        </w:rPr>
        <w:t>Tato zakázka na dodávk</w:t>
      </w:r>
      <w:r>
        <w:rPr>
          <w:rFonts w:ascii="Calibri" w:hAnsi="Calibri" w:cs="Calibri"/>
        </w:rPr>
        <w:t>u</w:t>
      </w:r>
      <w:r w:rsidRPr="00E5642D">
        <w:rPr>
          <w:rFonts w:ascii="Calibri" w:hAnsi="Calibri" w:cs="Calibri"/>
        </w:rPr>
        <w:t xml:space="preserve"> s </w:t>
      </w:r>
      <w:r w:rsidRPr="00EC62E4">
        <w:rPr>
          <w:rFonts w:ascii="Calibri" w:hAnsi="Calibri" w:cs="Calibri"/>
        </w:rPr>
        <w:t>názvem „</w:t>
      </w:r>
      <w:r w:rsidR="00216B51">
        <w:rPr>
          <w:rFonts w:ascii="Calibri" w:hAnsi="Calibri" w:cs="Calibri"/>
          <w:b/>
          <w:bCs/>
        </w:rPr>
        <w:t>Dodávka elektrické energie na rok 2024</w:t>
      </w:r>
      <w:r w:rsidRPr="00EC62E4">
        <w:rPr>
          <w:rFonts w:ascii="Calibri" w:hAnsi="Calibri" w:cs="Calibri"/>
        </w:rPr>
        <w:t>“</w:t>
      </w:r>
      <w:r w:rsidRPr="00E5642D">
        <w:rPr>
          <w:rFonts w:ascii="Calibri" w:hAnsi="Calibri" w:cs="Calibri"/>
        </w:rPr>
        <w:t xml:space="preserve"> (dále jen „</w:t>
      </w:r>
      <w:r>
        <w:rPr>
          <w:rFonts w:ascii="Calibri" w:hAnsi="Calibri" w:cs="Calibri"/>
          <w:b/>
          <w:bCs/>
        </w:rPr>
        <w:t>z</w:t>
      </w:r>
      <w:r w:rsidRPr="00E5642D">
        <w:rPr>
          <w:rFonts w:ascii="Calibri" w:hAnsi="Calibri" w:cs="Calibri"/>
          <w:b/>
          <w:bCs/>
        </w:rPr>
        <w:t>akázka</w:t>
      </w:r>
      <w:r w:rsidRPr="00E5642D">
        <w:rPr>
          <w:rFonts w:ascii="Calibri" w:hAnsi="Calibri" w:cs="Calibri"/>
        </w:rPr>
        <w:t>“)</w:t>
      </w:r>
      <w:r w:rsidRPr="00E5642D">
        <w:rPr>
          <w:rFonts w:ascii="Calibri" w:hAnsi="Calibri" w:cs="Calibri"/>
          <w:b/>
          <w:bCs/>
        </w:rPr>
        <w:t xml:space="preserve"> </w:t>
      </w:r>
      <w:r w:rsidRPr="00E5642D">
        <w:rPr>
          <w:rFonts w:ascii="Calibri" w:hAnsi="Calibri" w:cs="Calibri"/>
        </w:rPr>
        <w:t>je veřejnou zakázkou malého rozsahu dle § 27 písm. a) ZZVZ, zadávanou s výjimkou zásad uvedených v § 6 ZZVZ mimo režim ZZVZ.</w:t>
      </w:r>
    </w:p>
    <w:p w14:paraId="1C51C641" w14:textId="7C658891" w:rsidR="005F466E" w:rsidRDefault="005F466E" w:rsidP="000C4AE5">
      <w:pPr>
        <w:rPr>
          <w:rFonts w:ascii="Calibri" w:hAnsi="Calibri" w:cs="Calibri"/>
        </w:rPr>
      </w:pPr>
      <w:r>
        <w:rPr>
          <w:rFonts w:ascii="Calibri" w:hAnsi="Calibri" w:cs="Calibri"/>
        </w:rPr>
        <w:t xml:space="preserve">Zakázka je rozdělena na 2 </w:t>
      </w:r>
      <w:r w:rsidR="00827DA0">
        <w:rPr>
          <w:rFonts w:ascii="Calibri" w:hAnsi="Calibri" w:cs="Calibri"/>
        </w:rPr>
        <w:t>procesně samostatné části dle hladin napětí:</w:t>
      </w:r>
    </w:p>
    <w:p w14:paraId="35713B8A" w14:textId="0A54A7CA" w:rsidR="00827DA0" w:rsidRDefault="00827DA0" w:rsidP="00B0127C">
      <w:pPr>
        <w:pStyle w:val="Odstavecseseznamem"/>
        <w:numPr>
          <w:ilvl w:val="0"/>
          <w:numId w:val="14"/>
        </w:numPr>
      </w:pPr>
      <w:r>
        <w:t xml:space="preserve">část 1 – nízké napětí </w:t>
      </w:r>
      <w:r w:rsidR="00FC5880">
        <w:t>–</w:t>
      </w:r>
      <w:r>
        <w:t xml:space="preserve"> NN</w:t>
      </w:r>
      <w:r w:rsidR="00FC5880">
        <w:t xml:space="preserve"> a </w:t>
      </w:r>
    </w:p>
    <w:p w14:paraId="11BD652E" w14:textId="62A847AA" w:rsidR="00FC5880" w:rsidRDefault="00FC5880" w:rsidP="00B0127C">
      <w:pPr>
        <w:pStyle w:val="Odstavecseseznamem"/>
        <w:numPr>
          <w:ilvl w:val="0"/>
          <w:numId w:val="14"/>
        </w:numPr>
      </w:pPr>
      <w:r>
        <w:t xml:space="preserve">část 2 – vysoké napětí – VN. </w:t>
      </w:r>
    </w:p>
    <w:p w14:paraId="4D711DBD" w14:textId="32DE7567" w:rsidR="00E31753" w:rsidRDefault="00E31753" w:rsidP="000C4AE5">
      <w:pPr>
        <w:rPr>
          <w:rFonts w:ascii="Calibri" w:hAnsi="Calibri" w:cs="Calibri"/>
        </w:rPr>
      </w:pPr>
      <w:r w:rsidRPr="00E31753">
        <w:rPr>
          <w:rFonts w:ascii="Calibri" w:hAnsi="Calibri" w:cs="Calibri"/>
        </w:rPr>
        <w:t xml:space="preserve">Každý dodavatel je oprávněn podat nabídku do neomezeného počtu částí zakázky – dodavatel tedy může podat nabídku do 1 až </w:t>
      </w:r>
      <w:r>
        <w:rPr>
          <w:rFonts w:ascii="Calibri" w:hAnsi="Calibri" w:cs="Calibri"/>
        </w:rPr>
        <w:t>2</w:t>
      </w:r>
      <w:r w:rsidRPr="00E31753">
        <w:rPr>
          <w:rFonts w:ascii="Calibri" w:hAnsi="Calibri" w:cs="Calibri"/>
        </w:rPr>
        <w:t xml:space="preserve"> částí zakázky. Požadavky na obsah a způsob podání nabídky jsou ve vztahu ke každé části zakázky shodné.</w:t>
      </w:r>
    </w:p>
    <w:p w14:paraId="1EFB777E" w14:textId="7403B62F" w:rsidR="003B354A" w:rsidRDefault="00A4411F" w:rsidP="000C4AE5">
      <w:pPr>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8905FB">
        <w:rPr>
          <w:rFonts w:ascii="Calibri" w:hAnsi="Calibri" w:cs="Calibri"/>
          <w:bCs/>
        </w:rPr>
        <w:t>„</w:t>
      </w:r>
      <w:r w:rsidRPr="00E5642D">
        <w:rPr>
          <w:rFonts w:ascii="Calibri" w:hAnsi="Calibri" w:cs="Calibri"/>
          <w:b/>
        </w:rPr>
        <w:t>Výzva</w:t>
      </w:r>
      <w:r w:rsidRPr="008905FB">
        <w:rPr>
          <w:rFonts w:ascii="Calibri" w:hAnsi="Calibri" w:cs="Calibri"/>
          <w:bCs/>
        </w:rPr>
        <w:t>“</w:t>
      </w:r>
      <w:r w:rsidRPr="00E5642D">
        <w:rPr>
          <w:rFonts w:ascii="Calibri" w:hAnsi="Calibri" w:cs="Calibri"/>
        </w:rPr>
        <w:t>) například obsažen odkaz na konkrétní ustanovení ZZVZ, je postup podle tohoto ustanovení použit pouze jako Zadavatelem zvolená analogie.</w:t>
      </w:r>
    </w:p>
    <w:p w14:paraId="78CE4626" w14:textId="1C6625C7" w:rsidR="00555B43" w:rsidRDefault="00555B43" w:rsidP="000C4AE5">
      <w:pPr>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44161E20" w14:textId="17B6DBCA" w:rsidR="00E62154" w:rsidRPr="003974C8" w:rsidRDefault="00E62154" w:rsidP="00E62154">
      <w:bookmarkStart w:id="1" w:name="_Hlk51231979"/>
      <w:r w:rsidRPr="003974C8">
        <w:t xml:space="preserve">Na základě </w:t>
      </w:r>
      <w:r>
        <w:t>výběrového</w:t>
      </w:r>
      <w:r w:rsidRPr="003974C8">
        <w:t xml:space="preserve"> řízení bude s vybraným dodavatelem, jehož nabídka bude v</w:t>
      </w:r>
      <w:r w:rsidR="006E7FF2">
        <w:t> dané části</w:t>
      </w:r>
      <w:r>
        <w:t xml:space="preserve"> </w:t>
      </w:r>
      <w:r w:rsidR="00A853E9">
        <w:t xml:space="preserve">zakázky </w:t>
      </w:r>
      <w:r w:rsidRPr="003974C8">
        <w:t xml:space="preserve">vyhodnocena jako nejvýhodnější, uzavřena </w:t>
      </w:r>
      <w:r>
        <w:t>smlouva</w:t>
      </w:r>
      <w:r w:rsidRPr="003974C8">
        <w:t xml:space="preserve"> na plnění předmětu </w:t>
      </w:r>
      <w:r w:rsidR="006E7FF2">
        <w:t xml:space="preserve">dané části zakázky </w:t>
      </w:r>
      <w:r w:rsidRPr="003974C8">
        <w:t>(dále jen „</w:t>
      </w:r>
      <w:r>
        <w:rPr>
          <w:b/>
          <w:bCs/>
        </w:rPr>
        <w:t>Smlouva</w:t>
      </w:r>
      <w:r w:rsidRPr="003974C8">
        <w:t xml:space="preserve">“). </w:t>
      </w:r>
      <w:r w:rsidRPr="005D1D2E">
        <w:rPr>
          <w:b/>
          <w:bCs/>
        </w:rPr>
        <w:t>Příslušný návrh Smlouvy</w:t>
      </w:r>
      <w:r w:rsidR="00596B5C">
        <w:rPr>
          <w:b/>
          <w:bCs/>
        </w:rPr>
        <w:t xml:space="preserve"> na </w:t>
      </w:r>
      <w:r w:rsidR="002C19D9">
        <w:rPr>
          <w:b/>
          <w:bCs/>
        </w:rPr>
        <w:t>předmětnou část zakázky</w:t>
      </w:r>
      <w:r w:rsidRPr="005D1D2E">
        <w:rPr>
          <w:b/>
          <w:bCs/>
        </w:rPr>
        <w:t xml:space="preserve"> předloží v rámci nabídky dodavatel.</w:t>
      </w:r>
      <w:r>
        <w:t xml:space="preserve"> </w:t>
      </w:r>
      <w:r w:rsidR="000B7C25">
        <w:t>Pro</w:t>
      </w:r>
      <w:r w:rsidR="006E2B43">
        <w:t> </w:t>
      </w:r>
      <w:r w:rsidR="00A441B2">
        <w:t>vyloučení</w:t>
      </w:r>
      <w:r w:rsidR="000B7C25">
        <w:t xml:space="preserve"> pochybností Zadavatel uvádí, že </w:t>
      </w:r>
      <w:r w:rsidR="000B7C25" w:rsidRPr="00A441B2">
        <w:rPr>
          <w:b/>
          <w:bCs/>
        </w:rPr>
        <w:t>bude-li dodavatel podávat nabídku do obou částí zakázky, předloží dva návrhy Smlouvy, a to pro každou část zakázky</w:t>
      </w:r>
      <w:r w:rsidR="000B7C25">
        <w:t>.</w:t>
      </w:r>
    </w:p>
    <w:p w14:paraId="3023E382" w14:textId="731DF880" w:rsidR="00AB5244" w:rsidRDefault="00EB5E75" w:rsidP="000C4AE5">
      <w:r w:rsidRPr="00760B83">
        <w:t xml:space="preserve">Kompletní </w:t>
      </w:r>
      <w:r w:rsidR="00081B96">
        <w:t>z</w:t>
      </w:r>
      <w:r w:rsidR="00081B96" w:rsidRPr="00760B83">
        <w:t xml:space="preserve">adávací </w:t>
      </w:r>
      <w:r w:rsidR="00AB5244" w:rsidRPr="00760B83">
        <w:t xml:space="preserve">dokumentace zakázky je uveřejněna na profilu </w:t>
      </w:r>
      <w:r w:rsidR="008F5AC1">
        <w:t>z</w:t>
      </w:r>
      <w:r w:rsidR="00AB5244" w:rsidRPr="00760B83">
        <w:t>adavatele:</w:t>
      </w:r>
      <w:bookmarkEnd w:id="1"/>
      <w:r w:rsidR="00CF3F77">
        <w:t xml:space="preserve"> </w:t>
      </w:r>
      <w:hyperlink r:id="rId8" w:history="1">
        <w:r w:rsidR="00436F97" w:rsidRPr="000F615F">
          <w:rPr>
            <w:rStyle w:val="Hypertextovodkaz"/>
          </w:rPr>
          <w:t>https://profily.proebiz.com/profile/28746503</w:t>
        </w:r>
      </w:hyperlink>
      <w:r w:rsidR="00436F97">
        <w:t xml:space="preserve">. </w:t>
      </w:r>
    </w:p>
    <w:p w14:paraId="35EED11D" w14:textId="63D1FF50" w:rsidR="001F3782" w:rsidRDefault="001459D1" w:rsidP="000C4AE5">
      <w:pPr>
        <w:rPr>
          <w:rFonts w:cs="Tahoma"/>
        </w:rPr>
      </w:pPr>
      <w:r w:rsidRPr="00E5642D">
        <w:rPr>
          <w:rFonts w:ascii="Calibri" w:hAnsi="Calibri" w:cs="Calibri"/>
        </w:rPr>
        <w:t xml:space="preserve">Písemná komunikace mezi Zadavatelem a dodavatelem bude analogicky dle ustanovení § 211 odst. </w:t>
      </w:r>
      <w:r w:rsidR="00813CF4">
        <w:rPr>
          <w:rFonts w:ascii="Calibri" w:hAnsi="Calibri" w:cs="Calibri"/>
        </w:rPr>
        <w:t>5</w:t>
      </w:r>
      <w:r w:rsidRPr="00E5642D">
        <w:rPr>
          <w:rFonts w:ascii="Calibri" w:hAnsi="Calibri" w:cs="Calibri"/>
        </w:rPr>
        <w:t xml:space="preserve">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285C05">
        <w:rPr>
          <w:rFonts w:ascii="Calibri" w:hAnsi="Calibri" w:cs="Calibri"/>
        </w:rPr>
        <w:t>6</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25D90886" w14:textId="3E16CB36" w:rsidR="00AB5244" w:rsidRDefault="001F3782" w:rsidP="000C4AE5">
      <w:pPr>
        <w:rPr>
          <w:rFonts w:cs="Tahoma"/>
        </w:rPr>
      </w:pPr>
      <w:r w:rsidRPr="00760B83">
        <w:rPr>
          <w:rFonts w:cs="Tahoma"/>
        </w:rPr>
        <w:t xml:space="preserve">Na vypracování přílohy č. </w:t>
      </w:r>
      <w:r w:rsidR="00FB4461">
        <w:rPr>
          <w:rFonts w:cs="Tahoma"/>
        </w:rPr>
        <w:t>6</w:t>
      </w:r>
      <w:r w:rsidRPr="00B767C0">
        <w:rPr>
          <w:rFonts w:cs="Tahoma"/>
        </w:rPr>
        <w:t xml:space="preserve"> </w:t>
      </w:r>
      <w:r w:rsidR="00545C6D">
        <w:rPr>
          <w:rFonts w:cs="Tahoma"/>
        </w:rPr>
        <w:t>Výzvy</w:t>
      </w:r>
      <w:r w:rsidRPr="00B767C0">
        <w:rPr>
          <w:rFonts w:cs="Tahoma"/>
        </w:rPr>
        <w:t xml:space="preserve"> s názvem </w:t>
      </w:r>
      <w:r w:rsidRPr="00D41B53">
        <w:rPr>
          <w:rFonts w:cs="Tahoma"/>
        </w:rPr>
        <w:t>„Požadavky na elektronickou komunikaci JOSEPHINE“</w:t>
      </w:r>
      <w:r w:rsidRPr="00760B83">
        <w:rPr>
          <w:rFonts w:cs="Tahoma"/>
        </w:rPr>
        <w:t xml:space="preserve"> se podílela osoba odlišná od </w:t>
      </w:r>
      <w:r w:rsidR="00FC59A3">
        <w:rPr>
          <w:rFonts w:cs="Tahoma"/>
        </w:rPr>
        <w:t>Z</w:t>
      </w:r>
      <w:r w:rsidRPr="00760B83">
        <w:rPr>
          <w:rFonts w:cs="Tahoma"/>
        </w:rPr>
        <w:t xml:space="preserve">adavatele. Touto osobou je obchodní společnost </w:t>
      </w:r>
      <w:r>
        <w:rPr>
          <w:rFonts w:cs="Tahoma"/>
        </w:rPr>
        <w:t>PROEBIZ</w:t>
      </w:r>
      <w:r w:rsidRPr="00760B83">
        <w:rPr>
          <w:rFonts w:cs="Tahoma"/>
        </w:rPr>
        <w:t xml:space="preserve"> s.r.o., IČ</w:t>
      </w:r>
      <w:r w:rsidR="00920430">
        <w:rPr>
          <w:rFonts w:cs="Tahoma"/>
        </w:rPr>
        <w:t>O</w:t>
      </w:r>
      <w:r w:rsidRPr="00760B83">
        <w:rPr>
          <w:rFonts w:cs="Tahoma"/>
        </w:rPr>
        <w:t>:</w:t>
      </w:r>
      <w:r w:rsidR="00920430">
        <w:rPr>
          <w:rFonts w:cs="Tahoma"/>
        </w:rPr>
        <w:t> </w:t>
      </w:r>
      <w:r w:rsidRPr="00760B83">
        <w:rPr>
          <w:rFonts w:cs="Tahoma"/>
        </w:rPr>
        <w:t>646 16 398, se sídlem Masarykovo náměstí 52/33, Moravská Ostrava, 702 00 Ostrava.</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7777777"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lastRenderedPageBreak/>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6FC2B789" w14:textId="52C5C2EE" w:rsidR="00EB5E75" w:rsidRDefault="00384734" w:rsidP="000C4AE5">
      <w:pPr>
        <w:spacing w:after="0"/>
        <w:ind w:hanging="2"/>
        <w:rPr>
          <w:rFonts w:cs="Arial"/>
        </w:rPr>
      </w:pPr>
      <w:r>
        <w:rPr>
          <w:rFonts w:cs="Arial"/>
        </w:rPr>
        <w:t>z</w:t>
      </w:r>
      <w:r w:rsidRPr="004676C3">
        <w:rPr>
          <w:rFonts w:cs="Arial"/>
        </w:rPr>
        <w:t>astoupen</w:t>
      </w:r>
      <w:r>
        <w:rPr>
          <w:rFonts w:cs="Arial"/>
        </w:rPr>
        <w:t>ý:</w:t>
      </w:r>
      <w:r>
        <w:rPr>
          <w:rFonts w:cs="Arial"/>
        </w:rPr>
        <w:tab/>
      </w:r>
      <w:r w:rsidR="006213E1">
        <w:rPr>
          <w:rFonts w:cs="Arial"/>
        </w:rPr>
        <w:t xml:space="preserve">Ing. </w:t>
      </w:r>
      <w:r w:rsidR="003C6C84">
        <w:rPr>
          <w:rFonts w:cs="Arial"/>
        </w:rPr>
        <w:t>Petrem Správkou</w:t>
      </w:r>
      <w:r w:rsidR="00EB5E75">
        <w:rPr>
          <w:rFonts w:cs="Arial"/>
        </w:rPr>
        <w:t>, předsedou představenstva</w:t>
      </w:r>
    </w:p>
    <w:p w14:paraId="1C07E96C" w14:textId="77777777"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73526A66" w14:textId="4DBED295" w:rsidR="001F3782" w:rsidRDefault="00EB5E75" w:rsidP="000C4AE5">
      <w:pPr>
        <w:spacing w:before="120"/>
      </w:pPr>
      <w:r w:rsidRPr="008973B9">
        <w:t>(dále jen „</w:t>
      </w:r>
      <w:r w:rsidRPr="008973B9">
        <w:rPr>
          <w:b/>
        </w:rPr>
        <w:t>Zadavatel</w:t>
      </w:r>
      <w:r w:rsidRPr="008973B9">
        <w:t>“)</w:t>
      </w:r>
    </w:p>
    <w:p w14:paraId="3BC8D140" w14:textId="77777777" w:rsidR="00EB5E75" w:rsidRPr="003037D6" w:rsidRDefault="00EB5E75" w:rsidP="0063369F">
      <w:pPr>
        <w:pStyle w:val="Nadpis2"/>
        <w:keepNext/>
        <w:rPr>
          <w:color w:val="000000"/>
        </w:rPr>
      </w:pPr>
      <w:r w:rsidRPr="003037D6">
        <w:t>Zastoupení Zadavatele v zadávacím řízení</w:t>
      </w:r>
    </w:p>
    <w:p w14:paraId="22106A61" w14:textId="77777777" w:rsidR="00EB5E75" w:rsidRPr="003037D6" w:rsidRDefault="00EB5E75" w:rsidP="0063369F">
      <w:pPr>
        <w:pStyle w:val="Bezmezer"/>
        <w:keepNext/>
        <w:spacing w:line="276" w:lineRule="auto"/>
        <w:rPr>
          <w:rFonts w:cs="Arial"/>
        </w:rPr>
      </w:pPr>
      <w:r w:rsidRPr="003037D6">
        <w:rPr>
          <w:rFonts w:cs="Arial"/>
        </w:rPr>
        <w:t>Název:</w:t>
      </w:r>
      <w:r w:rsidR="00253100" w:rsidRPr="003037D6">
        <w:rPr>
          <w:rFonts w:cs="Arial"/>
        </w:rPr>
        <w:tab/>
      </w:r>
      <w:r w:rsidR="00253100" w:rsidRPr="003037D6">
        <w:rPr>
          <w:rFonts w:cs="Arial"/>
        </w:rPr>
        <w:tab/>
      </w:r>
      <w:r w:rsidR="003C6C84" w:rsidRPr="003037D6">
        <w:rPr>
          <w:rFonts w:cs="Arial"/>
          <w:b/>
          <w:bCs/>
        </w:rPr>
        <w:t>HAVEL &amp; PARTNERS s.r.o., advokátní kancelář</w:t>
      </w:r>
      <w:r w:rsidR="003C6C84" w:rsidRPr="003037D6">
        <w:rPr>
          <w:rFonts w:cs="Arial"/>
        </w:rPr>
        <w:t xml:space="preserve"> </w:t>
      </w:r>
    </w:p>
    <w:p w14:paraId="6ACDD4D1" w14:textId="77777777" w:rsidR="00EB5E75" w:rsidRPr="003037D6" w:rsidRDefault="00EB5E75" w:rsidP="000C4AE5">
      <w:pPr>
        <w:pStyle w:val="Bezmezer"/>
        <w:spacing w:line="276" w:lineRule="auto"/>
        <w:rPr>
          <w:rFonts w:cs="Arial"/>
        </w:rPr>
      </w:pPr>
      <w:r w:rsidRPr="003037D6">
        <w:rPr>
          <w:rFonts w:cs="Arial"/>
        </w:rPr>
        <w:t>IČ:</w:t>
      </w:r>
      <w:r w:rsidRPr="003037D6">
        <w:rPr>
          <w:rFonts w:cs="Arial"/>
        </w:rPr>
        <w:tab/>
      </w:r>
      <w:r w:rsidR="00253100" w:rsidRPr="003037D6">
        <w:rPr>
          <w:rFonts w:cs="Arial"/>
        </w:rPr>
        <w:tab/>
      </w:r>
      <w:r w:rsidR="003C6C84" w:rsidRPr="003037D6">
        <w:rPr>
          <w:rFonts w:cs="Arial"/>
        </w:rPr>
        <w:t>264 54 807</w:t>
      </w:r>
    </w:p>
    <w:p w14:paraId="756A3E00" w14:textId="77777777" w:rsidR="00EB5E75" w:rsidRPr="00D43D5C" w:rsidRDefault="00EB5E75" w:rsidP="000C4AE5">
      <w:pPr>
        <w:pStyle w:val="Bezmezer"/>
        <w:spacing w:line="276" w:lineRule="auto"/>
        <w:rPr>
          <w:rFonts w:cs="Arial"/>
        </w:rPr>
      </w:pPr>
      <w:r w:rsidRPr="003037D6">
        <w:rPr>
          <w:rFonts w:cs="Arial"/>
        </w:rPr>
        <w:t>DIČ:</w:t>
      </w:r>
      <w:r w:rsidRPr="003037D6">
        <w:rPr>
          <w:rFonts w:cs="Arial"/>
        </w:rPr>
        <w:tab/>
      </w:r>
      <w:r w:rsidR="00253100" w:rsidRPr="003037D6">
        <w:rPr>
          <w:rFonts w:cs="Arial"/>
        </w:rPr>
        <w:tab/>
      </w:r>
      <w:r w:rsidRPr="00D43D5C">
        <w:rPr>
          <w:rFonts w:cs="Arial"/>
        </w:rPr>
        <w:t>CZ</w:t>
      </w:r>
      <w:r w:rsidR="003C6C84" w:rsidRPr="00D43D5C">
        <w:rPr>
          <w:rFonts w:cs="Arial"/>
        </w:rPr>
        <w:t>26454807</w:t>
      </w:r>
    </w:p>
    <w:p w14:paraId="07D96B62" w14:textId="28436052" w:rsidR="00EB5E75" w:rsidRPr="00D43D5C" w:rsidRDefault="00EB5E75" w:rsidP="000C4AE5">
      <w:pPr>
        <w:pStyle w:val="Bezmezer"/>
        <w:spacing w:line="276" w:lineRule="auto"/>
        <w:rPr>
          <w:rFonts w:cs="Arial"/>
        </w:rPr>
      </w:pPr>
      <w:r w:rsidRPr="00D43D5C">
        <w:rPr>
          <w:rFonts w:cs="Arial"/>
        </w:rPr>
        <w:t xml:space="preserve">se </w:t>
      </w:r>
      <w:r w:rsidR="00384734" w:rsidRPr="00D43D5C">
        <w:rPr>
          <w:rFonts w:cs="Arial"/>
        </w:rPr>
        <w:t xml:space="preserve">sídlem: </w:t>
      </w:r>
      <w:r w:rsidR="00384734" w:rsidRPr="00D43D5C">
        <w:rPr>
          <w:rFonts w:cs="Arial"/>
        </w:rPr>
        <w:tab/>
      </w:r>
      <w:r w:rsidR="003C6C84" w:rsidRPr="00D43D5C">
        <w:rPr>
          <w:rFonts w:cs="Arial"/>
        </w:rPr>
        <w:t>Na Florenci 2116/15, Nové Město, 110 00 Praha 1</w:t>
      </w:r>
    </w:p>
    <w:p w14:paraId="3AF938F0" w14:textId="12281C33" w:rsidR="00EB5E75" w:rsidRPr="00D43D5C" w:rsidRDefault="00EB5E75" w:rsidP="000C4AE5">
      <w:pPr>
        <w:pStyle w:val="Bezmezer"/>
        <w:spacing w:line="276" w:lineRule="auto"/>
        <w:rPr>
          <w:rFonts w:cs="Arial"/>
        </w:rPr>
      </w:pPr>
      <w:r w:rsidRPr="00D43D5C">
        <w:rPr>
          <w:rFonts w:cs="Arial"/>
        </w:rPr>
        <w:t>zastoupená:</w:t>
      </w:r>
      <w:r w:rsidRPr="00D43D5C">
        <w:rPr>
          <w:rFonts w:cs="Arial"/>
        </w:rPr>
        <w:tab/>
        <w:t xml:space="preserve">Mgr. </w:t>
      </w:r>
      <w:r w:rsidR="003C6C84" w:rsidRPr="00D43D5C">
        <w:rPr>
          <w:rFonts w:cs="Arial"/>
        </w:rPr>
        <w:t>Josefem</w:t>
      </w:r>
      <w:r w:rsidRPr="00D43D5C">
        <w:rPr>
          <w:rFonts w:cs="Arial"/>
        </w:rPr>
        <w:t xml:space="preserve"> </w:t>
      </w:r>
      <w:r w:rsidR="003C6C84" w:rsidRPr="00D43D5C">
        <w:rPr>
          <w:rFonts w:cs="Arial"/>
        </w:rPr>
        <w:t>Hlavičkou</w:t>
      </w:r>
      <w:r w:rsidRPr="00D43D5C">
        <w:rPr>
          <w:rFonts w:cs="Arial"/>
        </w:rPr>
        <w:t xml:space="preserve">, </w:t>
      </w:r>
      <w:r w:rsidR="00D43D5C" w:rsidRPr="00D43D5C">
        <w:rPr>
          <w:rFonts w:cs="Arial"/>
        </w:rPr>
        <w:t>jednatelem</w:t>
      </w:r>
    </w:p>
    <w:p w14:paraId="060A1AB8" w14:textId="4F2EB0D0" w:rsidR="003C6C84" w:rsidRPr="00D43D5C" w:rsidRDefault="003C6C84" w:rsidP="000C4AE5">
      <w:pPr>
        <w:pStyle w:val="Bezmezer"/>
        <w:spacing w:line="276" w:lineRule="auto"/>
        <w:rPr>
          <w:rFonts w:cs="Arial"/>
        </w:rPr>
      </w:pPr>
      <w:r w:rsidRPr="00D43D5C">
        <w:rPr>
          <w:rFonts w:cs="Arial"/>
        </w:rPr>
        <w:t>kontakt:</w:t>
      </w:r>
      <w:r w:rsidRPr="00D43D5C">
        <w:rPr>
          <w:rFonts w:cs="Arial"/>
        </w:rPr>
        <w:tab/>
      </w:r>
      <w:r w:rsidR="00D43D5C" w:rsidRPr="00D43D5C">
        <w:rPr>
          <w:rFonts w:cs="Arial"/>
        </w:rPr>
        <w:t>Mgr. Mária Kopecká</w:t>
      </w:r>
      <w:r w:rsidR="00D43D5C">
        <w:rPr>
          <w:rFonts w:cs="Arial"/>
        </w:rPr>
        <w:t>, advokátka</w:t>
      </w:r>
    </w:p>
    <w:p w14:paraId="4CAFBBEA" w14:textId="35727377" w:rsidR="00EB5E75" w:rsidRPr="003037D6" w:rsidRDefault="008F5AC1" w:rsidP="000C4AE5">
      <w:pPr>
        <w:pStyle w:val="Bezmezer"/>
        <w:spacing w:line="276" w:lineRule="auto"/>
        <w:rPr>
          <w:rFonts w:cs="Arial"/>
        </w:rPr>
      </w:pPr>
      <w:r w:rsidRPr="00D43D5C">
        <w:rPr>
          <w:rFonts w:cs="Arial"/>
        </w:rPr>
        <w:t>e</w:t>
      </w:r>
      <w:r w:rsidR="00EB5E75" w:rsidRPr="00D43D5C">
        <w:rPr>
          <w:rFonts w:cs="Arial"/>
        </w:rPr>
        <w:t>-mail:</w:t>
      </w:r>
      <w:r w:rsidR="00EB5E75" w:rsidRPr="00D43D5C">
        <w:rPr>
          <w:rFonts w:cs="Arial"/>
        </w:rPr>
        <w:tab/>
      </w:r>
      <w:r w:rsidR="00253100" w:rsidRPr="00D43D5C">
        <w:rPr>
          <w:rFonts w:cs="Arial"/>
        </w:rPr>
        <w:tab/>
      </w:r>
      <w:hyperlink r:id="rId9" w:history="1">
        <w:r w:rsidR="00D43D5C" w:rsidRPr="00D43D5C">
          <w:rPr>
            <w:rStyle w:val="Hypertextovodkaz"/>
            <w:rFonts w:cs="Arial"/>
          </w:rPr>
          <w:t>maria.kopecka@havelpartners.cz</w:t>
        </w:r>
      </w:hyperlink>
      <w:r w:rsidR="00D43D5C">
        <w:rPr>
          <w:rFonts w:cs="Arial"/>
        </w:rPr>
        <w:t xml:space="preserve"> </w:t>
      </w:r>
      <w:r w:rsidR="003C6C84" w:rsidRPr="003037D6">
        <w:rPr>
          <w:rFonts w:cs="Arial"/>
        </w:rPr>
        <w:t xml:space="preserve"> </w:t>
      </w:r>
      <w:r w:rsidR="00253100" w:rsidRPr="003037D6">
        <w:rPr>
          <w:rFonts w:cs="Arial"/>
        </w:rPr>
        <w:t xml:space="preserve">  </w:t>
      </w:r>
      <w:r w:rsidR="00EB5E75" w:rsidRPr="003037D6">
        <w:rPr>
          <w:rFonts w:cs="Arial"/>
        </w:rPr>
        <w:t xml:space="preserve"> </w:t>
      </w:r>
    </w:p>
    <w:p w14:paraId="0CC8ED42" w14:textId="426F59BA" w:rsidR="00EB5E75" w:rsidRPr="003037D6" w:rsidRDefault="00EB5E75" w:rsidP="000C4AE5">
      <w:pPr>
        <w:pStyle w:val="Bezmezer"/>
        <w:spacing w:line="276" w:lineRule="auto"/>
        <w:rPr>
          <w:rFonts w:cs="Arial"/>
        </w:rPr>
      </w:pPr>
      <w:r w:rsidRPr="003037D6">
        <w:rPr>
          <w:rFonts w:cs="Arial"/>
        </w:rPr>
        <w:t xml:space="preserve">tel: </w:t>
      </w:r>
      <w:r w:rsidRPr="003037D6">
        <w:rPr>
          <w:rFonts w:cs="Arial"/>
        </w:rPr>
        <w:tab/>
      </w:r>
      <w:r w:rsidR="00253100" w:rsidRPr="003037D6">
        <w:rPr>
          <w:rFonts w:cs="Arial"/>
        </w:rPr>
        <w:tab/>
      </w:r>
      <w:r w:rsidRPr="003037D6">
        <w:rPr>
          <w:rFonts w:cs="Arial"/>
        </w:rPr>
        <w:t>+420</w:t>
      </w:r>
      <w:r w:rsidR="00D43D5C">
        <w:rPr>
          <w:rFonts w:cs="Arial"/>
        </w:rPr>
        <w:t> 545 423 420</w:t>
      </w:r>
    </w:p>
    <w:p w14:paraId="7F80EEEE" w14:textId="209583DE" w:rsidR="00084803" w:rsidRDefault="00C20ED4" w:rsidP="00921EDC">
      <w:pPr>
        <w:spacing w:before="120"/>
      </w:pPr>
      <w:r w:rsidRPr="00E5642D">
        <w:rPr>
          <w:rFonts w:ascii="Calibri" w:hAnsi="Calibri" w:cs="Calibri"/>
        </w:rPr>
        <w:t>Zástupce zastupuje je zároveň kontaktní osobou Zadavatele ve věcech souvisejících s výběrovým řízením.</w:t>
      </w:r>
    </w:p>
    <w:p w14:paraId="105B295C" w14:textId="16834F49" w:rsidR="00253100" w:rsidRPr="00190229" w:rsidRDefault="00253100" w:rsidP="008A3A0A">
      <w:pPr>
        <w:pStyle w:val="Nadpis1"/>
      </w:pPr>
      <w:r w:rsidRPr="00190229">
        <w:t>SPECIFIKACE ZAKÁZKY</w:t>
      </w:r>
    </w:p>
    <w:p w14:paraId="144E5C81" w14:textId="0BDC1E4E" w:rsidR="00253100" w:rsidRPr="00253100" w:rsidRDefault="00253100">
      <w:pPr>
        <w:pStyle w:val="Nadpis2"/>
      </w:pPr>
      <w:bookmarkStart w:id="2" w:name="_Ref143519698"/>
      <w:r w:rsidRPr="00253100">
        <w:t>Předmět zakázky</w:t>
      </w:r>
      <w:bookmarkEnd w:id="2"/>
    </w:p>
    <w:p w14:paraId="446B5211" w14:textId="70A8AD50" w:rsidR="00375C21" w:rsidRPr="00567F35" w:rsidRDefault="009A6BB4" w:rsidP="009A6BB4">
      <w:pPr>
        <w:pStyle w:val="Default"/>
        <w:spacing w:before="120" w:after="120" w:line="276" w:lineRule="auto"/>
        <w:jc w:val="both"/>
        <w:rPr>
          <w:b/>
          <w:bCs/>
          <w:sz w:val="22"/>
          <w:szCs w:val="22"/>
        </w:rPr>
      </w:pPr>
      <w:r w:rsidRPr="00567F35">
        <w:rPr>
          <w:b/>
          <w:bCs/>
          <w:sz w:val="22"/>
          <w:szCs w:val="22"/>
        </w:rPr>
        <w:t xml:space="preserve">Část 1 – nízké napětí – NN </w:t>
      </w:r>
    </w:p>
    <w:p w14:paraId="7219F440" w14:textId="55C8A6C4" w:rsidR="00122DA3" w:rsidRDefault="00122DA3" w:rsidP="00122DA3">
      <w:pPr>
        <w:spacing w:before="120"/>
        <w:rPr>
          <w:rFonts w:cs="Tahoma"/>
        </w:rPr>
      </w:pPr>
      <w:r w:rsidRPr="00EA44FD">
        <w:rPr>
          <w:rFonts w:cs="Tahoma"/>
        </w:rPr>
        <w:t>Předmětem</w:t>
      </w:r>
      <w:r>
        <w:rPr>
          <w:rFonts w:cs="Tahoma"/>
        </w:rPr>
        <w:t xml:space="preserve"> části 1 zakázky jsou dodávky elektrické energie z napěťové hladiny nízkého napětí (dále jen „</w:t>
      </w:r>
      <w:r w:rsidRPr="00D50AD6">
        <w:rPr>
          <w:rFonts w:cs="Tahoma"/>
          <w:b/>
          <w:bCs/>
        </w:rPr>
        <w:t>NN</w:t>
      </w:r>
      <w:r>
        <w:rPr>
          <w:rFonts w:cs="Tahoma"/>
        </w:rPr>
        <w:t>“)</w:t>
      </w:r>
      <w:r w:rsidR="00E761C7">
        <w:rPr>
          <w:rFonts w:cs="Tahoma"/>
        </w:rPr>
        <w:t>, a to pro období</w:t>
      </w:r>
      <w:r>
        <w:rPr>
          <w:rFonts w:cs="Tahoma"/>
        </w:rPr>
        <w:t xml:space="preserve"> od 1. 1. 202</w:t>
      </w:r>
      <w:r w:rsidR="00A62209">
        <w:rPr>
          <w:rFonts w:cs="Tahoma"/>
        </w:rPr>
        <w:t>4</w:t>
      </w:r>
      <w:r>
        <w:rPr>
          <w:rFonts w:cs="Tahoma"/>
        </w:rPr>
        <w:t xml:space="preserve"> do 31. 12. 202</w:t>
      </w:r>
      <w:r w:rsidR="00A62209">
        <w:rPr>
          <w:rFonts w:cs="Tahoma"/>
        </w:rPr>
        <w:t>4</w:t>
      </w:r>
      <w:r>
        <w:rPr>
          <w:rFonts w:cs="Tahoma"/>
        </w:rPr>
        <w:t xml:space="preserve"> pro Zadavatele </w:t>
      </w:r>
      <w:r w:rsidRPr="00126211">
        <w:rPr>
          <w:rFonts w:cs="Tahoma"/>
        </w:rPr>
        <w:t>v kvalitě dle vyhlášky Energetického regulačního úřadu (dále jen</w:t>
      </w:r>
      <w:r>
        <w:rPr>
          <w:rFonts w:cs="Tahoma"/>
        </w:rPr>
        <w:t xml:space="preserve"> </w:t>
      </w:r>
      <w:r w:rsidRPr="00126211">
        <w:rPr>
          <w:rFonts w:cs="Tahoma"/>
        </w:rPr>
        <w:t>„</w:t>
      </w:r>
      <w:r w:rsidRPr="00126211">
        <w:rPr>
          <w:rFonts w:cs="Tahoma"/>
          <w:b/>
          <w:bCs/>
        </w:rPr>
        <w:t>ERÚ</w:t>
      </w:r>
      <w:r w:rsidRPr="00126211">
        <w:rPr>
          <w:rFonts w:cs="Tahoma"/>
        </w:rPr>
        <w:t>“) č. 540/2005 Sb., o</w:t>
      </w:r>
      <w:r>
        <w:rPr>
          <w:rFonts w:cs="Tahoma"/>
        </w:rPr>
        <w:t> </w:t>
      </w:r>
      <w:r w:rsidRPr="00126211">
        <w:rPr>
          <w:rFonts w:cs="Tahoma"/>
        </w:rPr>
        <w:t>kvalitě dodávek elektřiny a souvisejících služeb</w:t>
      </w:r>
      <w:r>
        <w:rPr>
          <w:rFonts w:cs="Tahoma"/>
        </w:rPr>
        <w:t xml:space="preserve"> </w:t>
      </w:r>
      <w:r w:rsidRPr="00126211">
        <w:rPr>
          <w:rFonts w:cs="Tahoma"/>
        </w:rPr>
        <w:t>v elektroenergetice, ve</w:t>
      </w:r>
      <w:r w:rsidR="0020694C">
        <w:rPr>
          <w:rFonts w:cs="Tahoma"/>
        </w:rPr>
        <w:t> </w:t>
      </w:r>
      <w:r w:rsidRPr="00126211">
        <w:rPr>
          <w:rFonts w:cs="Tahoma"/>
        </w:rPr>
        <w:t xml:space="preserve">znění pozdějších předpisů, v předpokládaném ročním množství </w:t>
      </w:r>
      <w:r w:rsidRPr="00EB0C4F">
        <w:rPr>
          <w:rFonts w:cs="Tahoma"/>
        </w:rPr>
        <w:t xml:space="preserve">přibližně </w:t>
      </w:r>
      <w:r w:rsidR="006C52E5">
        <w:rPr>
          <w:rFonts w:cs="Tahoma"/>
        </w:rPr>
        <w:t>223</w:t>
      </w:r>
      <w:r w:rsidRPr="00EB0C4F">
        <w:rPr>
          <w:rFonts w:cs="Tahoma"/>
        </w:rPr>
        <w:t xml:space="preserve"> MWh v hladině NN</w:t>
      </w:r>
      <w:r w:rsidR="00BC1651">
        <w:rPr>
          <w:rFonts w:cs="Tahoma"/>
        </w:rPr>
        <w:t>,</w:t>
      </w:r>
      <w:r w:rsidRPr="00126211">
        <w:rPr>
          <w:rFonts w:cs="Tahoma"/>
        </w:rPr>
        <w:t xml:space="preserve"> a s tím související závazek</w:t>
      </w:r>
      <w:r>
        <w:rPr>
          <w:rFonts w:cs="Tahoma"/>
        </w:rPr>
        <w:t xml:space="preserve"> </w:t>
      </w:r>
      <w:r w:rsidRPr="00126211">
        <w:rPr>
          <w:rFonts w:cs="Tahoma"/>
        </w:rPr>
        <w:t>odběru elektřiny z elektrizační soustavy a</w:t>
      </w:r>
      <w:r>
        <w:rPr>
          <w:rFonts w:cs="Tahoma"/>
        </w:rPr>
        <w:t> </w:t>
      </w:r>
      <w:r w:rsidRPr="00126211">
        <w:rPr>
          <w:rFonts w:cs="Tahoma"/>
        </w:rPr>
        <w:t>převzetí odpovědnosti dodavatele za odchylku</w:t>
      </w:r>
      <w:r>
        <w:rPr>
          <w:rFonts w:cs="Tahoma"/>
        </w:rPr>
        <w:t xml:space="preserve"> Z</w:t>
      </w:r>
      <w:r w:rsidRPr="00126211">
        <w:rPr>
          <w:rFonts w:cs="Tahoma"/>
        </w:rPr>
        <w:t>adavatele vůči operátorovi trhu ve smyslu zákona č. 458/2000 Sb., o podmínkách</w:t>
      </w:r>
      <w:r>
        <w:rPr>
          <w:rFonts w:cs="Tahoma"/>
        </w:rPr>
        <w:t xml:space="preserve"> </w:t>
      </w:r>
      <w:r w:rsidRPr="00126211">
        <w:rPr>
          <w:rFonts w:cs="Tahoma"/>
        </w:rPr>
        <w:t>podnikání a o výkonu státní správy v energetických odvětvích a o změně některých</w:t>
      </w:r>
      <w:r>
        <w:rPr>
          <w:rFonts w:cs="Tahoma"/>
        </w:rPr>
        <w:t xml:space="preserve"> </w:t>
      </w:r>
      <w:r w:rsidRPr="00126211">
        <w:rPr>
          <w:rFonts w:cs="Tahoma"/>
        </w:rPr>
        <w:t>zákonů, ve znění pozdějších přepisů (dále také jako „</w:t>
      </w:r>
      <w:r w:rsidRPr="00A650F2">
        <w:rPr>
          <w:rFonts w:cs="Tahoma"/>
          <w:b/>
          <w:bCs/>
        </w:rPr>
        <w:t>energetický zákon</w:t>
      </w:r>
      <w:r w:rsidRPr="00126211">
        <w:rPr>
          <w:rFonts w:cs="Tahoma"/>
        </w:rPr>
        <w:t>“), a vyhlášky</w:t>
      </w:r>
      <w:r>
        <w:rPr>
          <w:rFonts w:cs="Tahoma"/>
        </w:rPr>
        <w:t xml:space="preserve"> </w:t>
      </w:r>
      <w:r w:rsidRPr="00126211">
        <w:rPr>
          <w:rFonts w:cs="Tahoma"/>
        </w:rPr>
        <w:t>ERÚ č. 408/2015 Sb., o Pravidlech trhu s elektřinou, ve znění pozdějších předpisů</w:t>
      </w:r>
      <w:r>
        <w:rPr>
          <w:rFonts w:cs="Tahoma"/>
        </w:rPr>
        <w:t xml:space="preserve">. </w:t>
      </w:r>
    </w:p>
    <w:p w14:paraId="68BC327F" w14:textId="020471FB" w:rsidR="00122DA3" w:rsidRPr="00EA44FD" w:rsidRDefault="00122DA3" w:rsidP="00122DA3">
      <w:pPr>
        <w:spacing w:before="120"/>
        <w:rPr>
          <w:rFonts w:cs="Tahoma"/>
        </w:rPr>
      </w:pPr>
      <w:r>
        <w:rPr>
          <w:rFonts w:cs="Tahoma"/>
        </w:rPr>
        <w:t>Předmětem p</w:t>
      </w:r>
      <w:r w:rsidRPr="00EA44FD">
        <w:rPr>
          <w:rFonts w:cs="Tahoma"/>
        </w:rPr>
        <w:t>lnění je</w:t>
      </w:r>
      <w:r>
        <w:rPr>
          <w:rFonts w:cs="Tahoma"/>
        </w:rPr>
        <w:t xml:space="preserve"> dále</w:t>
      </w:r>
      <w:r w:rsidRPr="00EA44FD">
        <w:rPr>
          <w:rFonts w:cs="Tahoma"/>
        </w:rPr>
        <w:t xml:space="preserve"> nákup na denním trhu s elektřinou organizovaném operátorem trhu s elektřinou a</w:t>
      </w:r>
      <w:r>
        <w:rPr>
          <w:rFonts w:cs="Tahoma"/>
        </w:rPr>
        <w:t> </w:t>
      </w:r>
      <w:r w:rsidRPr="00EA44FD">
        <w:rPr>
          <w:rFonts w:cs="Tahoma"/>
        </w:rPr>
        <w:t xml:space="preserve">dodávka sjednaného množství </w:t>
      </w:r>
      <w:r>
        <w:rPr>
          <w:rFonts w:cs="Tahoma"/>
        </w:rPr>
        <w:t xml:space="preserve">elektrické energie </w:t>
      </w:r>
      <w:r w:rsidRPr="00EA44FD">
        <w:rPr>
          <w:rFonts w:cs="Tahoma"/>
        </w:rPr>
        <w:t xml:space="preserve">do odběrných míst </w:t>
      </w:r>
      <w:r>
        <w:rPr>
          <w:rFonts w:cs="Tahoma"/>
        </w:rPr>
        <w:t>Z</w:t>
      </w:r>
      <w:r w:rsidRPr="00EA44FD">
        <w:rPr>
          <w:rFonts w:cs="Tahoma"/>
        </w:rPr>
        <w:t>adavatele v kvalitě podle příslušných platných</w:t>
      </w:r>
      <w:r>
        <w:rPr>
          <w:rFonts w:cs="Tahoma"/>
        </w:rPr>
        <w:t xml:space="preserve"> </w:t>
      </w:r>
      <w:r w:rsidRPr="00EA44FD">
        <w:rPr>
          <w:rFonts w:cs="Tahoma"/>
        </w:rPr>
        <w:t>právních předpisů, pokud tomu nebrání okolnosti vyvolané provozovatelem distribuční soustavy nebo okolnosti stanovené právními předpisy.</w:t>
      </w:r>
    </w:p>
    <w:p w14:paraId="16EA224F" w14:textId="66F5C94C" w:rsidR="00122DA3" w:rsidRDefault="00122DA3" w:rsidP="00122DA3">
      <w:pPr>
        <w:spacing w:before="120"/>
        <w:rPr>
          <w:rFonts w:cs="Tahoma"/>
        </w:rPr>
      </w:pPr>
      <w:r w:rsidRPr="00EA44FD">
        <w:rPr>
          <w:rFonts w:cs="Tahoma"/>
        </w:rPr>
        <w:t xml:space="preserve">Za sjednané množství dodávky </w:t>
      </w:r>
      <w:r>
        <w:rPr>
          <w:rFonts w:cs="Tahoma"/>
        </w:rPr>
        <w:t xml:space="preserve">elektrické energie </w:t>
      </w:r>
      <w:r w:rsidRPr="00EA44FD">
        <w:rPr>
          <w:rFonts w:cs="Tahoma"/>
        </w:rPr>
        <w:t>se považuje skutečně dodané a odebrané množství</w:t>
      </w:r>
      <w:r w:rsidR="00431790">
        <w:rPr>
          <w:rFonts w:cs="Tahoma"/>
        </w:rPr>
        <w:t xml:space="preserve"> silové</w:t>
      </w:r>
      <w:r w:rsidRPr="00EA44FD">
        <w:rPr>
          <w:rFonts w:cs="Tahoma"/>
        </w:rPr>
        <w:t xml:space="preserve"> elektřiny v odběrném místě </w:t>
      </w:r>
      <w:r>
        <w:rPr>
          <w:rFonts w:cs="Tahoma"/>
        </w:rPr>
        <w:t>odběratele</w:t>
      </w:r>
      <w:r w:rsidRPr="00EA44FD">
        <w:rPr>
          <w:rFonts w:cs="Tahoma"/>
        </w:rPr>
        <w:t>.</w:t>
      </w:r>
      <w:r>
        <w:rPr>
          <w:rFonts w:cs="Tahoma"/>
        </w:rPr>
        <w:t xml:space="preserve"> Celkové množství dodávky silové elektřiny uvedené </w:t>
      </w:r>
      <w:r w:rsidR="00E8070E">
        <w:rPr>
          <w:rFonts w:cs="Tahoma"/>
        </w:rPr>
        <w:t>v</w:t>
      </w:r>
      <w:r w:rsidRPr="009809D6">
        <w:rPr>
          <w:rFonts w:cs="Tahoma"/>
          <w:color w:val="000000"/>
        </w:rPr>
        <w:t xml:space="preserve"> přílo</w:t>
      </w:r>
      <w:r>
        <w:rPr>
          <w:rFonts w:cs="Tahoma"/>
          <w:color w:val="000000"/>
        </w:rPr>
        <w:t>ze</w:t>
      </w:r>
      <w:r w:rsidRPr="009809D6">
        <w:rPr>
          <w:rFonts w:cs="Tahoma"/>
          <w:color w:val="000000"/>
        </w:rPr>
        <w:t xml:space="preserve"> č. </w:t>
      </w:r>
      <w:r w:rsidR="009C7854">
        <w:rPr>
          <w:rFonts w:cs="Tahoma"/>
          <w:color w:val="000000"/>
        </w:rPr>
        <w:t>2</w:t>
      </w:r>
      <w:r>
        <w:rPr>
          <w:rFonts w:cs="Tahoma"/>
          <w:color w:val="000000"/>
        </w:rPr>
        <w:t xml:space="preserve"> </w:t>
      </w:r>
      <w:r w:rsidR="00E8070E">
        <w:rPr>
          <w:rFonts w:cs="Tahoma"/>
          <w:color w:val="000000"/>
        </w:rPr>
        <w:t xml:space="preserve">Výzvy </w:t>
      </w:r>
      <w:r w:rsidRPr="009809D6">
        <w:rPr>
          <w:rFonts w:cs="Tahoma"/>
          <w:color w:val="000000"/>
        </w:rPr>
        <w:t>– seznam odběrných míst v</w:t>
      </w:r>
      <w:r>
        <w:rPr>
          <w:rFonts w:cs="Tahoma"/>
          <w:color w:val="000000"/>
        </w:rPr>
        <w:t> </w:t>
      </w:r>
      <w:r w:rsidRPr="009809D6">
        <w:rPr>
          <w:rFonts w:cs="Tahoma"/>
          <w:color w:val="000000"/>
        </w:rPr>
        <w:t xml:space="preserve">hladině </w:t>
      </w:r>
      <w:r>
        <w:rPr>
          <w:rFonts w:cs="Tahoma"/>
          <w:color w:val="000000"/>
        </w:rPr>
        <w:t>NN představuje celkový odběr silové elektřiny za rok 202</w:t>
      </w:r>
      <w:r w:rsidR="00E455EA">
        <w:rPr>
          <w:rFonts w:cs="Tahoma"/>
          <w:color w:val="000000"/>
        </w:rPr>
        <w:t>2</w:t>
      </w:r>
      <w:r>
        <w:rPr>
          <w:rFonts w:cs="Tahoma"/>
          <w:color w:val="000000"/>
        </w:rPr>
        <w:t xml:space="preserve"> na příslušných odběrových místech, který slouží jako orientační množství ročního odběru silové elektřiny. </w:t>
      </w:r>
    </w:p>
    <w:p w14:paraId="4DECC994" w14:textId="77777777" w:rsidR="00122DA3" w:rsidRDefault="00122DA3" w:rsidP="00122DA3">
      <w:pPr>
        <w:spacing w:before="120"/>
        <w:rPr>
          <w:rFonts w:cs="Tahoma"/>
        </w:rPr>
      </w:pPr>
      <w:r w:rsidRPr="00EA44FD">
        <w:rPr>
          <w:rFonts w:cs="Tahoma"/>
        </w:rPr>
        <w:lastRenderedPageBreak/>
        <w:t>Dodávka silové elektřiny je splněna přechodem elektřiny z</w:t>
      </w:r>
      <w:r>
        <w:rPr>
          <w:rFonts w:cs="Tahoma"/>
        </w:rPr>
        <w:t> </w:t>
      </w:r>
      <w:r w:rsidRPr="00EA44FD">
        <w:rPr>
          <w:rFonts w:cs="Tahoma"/>
        </w:rPr>
        <w:t xml:space="preserve">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w:t>
      </w:r>
    </w:p>
    <w:p w14:paraId="3E2EF71A" w14:textId="0C47E6EB" w:rsidR="00407629" w:rsidRPr="00567F35" w:rsidRDefault="00407629" w:rsidP="00122DA3">
      <w:pPr>
        <w:spacing w:before="120"/>
        <w:rPr>
          <w:rFonts w:cs="Tahoma"/>
          <w:b/>
          <w:bCs/>
        </w:rPr>
      </w:pPr>
      <w:r w:rsidRPr="00567F35">
        <w:rPr>
          <w:rFonts w:cs="Tahoma"/>
          <w:b/>
          <w:bCs/>
        </w:rPr>
        <w:t>Část 2 – vysoké napětí VN</w:t>
      </w:r>
    </w:p>
    <w:p w14:paraId="110B9434" w14:textId="434A4E4E" w:rsidR="00CC39A4" w:rsidRDefault="00CC39A4" w:rsidP="00CC39A4">
      <w:pPr>
        <w:spacing w:before="120"/>
        <w:rPr>
          <w:rFonts w:cs="Tahoma"/>
        </w:rPr>
      </w:pPr>
      <w:r w:rsidRPr="00EA44FD">
        <w:rPr>
          <w:rFonts w:cs="Tahoma"/>
        </w:rPr>
        <w:t xml:space="preserve">Předmětem </w:t>
      </w:r>
      <w:r>
        <w:rPr>
          <w:rFonts w:cs="Tahoma"/>
        </w:rPr>
        <w:t>zakázky jsou dodávky elektrické energie z napěťové hladiny vysokého napětí (dále jen „</w:t>
      </w:r>
      <w:r w:rsidRPr="00404146">
        <w:rPr>
          <w:rFonts w:cs="Tahoma"/>
          <w:b/>
          <w:bCs/>
        </w:rPr>
        <w:t>VN</w:t>
      </w:r>
      <w:r>
        <w:rPr>
          <w:rFonts w:cs="Tahoma"/>
        </w:rPr>
        <w:t>“)</w:t>
      </w:r>
      <w:r w:rsidR="00B43BD9">
        <w:rPr>
          <w:rFonts w:cs="Tahoma"/>
        </w:rPr>
        <w:t>,</w:t>
      </w:r>
      <w:r>
        <w:rPr>
          <w:rFonts w:cs="Tahoma"/>
        </w:rPr>
        <w:t xml:space="preserve"> </w:t>
      </w:r>
      <w:r w:rsidR="00B43BD9">
        <w:rPr>
          <w:rFonts w:cs="Tahoma"/>
        </w:rPr>
        <w:t xml:space="preserve">a to pro období od 1. 1. 2024 do 31. 12. 2024 </w:t>
      </w:r>
      <w:r>
        <w:rPr>
          <w:rFonts w:cs="Tahoma"/>
        </w:rPr>
        <w:t xml:space="preserve"> pro Zadavatele </w:t>
      </w:r>
      <w:r w:rsidRPr="00126211">
        <w:rPr>
          <w:rFonts w:cs="Tahoma"/>
        </w:rPr>
        <w:t xml:space="preserve">v kvalitě dle vyhlášky </w:t>
      </w:r>
      <w:r>
        <w:rPr>
          <w:rFonts w:cs="Tahoma"/>
        </w:rPr>
        <w:t xml:space="preserve">ERÚ </w:t>
      </w:r>
      <w:r w:rsidRPr="00126211">
        <w:rPr>
          <w:rFonts w:cs="Tahoma"/>
        </w:rPr>
        <w:t>č. 540/2005 Sb., o</w:t>
      </w:r>
      <w:r>
        <w:rPr>
          <w:rFonts w:cs="Tahoma"/>
        </w:rPr>
        <w:t> </w:t>
      </w:r>
      <w:r w:rsidRPr="00126211">
        <w:rPr>
          <w:rFonts w:cs="Tahoma"/>
        </w:rPr>
        <w:t>kvalitě dodávek elektřiny a souvisejících služeb</w:t>
      </w:r>
      <w:r>
        <w:rPr>
          <w:rFonts w:cs="Tahoma"/>
        </w:rPr>
        <w:t xml:space="preserve"> </w:t>
      </w:r>
      <w:r w:rsidRPr="00126211">
        <w:rPr>
          <w:rFonts w:cs="Tahoma"/>
        </w:rPr>
        <w:t xml:space="preserve">v elektroenergetice, ve znění pozdějších předpisů, v předpokládaném ročním množství </w:t>
      </w:r>
      <w:r w:rsidRPr="00EB0C4F">
        <w:rPr>
          <w:rFonts w:cs="Tahoma"/>
        </w:rPr>
        <w:t xml:space="preserve">přibližně </w:t>
      </w:r>
      <w:r w:rsidR="00D15F08">
        <w:rPr>
          <w:rFonts w:cs="Tahoma"/>
        </w:rPr>
        <w:t>6</w:t>
      </w:r>
      <w:r w:rsidR="00F1237F">
        <w:rPr>
          <w:rFonts w:cs="Tahoma"/>
        </w:rPr>
        <w:t>2</w:t>
      </w:r>
      <w:r w:rsidRPr="00EB0C4F">
        <w:rPr>
          <w:rFonts w:cs="Tahoma"/>
        </w:rPr>
        <w:t xml:space="preserve"> MWh v hladině VN </w:t>
      </w:r>
      <w:r w:rsidRPr="00126211">
        <w:rPr>
          <w:rFonts w:cs="Tahoma"/>
        </w:rPr>
        <w:t>a s tím související závazek</w:t>
      </w:r>
      <w:r>
        <w:rPr>
          <w:rFonts w:cs="Tahoma"/>
        </w:rPr>
        <w:t xml:space="preserve"> </w:t>
      </w:r>
      <w:r w:rsidRPr="00126211">
        <w:rPr>
          <w:rFonts w:cs="Tahoma"/>
        </w:rPr>
        <w:t>odběru elektřiny z elektrizační soustavy a</w:t>
      </w:r>
      <w:r>
        <w:rPr>
          <w:rFonts w:cs="Tahoma"/>
        </w:rPr>
        <w:t> </w:t>
      </w:r>
      <w:r w:rsidRPr="00126211">
        <w:rPr>
          <w:rFonts w:cs="Tahoma"/>
        </w:rPr>
        <w:t>převzetí odpovědnosti dodavatele za odchylku</w:t>
      </w:r>
      <w:r>
        <w:rPr>
          <w:rFonts w:cs="Tahoma"/>
        </w:rPr>
        <w:t xml:space="preserve"> Z</w:t>
      </w:r>
      <w:r w:rsidRPr="00126211">
        <w:rPr>
          <w:rFonts w:cs="Tahoma"/>
        </w:rPr>
        <w:t xml:space="preserve">adavatele vůči operátorovi trhu ve smyslu </w:t>
      </w:r>
      <w:r w:rsidR="006274FD">
        <w:rPr>
          <w:rFonts w:cs="Tahoma"/>
        </w:rPr>
        <w:t xml:space="preserve">energetického </w:t>
      </w:r>
      <w:r w:rsidRPr="00126211">
        <w:rPr>
          <w:rFonts w:cs="Tahoma"/>
        </w:rPr>
        <w:t>zákona a vyhlášky</w:t>
      </w:r>
      <w:r>
        <w:rPr>
          <w:rFonts w:cs="Tahoma"/>
        </w:rPr>
        <w:t xml:space="preserve"> </w:t>
      </w:r>
      <w:r w:rsidRPr="00126211">
        <w:rPr>
          <w:rFonts w:cs="Tahoma"/>
        </w:rPr>
        <w:t>ERÚ č. 408/2015 Sb., o Pravidlech trhu s elektřinou, ve znění pozdějších předpisů</w:t>
      </w:r>
      <w:r>
        <w:rPr>
          <w:rFonts w:cs="Tahoma"/>
        </w:rPr>
        <w:t xml:space="preserve">. </w:t>
      </w:r>
    </w:p>
    <w:p w14:paraId="04413974" w14:textId="4FBB80C1" w:rsidR="00CC39A4" w:rsidRPr="00EA44FD" w:rsidRDefault="00CC39A4" w:rsidP="00CC39A4">
      <w:pPr>
        <w:spacing w:before="120"/>
        <w:rPr>
          <w:rFonts w:cs="Tahoma"/>
        </w:rPr>
      </w:pPr>
      <w:r>
        <w:rPr>
          <w:rFonts w:cs="Tahoma"/>
        </w:rPr>
        <w:t>Předmětem p</w:t>
      </w:r>
      <w:r w:rsidRPr="00EA44FD">
        <w:rPr>
          <w:rFonts w:cs="Tahoma"/>
        </w:rPr>
        <w:t>lnění je</w:t>
      </w:r>
      <w:r>
        <w:rPr>
          <w:rFonts w:cs="Tahoma"/>
        </w:rPr>
        <w:t xml:space="preserve"> dále</w:t>
      </w:r>
      <w:r w:rsidRPr="00EA44FD">
        <w:rPr>
          <w:rFonts w:cs="Tahoma"/>
        </w:rPr>
        <w:t xml:space="preserve"> nákup na denním trhu s elektřinou organizovaném operátorem trhu s elektřinou a</w:t>
      </w:r>
      <w:r>
        <w:rPr>
          <w:rFonts w:cs="Tahoma"/>
        </w:rPr>
        <w:t> </w:t>
      </w:r>
      <w:r w:rsidRPr="00EA44FD">
        <w:rPr>
          <w:rFonts w:cs="Tahoma"/>
        </w:rPr>
        <w:t xml:space="preserve">dodávka sjednaného množství </w:t>
      </w:r>
      <w:r>
        <w:rPr>
          <w:rFonts w:cs="Tahoma"/>
        </w:rPr>
        <w:t xml:space="preserve">elektrické energie </w:t>
      </w:r>
      <w:r w:rsidRPr="00EA44FD">
        <w:rPr>
          <w:rFonts w:cs="Tahoma"/>
        </w:rPr>
        <w:t xml:space="preserve">do odběrných míst </w:t>
      </w:r>
      <w:r>
        <w:rPr>
          <w:rFonts w:cs="Tahoma"/>
        </w:rPr>
        <w:t>Z</w:t>
      </w:r>
      <w:r w:rsidRPr="00EA44FD">
        <w:rPr>
          <w:rFonts w:cs="Tahoma"/>
        </w:rPr>
        <w:t>adavatele v kvalitě podle příslušných platných</w:t>
      </w:r>
      <w:r>
        <w:rPr>
          <w:rFonts w:cs="Tahoma"/>
        </w:rPr>
        <w:t xml:space="preserve"> </w:t>
      </w:r>
      <w:r w:rsidRPr="00EA44FD">
        <w:rPr>
          <w:rFonts w:cs="Tahoma"/>
        </w:rPr>
        <w:t>právních předpisů, pokud tomu nebrání okolnosti vyvolané provozovatelem distribuční soustavy nebo okolnosti stanovené právními předpisy.</w:t>
      </w:r>
    </w:p>
    <w:p w14:paraId="5545D136" w14:textId="575B1D5F" w:rsidR="00CC39A4" w:rsidRDefault="00CC39A4" w:rsidP="00CC39A4">
      <w:pPr>
        <w:spacing w:before="120"/>
        <w:rPr>
          <w:rFonts w:cs="Tahoma"/>
        </w:rPr>
      </w:pPr>
      <w:r w:rsidRPr="00EA44FD">
        <w:rPr>
          <w:rFonts w:cs="Tahoma"/>
        </w:rPr>
        <w:t xml:space="preserve">Za sjednané množství dodávky </w:t>
      </w:r>
      <w:r>
        <w:rPr>
          <w:rFonts w:cs="Tahoma"/>
        </w:rPr>
        <w:t xml:space="preserve">elektrické energie </w:t>
      </w:r>
      <w:r w:rsidRPr="00EA44FD">
        <w:rPr>
          <w:rFonts w:cs="Tahoma"/>
        </w:rPr>
        <w:t xml:space="preserve">se považuje skutečně dodané a odebrané množství </w:t>
      </w:r>
      <w:r w:rsidR="00431790">
        <w:rPr>
          <w:rFonts w:cs="Tahoma"/>
        </w:rPr>
        <w:t xml:space="preserve">silové </w:t>
      </w:r>
      <w:r w:rsidRPr="00EA44FD">
        <w:rPr>
          <w:rFonts w:cs="Tahoma"/>
        </w:rPr>
        <w:t xml:space="preserve">elektřiny v odběrném místě </w:t>
      </w:r>
      <w:r>
        <w:rPr>
          <w:rFonts w:cs="Tahoma"/>
        </w:rPr>
        <w:t>odběratele</w:t>
      </w:r>
      <w:r w:rsidRPr="00EA44FD">
        <w:rPr>
          <w:rFonts w:cs="Tahoma"/>
        </w:rPr>
        <w:t>.</w:t>
      </w:r>
      <w:r>
        <w:rPr>
          <w:rFonts w:cs="Tahoma"/>
        </w:rPr>
        <w:t xml:space="preserve"> Celkové množství dodávky silové elektřiny uvedené v </w:t>
      </w:r>
      <w:r w:rsidRPr="009809D6">
        <w:rPr>
          <w:rFonts w:cs="Tahoma"/>
          <w:color w:val="000000"/>
        </w:rPr>
        <w:t>přílo</w:t>
      </w:r>
      <w:r>
        <w:rPr>
          <w:rFonts w:cs="Tahoma"/>
          <w:color w:val="000000"/>
        </w:rPr>
        <w:t>ze</w:t>
      </w:r>
      <w:r w:rsidRPr="009809D6">
        <w:rPr>
          <w:rFonts w:cs="Tahoma"/>
          <w:color w:val="000000"/>
        </w:rPr>
        <w:t xml:space="preserve"> č. </w:t>
      </w:r>
      <w:r w:rsidR="009C7854">
        <w:rPr>
          <w:rFonts w:cs="Tahoma"/>
          <w:color w:val="000000"/>
        </w:rPr>
        <w:t>3</w:t>
      </w:r>
      <w:r w:rsidRPr="009809D6">
        <w:rPr>
          <w:rFonts w:cs="Tahoma"/>
          <w:color w:val="000000"/>
        </w:rPr>
        <w:t xml:space="preserve"> </w:t>
      </w:r>
      <w:r w:rsidR="00371E27">
        <w:rPr>
          <w:rFonts w:cs="Tahoma"/>
          <w:color w:val="000000"/>
        </w:rPr>
        <w:t xml:space="preserve">Výzvy </w:t>
      </w:r>
      <w:r w:rsidRPr="009809D6">
        <w:rPr>
          <w:rFonts w:cs="Tahoma"/>
          <w:color w:val="000000"/>
        </w:rPr>
        <w:t xml:space="preserve">– seznam odběrných míst v hladině VN </w:t>
      </w:r>
      <w:r>
        <w:rPr>
          <w:rFonts w:cs="Tahoma"/>
          <w:color w:val="000000"/>
        </w:rPr>
        <w:t>představuje celkový odběr silové elektřiny za rok 202</w:t>
      </w:r>
      <w:r w:rsidR="00371E27">
        <w:rPr>
          <w:rFonts w:cs="Tahoma"/>
          <w:color w:val="000000"/>
        </w:rPr>
        <w:t>2</w:t>
      </w:r>
      <w:r>
        <w:rPr>
          <w:rFonts w:cs="Tahoma"/>
          <w:color w:val="000000"/>
        </w:rPr>
        <w:t xml:space="preserve"> na příslušných odběrových místech, který slouží jako orientační množství ročního odběru silové elektřiny. </w:t>
      </w:r>
    </w:p>
    <w:p w14:paraId="7277D5B0" w14:textId="77777777" w:rsidR="00CC39A4" w:rsidRDefault="00CC39A4" w:rsidP="00CC39A4">
      <w:pPr>
        <w:spacing w:before="120"/>
        <w:rPr>
          <w:rFonts w:cs="Tahoma"/>
        </w:rPr>
      </w:pPr>
      <w:r w:rsidRPr="00EA44FD">
        <w:rPr>
          <w:rFonts w:cs="Tahoma"/>
        </w:rPr>
        <w:t>Dodávka silové elektřiny v</w:t>
      </w:r>
      <w:r>
        <w:rPr>
          <w:rFonts w:cs="Tahoma"/>
        </w:rPr>
        <w:t> </w:t>
      </w:r>
      <w:r w:rsidRPr="00EA44FD">
        <w:rPr>
          <w:rFonts w:cs="Tahoma"/>
        </w:rPr>
        <w:t xml:space="preserve">napěťové hladině </w:t>
      </w:r>
      <w:r>
        <w:rPr>
          <w:rFonts w:cs="Tahoma"/>
        </w:rPr>
        <w:t xml:space="preserve">VN </w:t>
      </w:r>
      <w:r w:rsidRPr="00EA44FD">
        <w:rPr>
          <w:rFonts w:cs="Tahoma"/>
        </w:rPr>
        <w:t>se uskutečňuje v</w:t>
      </w:r>
      <w:r>
        <w:rPr>
          <w:rFonts w:cs="Tahoma"/>
        </w:rPr>
        <w:t> </w:t>
      </w:r>
      <w:r w:rsidRPr="00EA44FD">
        <w:rPr>
          <w:rFonts w:cs="Tahoma"/>
        </w:rPr>
        <w:t>souladu s</w:t>
      </w:r>
      <w:r>
        <w:rPr>
          <w:rFonts w:cs="Tahoma"/>
        </w:rPr>
        <w:t> </w:t>
      </w:r>
      <w:r w:rsidRPr="00EA44FD">
        <w:rPr>
          <w:rFonts w:cs="Tahoma"/>
        </w:rPr>
        <w:t>hodnotou rezervované kapacity a</w:t>
      </w:r>
      <w:r>
        <w:rPr>
          <w:rFonts w:cs="Tahoma"/>
        </w:rPr>
        <w:t> </w:t>
      </w:r>
      <w:r w:rsidRPr="00EA44FD">
        <w:rPr>
          <w:rFonts w:cs="Tahoma"/>
        </w:rPr>
        <w:t>rezervovaného příkonu.</w:t>
      </w:r>
    </w:p>
    <w:p w14:paraId="7A4DAF4E" w14:textId="1198F334" w:rsidR="00CC39A4" w:rsidRDefault="00CC39A4" w:rsidP="00CC39A4">
      <w:pPr>
        <w:spacing w:before="120"/>
        <w:rPr>
          <w:rFonts w:cs="Tahoma"/>
        </w:rPr>
      </w:pPr>
      <w:r w:rsidRPr="00EA44FD">
        <w:rPr>
          <w:rFonts w:cs="Tahoma"/>
        </w:rPr>
        <w:t>Dodávka silové elektřiny je splněna přechodem elektřiny z</w:t>
      </w:r>
      <w:r>
        <w:rPr>
          <w:rFonts w:cs="Tahoma"/>
        </w:rPr>
        <w:t> </w:t>
      </w:r>
      <w:r w:rsidRPr="00EA44FD">
        <w:rPr>
          <w:rFonts w:cs="Tahoma"/>
        </w:rPr>
        <w:t>příslušné distribuční soustavy přes měřící zařízení do</w:t>
      </w:r>
      <w:r w:rsidR="00A338EB">
        <w:rPr>
          <w:rFonts w:cs="Tahoma"/>
        </w:rPr>
        <w:t> </w:t>
      </w:r>
      <w:r w:rsidRPr="00EA44FD">
        <w:rPr>
          <w:rFonts w:cs="Tahoma"/>
        </w:rPr>
        <w:t xml:space="preserve">odběrného místa odběratele. Měření dodávek, včetně vyhodnocování a předávání výsledků měření je zajišťováno provozovatelem distribuční soustavy podle příslušného platného právního předpisu. </w:t>
      </w:r>
    </w:p>
    <w:p w14:paraId="2673760C" w14:textId="626ECA95" w:rsidR="00BB561D" w:rsidRPr="00763C41" w:rsidRDefault="00BB561D" w:rsidP="007217B0">
      <w:pPr>
        <w:pStyle w:val="Nadpis2"/>
      </w:pPr>
      <w:r w:rsidRPr="00763C41">
        <w:t>Místo plnění zakázky</w:t>
      </w:r>
    </w:p>
    <w:p w14:paraId="2BCD9FE5" w14:textId="77777777" w:rsidR="00FA2842" w:rsidRDefault="00FA2842" w:rsidP="00FA2842">
      <w:pPr>
        <w:rPr>
          <w:rFonts w:cs="Tahoma"/>
          <w:color w:val="000000"/>
        </w:rPr>
      </w:pPr>
      <w:r w:rsidRPr="003705B8">
        <w:rPr>
          <w:rFonts w:cs="Tahoma"/>
          <w:color w:val="000000"/>
        </w:rPr>
        <w:t>Místem plnění jsou odběrná místa Zadavatele</w:t>
      </w:r>
      <w:r>
        <w:rPr>
          <w:rFonts w:cs="Tahoma"/>
          <w:color w:val="000000"/>
        </w:rPr>
        <w:t>:</w:t>
      </w:r>
    </w:p>
    <w:p w14:paraId="1FC176D2" w14:textId="29F75EF5" w:rsidR="00EA117E" w:rsidRDefault="00FA2842" w:rsidP="00B0127C">
      <w:pPr>
        <w:pStyle w:val="Odstavecseseznamem"/>
        <w:numPr>
          <w:ilvl w:val="0"/>
          <w:numId w:val="15"/>
        </w:numPr>
        <w:rPr>
          <w:rFonts w:cs="Tahoma"/>
          <w:color w:val="000000"/>
        </w:rPr>
      </w:pPr>
      <w:r w:rsidRPr="00EA117E">
        <w:rPr>
          <w:rFonts w:cs="Tahoma"/>
          <w:color w:val="000000"/>
        </w:rPr>
        <w:t>pro část 1 (</w:t>
      </w:r>
      <w:r w:rsidR="009C7854" w:rsidRPr="00EA117E">
        <w:rPr>
          <w:rFonts w:cs="Tahoma"/>
          <w:color w:val="000000"/>
        </w:rPr>
        <w:t xml:space="preserve">NN) </w:t>
      </w:r>
      <w:r w:rsidRPr="00EA117E">
        <w:rPr>
          <w:rFonts w:cs="Tahoma"/>
          <w:color w:val="000000"/>
        </w:rPr>
        <w:t xml:space="preserve">dle přílohy č. 2 – seznam odběrných míst </w:t>
      </w:r>
      <w:r w:rsidR="00FA7C44">
        <w:rPr>
          <w:rFonts w:cs="Tahoma"/>
          <w:color w:val="000000"/>
        </w:rPr>
        <w:t xml:space="preserve">pro dodávky elektřiny </w:t>
      </w:r>
      <w:r w:rsidRPr="00EA117E">
        <w:rPr>
          <w:rFonts w:cs="Tahoma"/>
          <w:color w:val="000000"/>
        </w:rPr>
        <w:t xml:space="preserve">v hladině </w:t>
      </w:r>
      <w:r w:rsidR="009C7854" w:rsidRPr="00EA117E">
        <w:rPr>
          <w:rFonts w:cs="Tahoma"/>
          <w:color w:val="000000"/>
        </w:rPr>
        <w:t xml:space="preserve">NN </w:t>
      </w:r>
      <w:r w:rsidR="00EA117E">
        <w:rPr>
          <w:rFonts w:cs="Tahoma"/>
          <w:color w:val="000000"/>
        </w:rPr>
        <w:t>a</w:t>
      </w:r>
    </w:p>
    <w:p w14:paraId="5DF3BE31" w14:textId="0A16D1B5" w:rsidR="00FA2842" w:rsidRPr="00EA117E" w:rsidRDefault="00EA117E" w:rsidP="00B0127C">
      <w:pPr>
        <w:pStyle w:val="Odstavecseseznamem"/>
        <w:numPr>
          <w:ilvl w:val="0"/>
          <w:numId w:val="15"/>
        </w:numPr>
        <w:rPr>
          <w:rFonts w:cs="Tahoma"/>
          <w:color w:val="000000"/>
        </w:rPr>
      </w:pPr>
      <w:r>
        <w:rPr>
          <w:rFonts w:cs="Tahoma"/>
          <w:color w:val="000000"/>
        </w:rPr>
        <w:t xml:space="preserve">pro část 2 (VN) dle </w:t>
      </w:r>
      <w:r w:rsidR="00FA2842" w:rsidRPr="00EA117E">
        <w:rPr>
          <w:rFonts w:cs="Tahoma"/>
          <w:color w:val="000000"/>
        </w:rPr>
        <w:t xml:space="preserve">přílohy č. 3 – seznam odběrných míst </w:t>
      </w:r>
      <w:r w:rsidR="00FA7C44">
        <w:rPr>
          <w:rFonts w:cs="Tahoma"/>
          <w:color w:val="000000"/>
        </w:rPr>
        <w:t xml:space="preserve">pro dodávky elektřiny </w:t>
      </w:r>
      <w:r w:rsidR="00FA2842" w:rsidRPr="00EA117E">
        <w:rPr>
          <w:rFonts w:cs="Tahoma"/>
          <w:color w:val="000000"/>
        </w:rPr>
        <w:t xml:space="preserve">v hladině </w:t>
      </w:r>
      <w:r>
        <w:rPr>
          <w:rFonts w:cs="Tahoma"/>
          <w:color w:val="000000"/>
        </w:rPr>
        <w:t>V</w:t>
      </w:r>
      <w:r w:rsidR="00FA2842" w:rsidRPr="00EA117E">
        <w:rPr>
          <w:rFonts w:cs="Tahoma"/>
          <w:color w:val="000000"/>
        </w:rPr>
        <w:t xml:space="preserve">N. </w:t>
      </w:r>
    </w:p>
    <w:p w14:paraId="2B5C8002" w14:textId="2079709B" w:rsidR="00190229" w:rsidRPr="00F1237F" w:rsidRDefault="00190229" w:rsidP="00F1237F">
      <w:pPr>
        <w:pStyle w:val="Nadpis2"/>
      </w:pPr>
      <w:r w:rsidRPr="00F1237F">
        <w:t>Klasifikace</w:t>
      </w:r>
      <w:r w:rsidR="00557C90" w:rsidRPr="00F1237F">
        <w:t xml:space="preserve"> </w:t>
      </w:r>
      <w:r w:rsidRPr="00F1237F">
        <w:t>zakázky dle CPV kódů</w:t>
      </w:r>
    </w:p>
    <w:p w14:paraId="47C54D8A" w14:textId="6774898F" w:rsidR="00AA6FCB" w:rsidRPr="00BE7F8A" w:rsidRDefault="00EA117E" w:rsidP="00FE21A4">
      <w:r>
        <w:t>09310000-5</w:t>
      </w:r>
      <w:r w:rsidR="00AA6FCB" w:rsidRPr="00BE7F8A">
        <w:t xml:space="preserve"> </w:t>
      </w:r>
      <w:r w:rsidR="00AA6FCB" w:rsidRPr="00BE7F8A">
        <w:tab/>
      </w:r>
      <w:r w:rsidR="00AA6FCB" w:rsidRPr="00BE7F8A">
        <w:tab/>
      </w:r>
      <w:r>
        <w:t>Elektrická energie</w:t>
      </w:r>
    </w:p>
    <w:p w14:paraId="35C83BB7" w14:textId="6DE1B9CE" w:rsidR="00190229" w:rsidRPr="00062A7F" w:rsidRDefault="00190229" w:rsidP="00FF49EC">
      <w:pPr>
        <w:pStyle w:val="Nadpis2"/>
        <w:keepNext/>
      </w:pPr>
      <w:r>
        <w:t>D</w:t>
      </w:r>
      <w:r w:rsidRPr="00062A7F">
        <w:t>oba trvání zakázky</w:t>
      </w:r>
    </w:p>
    <w:p w14:paraId="2FC2373A" w14:textId="0DACD87F" w:rsidR="0014464A" w:rsidRDefault="00EA117E" w:rsidP="006033AF">
      <w:pPr>
        <w:spacing w:before="120"/>
        <w:rPr>
          <w:rFonts w:cstheme="minorHAnsi"/>
          <w:bCs/>
        </w:rPr>
      </w:pPr>
      <w:r>
        <w:rPr>
          <w:rFonts w:cstheme="minorHAnsi"/>
          <w:bCs/>
        </w:rPr>
        <w:t xml:space="preserve">Smlouva s vybraným dodavatelem bude v každé části zakázky uzavřena na období </w:t>
      </w:r>
      <w:r w:rsidR="00C16249">
        <w:rPr>
          <w:rFonts w:cstheme="minorHAnsi"/>
          <w:bCs/>
        </w:rPr>
        <w:t xml:space="preserve">od 1. 1. 2024 </w:t>
      </w:r>
      <w:r>
        <w:rPr>
          <w:rFonts w:cstheme="minorHAnsi"/>
          <w:bCs/>
        </w:rPr>
        <w:t>do 31. 12. 2024</w:t>
      </w:r>
      <w:r w:rsidR="006033AF">
        <w:rPr>
          <w:rFonts w:cstheme="minorHAnsi"/>
          <w:bCs/>
        </w:rPr>
        <w:t>.</w:t>
      </w:r>
    </w:p>
    <w:p w14:paraId="042EF01F" w14:textId="23ADE63D" w:rsidR="00190229" w:rsidRPr="00062A7F" w:rsidRDefault="00C82497" w:rsidP="001526DB">
      <w:pPr>
        <w:pStyle w:val="Nadpis2"/>
        <w:keepNext/>
        <w:ind w:left="936" w:hanging="431"/>
      </w:pPr>
      <w:r>
        <w:t xml:space="preserve"> </w:t>
      </w:r>
      <w:r w:rsidR="006E30CF">
        <w:t xml:space="preserve">Předpokládaná hodnota zakázky </w:t>
      </w:r>
    </w:p>
    <w:p w14:paraId="17BE94E1" w14:textId="25CD6D60" w:rsidR="00233190" w:rsidRDefault="00A765A1" w:rsidP="000C4AE5">
      <w:pPr>
        <w:spacing w:before="120"/>
        <w:rPr>
          <w:rFonts w:cs="Tahoma"/>
        </w:rPr>
      </w:pPr>
      <w:r>
        <w:rPr>
          <w:rFonts w:cs="Tahoma"/>
        </w:rPr>
        <w:t xml:space="preserve">Předpokládaná hodnota </w:t>
      </w:r>
      <w:r w:rsidR="00EA117E">
        <w:rPr>
          <w:rFonts w:cs="Tahoma"/>
        </w:rPr>
        <w:t xml:space="preserve">není Zadavatelem uveřejněna, nicméně </w:t>
      </w:r>
      <w:r w:rsidR="00CE1FB7">
        <w:rPr>
          <w:rFonts w:cs="Tahoma"/>
        </w:rPr>
        <w:t>je nižší než limit ve smyslu § 27 odst. a) ZZVZ</w:t>
      </w:r>
      <w:r w:rsidR="00D8479C">
        <w:rPr>
          <w:rFonts w:cs="Tahoma"/>
        </w:rPr>
        <w:t>, a to i v součtu obou částí zakázky</w:t>
      </w:r>
      <w:r>
        <w:rPr>
          <w:rFonts w:cs="Tahoma"/>
        </w:rPr>
        <w:t xml:space="preserve">. </w:t>
      </w:r>
    </w:p>
    <w:p w14:paraId="05623763" w14:textId="77777777" w:rsidR="00190229" w:rsidRPr="00FE21A4" w:rsidRDefault="002D5149" w:rsidP="002D5149">
      <w:pPr>
        <w:pStyle w:val="Nadpis1"/>
      </w:pPr>
      <w:r w:rsidRPr="00FE21A4">
        <w:lastRenderedPageBreak/>
        <w:t>S</w:t>
      </w:r>
      <w:r w:rsidR="00190229" w:rsidRPr="00FE21A4">
        <w:t>PLNĚNÍ KVALIFIKACE</w:t>
      </w:r>
    </w:p>
    <w:p w14:paraId="23F3748F" w14:textId="77777777" w:rsidR="00CB292B" w:rsidRDefault="00CB292B">
      <w:pPr>
        <w:pStyle w:val="Nadpis2"/>
      </w:pPr>
      <w:bookmarkStart w:id="3" w:name="_Toc462572455"/>
      <w:bookmarkStart w:id="4" w:name="_Hlk51232412"/>
      <w:r w:rsidRPr="00A7722B">
        <w:t>Obecná ustanovení k prokazování splnění kvalifikace</w:t>
      </w:r>
      <w:bookmarkEnd w:id="3"/>
    </w:p>
    <w:p w14:paraId="0F7EA4C8" w14:textId="77777777" w:rsidR="00912193" w:rsidRPr="00E5642D" w:rsidRDefault="00912193" w:rsidP="00912193">
      <w:pPr>
        <w:rPr>
          <w:rFonts w:ascii="Calibri" w:hAnsi="Calibri" w:cs="Calibri"/>
        </w:rPr>
      </w:pPr>
      <w:r w:rsidRPr="00E5642D">
        <w:rPr>
          <w:rFonts w:ascii="Calibri" w:hAnsi="Calibri" w:cs="Calibri"/>
        </w:rPr>
        <w:t xml:space="preserve">Dodavatelé jsou povinni prokázat splnění kvalifikace způsobem a v rozsahu dle této Výzvy. 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2A72D439" w14:textId="77777777" w:rsidR="0048183C" w:rsidRDefault="00912193" w:rsidP="00912193">
      <w:pPr>
        <w:spacing w:before="120"/>
        <w:rPr>
          <w:rFonts w:ascii="Calibri" w:hAnsi="Calibri" w:cs="Calibri"/>
          <w:b/>
          <w:bCs/>
        </w:rPr>
      </w:pPr>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kvalifikace</w:t>
      </w:r>
      <w:r w:rsidRPr="00E5642D">
        <w:rPr>
          <w:rFonts w:ascii="Calibri" w:hAnsi="Calibri" w:cs="Calibri"/>
          <w:b/>
          <w:bCs/>
        </w:rPr>
        <w:t xml:space="preserve"> tvoří </w:t>
      </w:r>
      <w:r w:rsidRPr="00E10636">
        <w:rPr>
          <w:rFonts w:ascii="Calibri" w:hAnsi="Calibri" w:cs="Calibri"/>
          <w:b/>
          <w:bCs/>
        </w:rPr>
        <w:t xml:space="preserve">přílohu č. </w:t>
      </w:r>
      <w:r w:rsidR="00EE1530">
        <w:rPr>
          <w:rFonts w:ascii="Calibri" w:hAnsi="Calibri" w:cs="Calibri"/>
          <w:b/>
          <w:bCs/>
        </w:rPr>
        <w:t>4</w:t>
      </w:r>
      <w:r w:rsidRPr="00E10636">
        <w:rPr>
          <w:rFonts w:ascii="Calibri" w:hAnsi="Calibri" w:cs="Calibri"/>
          <w:b/>
          <w:bCs/>
        </w:rPr>
        <w:t xml:space="preserve"> Výzvy</w:t>
      </w:r>
      <w:r w:rsidRPr="00E5642D">
        <w:rPr>
          <w:rFonts w:ascii="Calibri" w:hAnsi="Calibri" w:cs="Calibri"/>
          <w:b/>
          <w:bCs/>
        </w:rPr>
        <w:t>.</w:t>
      </w:r>
      <w:r w:rsidR="005B17B0">
        <w:rPr>
          <w:rFonts w:ascii="Calibri" w:hAnsi="Calibri" w:cs="Calibri"/>
          <w:b/>
          <w:bCs/>
        </w:rPr>
        <w:t xml:space="preserve"> </w:t>
      </w:r>
    </w:p>
    <w:p w14:paraId="08844215" w14:textId="6DB095E1" w:rsidR="00912193" w:rsidRPr="00E5642D" w:rsidRDefault="005B17B0" w:rsidP="00912193">
      <w:pPr>
        <w:spacing w:before="120"/>
        <w:rPr>
          <w:rFonts w:ascii="Calibri" w:hAnsi="Calibri" w:cs="Calibri"/>
          <w:b/>
          <w:bCs/>
        </w:rPr>
      </w:pPr>
      <w:r>
        <w:rPr>
          <w:rFonts w:ascii="Calibri" w:hAnsi="Calibri" w:cs="Calibri"/>
          <w:b/>
          <w:bCs/>
        </w:rPr>
        <w:t xml:space="preserve">Kvalifikační </w:t>
      </w:r>
      <w:r w:rsidR="00DD7CEC">
        <w:rPr>
          <w:rFonts w:ascii="Calibri" w:hAnsi="Calibri" w:cs="Calibri"/>
          <w:b/>
          <w:bCs/>
        </w:rPr>
        <w:t>předpoklady jsou stejné pro obě části zakázky.</w:t>
      </w:r>
    </w:p>
    <w:p w14:paraId="54E7E6A9" w14:textId="77777777" w:rsidR="00912193" w:rsidRPr="00E5642D" w:rsidRDefault="00912193" w:rsidP="00912193">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5F88C2BA" w14:textId="1508B5A3" w:rsidR="00912193" w:rsidRPr="00E5642D" w:rsidRDefault="00912193" w:rsidP="00912193">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r w:rsidR="00F02DD8">
        <w:rPr>
          <w:rFonts w:ascii="Calibri" w:hAnsi="Calibri" w:cs="Calibri"/>
        </w:rPr>
        <w:t xml:space="preserve"> Zadavatel může </w:t>
      </w:r>
      <w:r w:rsidR="004355A7">
        <w:rPr>
          <w:rFonts w:ascii="Calibri" w:hAnsi="Calibri" w:cs="Calibri"/>
        </w:rPr>
        <w:t>povinnost předložit překlad prominout i u jiných dokladů.</w:t>
      </w:r>
    </w:p>
    <w:p w14:paraId="1CA3318A" w14:textId="7DA52CA5" w:rsidR="00912193" w:rsidRPr="00E5642D" w:rsidRDefault="00912193" w:rsidP="00912193">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55DA8BB9" w14:textId="3BB0380D" w:rsidR="00F83B0F" w:rsidRPr="007217B0" w:rsidRDefault="00912193" w:rsidP="00912193">
      <w:pPr>
        <w:rPr>
          <w:b/>
          <w:color w:val="000000"/>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20ED4289" w14:textId="77777777" w:rsidR="00BB7787" w:rsidRPr="00E5642D" w:rsidRDefault="00BB7787" w:rsidP="00BB7787">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91E4FB2" w14:textId="77777777" w:rsidR="00BB7787" w:rsidRPr="00E5642D" w:rsidRDefault="00BB7787" w:rsidP="00BB7787">
      <w:pPr>
        <w:spacing w:before="120"/>
        <w:rPr>
          <w:rFonts w:ascii="Calibri" w:hAnsi="Calibri" w:cs="Calibri"/>
        </w:rPr>
      </w:pPr>
      <w:r w:rsidRPr="00E5642D">
        <w:rPr>
          <w:rFonts w:ascii="Calibri" w:hAnsi="Calibri" w:cs="Calibri"/>
        </w:rPr>
        <w:t xml:space="preserve">Dodavatel může k prokázání základní způsobilosti a profesní způsobilosti předložit za podmínek stanovených v § 226 a násl. ZZVZ výpis ze seznamu kvalifikovaných dodavatelů ne starší než 3 měsíce (ke dni podání nabídky na </w:t>
      </w:r>
      <w:r>
        <w:rPr>
          <w:rFonts w:ascii="Calibri" w:hAnsi="Calibri" w:cs="Calibri"/>
        </w:rPr>
        <w:t>z</w:t>
      </w:r>
      <w:r w:rsidRPr="00E5642D">
        <w:rPr>
          <w:rFonts w:ascii="Calibri" w:hAnsi="Calibri" w:cs="Calibri"/>
        </w:rPr>
        <w:t>akázku).</w:t>
      </w:r>
    </w:p>
    <w:p w14:paraId="35CE2AE2" w14:textId="2AE435E8" w:rsidR="00CB292B" w:rsidRDefault="00BB7787" w:rsidP="004B226D">
      <w:pPr>
        <w:pStyle w:val="psemnodrky"/>
        <w:numPr>
          <w:ilvl w:val="0"/>
          <w:numId w:val="0"/>
        </w:num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r w:rsidR="00BB1788">
        <w:t xml:space="preserve"> </w:t>
      </w:r>
    </w:p>
    <w:p w14:paraId="08009843" w14:textId="77777777" w:rsidR="00BE4D3C" w:rsidRPr="00062A7F" w:rsidRDefault="00BE4D3C" w:rsidP="006C5785">
      <w:pPr>
        <w:pStyle w:val="Nadpis2"/>
        <w:keepNext/>
        <w:ind w:left="936" w:hanging="431"/>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1CCA2EA5" w:rsidR="00BE4D3C" w:rsidRPr="00BE4D3C" w:rsidRDefault="00BE4D3C" w:rsidP="000C4AE5">
      <w:pPr>
        <w:pStyle w:val="Podnadpis"/>
      </w:pPr>
      <w:bookmarkStart w:id="5" w:name="_Toc462572460"/>
      <w:r w:rsidRPr="00BE4D3C">
        <w:t>Základní způsobilost</w:t>
      </w:r>
      <w:bookmarkEnd w:id="5"/>
      <w:r w:rsidR="0048183C">
        <w:t xml:space="preserve"> </w:t>
      </w:r>
    </w:p>
    <w:p w14:paraId="48713494" w14:textId="1F63EDCC"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r w:rsidR="0048183C">
        <w:rPr>
          <w:rFonts w:asciiTheme="minorHAnsi" w:hAnsiTheme="minorHAnsi"/>
          <w:b/>
          <w:sz w:val="22"/>
        </w:rPr>
        <w:t xml:space="preserve"> - </w:t>
      </w:r>
      <w:r w:rsidR="0048183C" w:rsidRPr="0048183C">
        <w:rPr>
          <w:rFonts w:asciiTheme="minorHAnsi" w:hAnsiTheme="minorHAnsi"/>
          <w:b/>
          <w:sz w:val="22"/>
        </w:rPr>
        <w:t>stejné pro část 1 i část 2 zakázky</w:t>
      </w:r>
      <w:r w:rsidRPr="005A3194">
        <w:rPr>
          <w:rFonts w:asciiTheme="minorHAnsi" w:hAnsiTheme="minorHAnsi"/>
          <w:b/>
          <w:sz w:val="22"/>
        </w:rPr>
        <w:t>:</w:t>
      </w:r>
    </w:p>
    <w:p w14:paraId="21AA6466" w14:textId="77777777" w:rsidR="00C51C1B" w:rsidRPr="00E5642D" w:rsidRDefault="00C51C1B" w:rsidP="00C51C1B">
      <w:pPr>
        <w:pStyle w:val="text-nov"/>
        <w:spacing w:after="120"/>
        <w:rPr>
          <w:rFonts w:ascii="Calibri" w:hAnsi="Calibri" w:cs="Calibri"/>
          <w:sz w:val="22"/>
        </w:rPr>
      </w:pPr>
      <w:r w:rsidRPr="00E5642D">
        <w:rPr>
          <w:rFonts w:ascii="Calibri" w:hAnsi="Calibri" w:cs="Calibri"/>
          <w:sz w:val="22"/>
        </w:rPr>
        <w:t xml:space="preserve">Zadavatel požaduje, aby dodavatelé splňovali základní způsobilost. Způsobilým je dodavatel, který: </w:t>
      </w:r>
    </w:p>
    <w:p w14:paraId="20DA57E0"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7369F667"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lastRenderedPageBreak/>
        <w:t>nemá v České republice nebo v zemi svého sídla v evidenci daní zachycen splatný daňový nedoplatek;</w:t>
      </w:r>
    </w:p>
    <w:p w14:paraId="431EB8F1"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0CA9C235"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678C17C2" w14:textId="77777777" w:rsidR="00C51C1B" w:rsidRPr="00E5642D" w:rsidRDefault="00C51C1B" w:rsidP="00B0127C">
      <w:pPr>
        <w:pStyle w:val="psemnodrky"/>
        <w:numPr>
          <w:ilvl w:val="0"/>
          <w:numId w:val="12"/>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047869A3" w14:textId="77777777" w:rsidR="00C51C1B" w:rsidRPr="00E5642D" w:rsidRDefault="00C51C1B" w:rsidP="00C51C1B">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39FAF9FE" w14:textId="1A7944DE" w:rsidR="00BE4D3C" w:rsidRPr="001B3053" w:rsidRDefault="00C51C1B" w:rsidP="001B3053">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r w:rsidR="00BE4D3C" w:rsidRPr="001B3053">
        <w:rPr>
          <w:rFonts w:ascii="Calibri" w:hAnsi="Calibri" w:cs="Calibri"/>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185C3DAE" w14:textId="3F86E310" w:rsidR="003128CA" w:rsidRPr="0081714A" w:rsidRDefault="0081714A" w:rsidP="0081714A">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775F0E">
        <w:rPr>
          <w:rFonts w:ascii="Calibri" w:hAnsi="Calibri" w:cs="Calibri"/>
          <w:b/>
          <w:bCs/>
        </w:rPr>
        <w:t xml:space="preserve">předložením </w:t>
      </w:r>
      <w:r w:rsidR="00775F0E">
        <w:rPr>
          <w:rFonts w:ascii="Calibri" w:hAnsi="Calibri" w:cs="Calibri"/>
          <w:b/>
          <w:bCs/>
        </w:rPr>
        <w:t xml:space="preserve">písemného </w:t>
      </w:r>
      <w:r w:rsidRPr="00775F0E">
        <w:rPr>
          <w:rFonts w:ascii="Calibri" w:hAnsi="Calibri" w:cs="Calibri"/>
          <w:b/>
          <w:bCs/>
        </w:rPr>
        <w:t>čestného prohlášení</w:t>
      </w:r>
      <w:r w:rsidRPr="00E5642D">
        <w:rPr>
          <w:rFonts w:ascii="Calibri" w:hAnsi="Calibri" w:cs="Calibri"/>
        </w:rPr>
        <w:t xml:space="preserve">, jehož doporučený vzor je </w:t>
      </w:r>
      <w:r w:rsidRPr="00E10636">
        <w:rPr>
          <w:rFonts w:ascii="Calibri" w:hAnsi="Calibri" w:cs="Calibri"/>
        </w:rPr>
        <w:t xml:space="preserve">přílohou č. </w:t>
      </w:r>
      <w:r w:rsidR="00434FA1">
        <w:rPr>
          <w:rFonts w:ascii="Calibri" w:hAnsi="Calibri" w:cs="Calibri"/>
        </w:rPr>
        <w:t>4</w:t>
      </w:r>
      <w:r w:rsidRPr="00E5642D">
        <w:rPr>
          <w:rFonts w:ascii="Calibri" w:hAnsi="Calibri" w:cs="Calibri"/>
        </w:rPr>
        <w:t xml:space="preserve"> této Výzvy. Zadavatel připouští prokázání splnění základní způsobilosti </w:t>
      </w:r>
      <w:r w:rsidRPr="00E5642D">
        <w:rPr>
          <w:rFonts w:ascii="Calibri" w:hAnsi="Calibri" w:cs="Calibri"/>
        </w:rPr>
        <w:br/>
        <w:t>i způsobem dle § 75 odst. 1 ZZVZ.</w:t>
      </w:r>
    </w:p>
    <w:p w14:paraId="6E2214A2" w14:textId="77777777" w:rsidR="00BE4D3C" w:rsidRPr="000C4AE5" w:rsidRDefault="00BE4D3C" w:rsidP="000C4AE5">
      <w:pPr>
        <w:pStyle w:val="Podnadpis"/>
      </w:pPr>
      <w:bookmarkStart w:id="6" w:name="_Toc462572461"/>
      <w:r w:rsidRPr="000C4AE5">
        <w:t>Profesní způsobilost</w:t>
      </w:r>
      <w:bookmarkEnd w:id="6"/>
    </w:p>
    <w:p w14:paraId="2C7E6BF6" w14:textId="27C3E359"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r w:rsidR="00E472B1">
        <w:rPr>
          <w:rFonts w:asciiTheme="minorHAnsi" w:hAnsiTheme="minorHAnsi"/>
          <w:b/>
          <w:sz w:val="22"/>
        </w:rPr>
        <w:t xml:space="preserve"> - </w:t>
      </w:r>
      <w:r w:rsidR="00E472B1" w:rsidRPr="0048183C">
        <w:rPr>
          <w:rFonts w:asciiTheme="minorHAnsi" w:hAnsiTheme="minorHAnsi"/>
          <w:b/>
          <w:sz w:val="22"/>
        </w:rPr>
        <w:t>stejné pro část 1 i část 2 zakázky</w:t>
      </w:r>
      <w:r w:rsidRPr="00492D27">
        <w:rPr>
          <w:rFonts w:asciiTheme="minorHAnsi" w:hAnsiTheme="minorHAnsi"/>
          <w:b/>
          <w:sz w:val="22"/>
        </w:rPr>
        <w:t>:</w:t>
      </w:r>
    </w:p>
    <w:p w14:paraId="09007F6F" w14:textId="3F598D3A" w:rsidR="00BE4D3C" w:rsidRPr="00492D27" w:rsidRDefault="00FE7396" w:rsidP="000C4AE5">
      <w:pPr>
        <w:pStyle w:val="text-nov"/>
        <w:spacing w:after="120"/>
        <w:rPr>
          <w:rFonts w:asciiTheme="minorHAnsi" w:hAnsiTheme="minorHAnsi"/>
          <w:sz w:val="22"/>
        </w:rPr>
      </w:pPr>
      <w:r w:rsidRPr="00E5642D">
        <w:rPr>
          <w:rFonts w:ascii="Calibri" w:hAnsi="Calibri" w:cs="Calibri"/>
          <w:sz w:val="22"/>
        </w:rPr>
        <w:t>Zadavatel požaduje, aby dodavatelé splňovali profesní způsobilost analogicky dle § 77 odst. 1 ZZVZ</w:t>
      </w:r>
      <w:r w:rsidR="004352A1">
        <w:rPr>
          <w:rFonts w:ascii="Calibri" w:hAnsi="Calibri" w:cs="Calibri"/>
          <w:sz w:val="22"/>
        </w:rPr>
        <w:t xml:space="preserve"> a </w:t>
      </w:r>
      <w:r w:rsidR="008C17B4">
        <w:rPr>
          <w:rFonts w:ascii="Calibri" w:hAnsi="Calibri" w:cs="Calibri"/>
          <w:sz w:val="22"/>
        </w:rPr>
        <w:t>§ 77 odst. 2 písm. a) ZZVZ</w:t>
      </w:r>
      <w:r w:rsidRPr="00E5642D">
        <w:rPr>
          <w:rFonts w:ascii="Calibri" w:hAnsi="Calibri" w:cs="Calibri"/>
          <w:sz w:val="22"/>
        </w:rPr>
        <w:t>.</w:t>
      </w:r>
      <w:r w:rsidR="006B16B6">
        <w:rPr>
          <w:rFonts w:asciiTheme="minorHAnsi" w:hAnsiTheme="minorHAnsi"/>
          <w:sz w:val="22"/>
        </w:rPr>
        <w:t xml:space="preserve"> </w:t>
      </w:r>
      <w:r w:rsidR="00BE4D3C" w:rsidRPr="00492D27">
        <w:rPr>
          <w:rFonts w:asciiTheme="minorHAnsi" w:hAnsiTheme="minorHAnsi"/>
          <w:sz w:val="22"/>
        </w:rPr>
        <w:t xml:space="preserve"> </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1607C9C" w14:textId="23DB2FC4" w:rsidR="008466D0" w:rsidRDefault="00E472B1" w:rsidP="008466D0">
      <w:pPr>
        <w:rPr>
          <w:rFonts w:ascii="Calibri" w:hAnsi="Calibri" w:cs="Calibri"/>
        </w:rPr>
      </w:pPr>
      <w:r>
        <w:rPr>
          <w:rFonts w:ascii="Calibri" w:hAnsi="Calibri" w:cs="Calibri"/>
        </w:rPr>
        <w:t xml:space="preserve">1. </w:t>
      </w:r>
      <w:r w:rsidR="008466D0" w:rsidRPr="00E5642D">
        <w:rPr>
          <w:rFonts w:ascii="Calibri" w:hAnsi="Calibri" w:cs="Calibri"/>
        </w:rPr>
        <w:t>Dodavatel prokazuje splnění profesní způsobilosti předložením</w:t>
      </w:r>
      <w:r w:rsidR="008466D0">
        <w:rPr>
          <w:rFonts w:ascii="Calibri" w:hAnsi="Calibri" w:cs="Calibri"/>
        </w:rPr>
        <w:t xml:space="preserve"> </w:t>
      </w:r>
      <w:r w:rsidR="008466D0" w:rsidRPr="00E5642D">
        <w:rPr>
          <w:rFonts w:ascii="Calibri" w:hAnsi="Calibri" w:cs="Calibri"/>
        </w:rPr>
        <w:t>výpisu z obchodního rejstříku, pokud je v něm dodavatel zapsán, či výpisem z jiné obdobné evidence, pokud je v ní dodavatel zapsán</w:t>
      </w:r>
      <w:r w:rsidR="008466D0">
        <w:rPr>
          <w:rFonts w:ascii="Calibri" w:hAnsi="Calibri" w:cs="Calibri"/>
        </w:rPr>
        <w:t>.</w:t>
      </w:r>
    </w:p>
    <w:p w14:paraId="2F1217C9" w14:textId="1E7CDE41" w:rsidR="004F6A58" w:rsidRPr="00D86CAB" w:rsidRDefault="00E472B1" w:rsidP="004F6A58">
      <w:pPr>
        <w:rPr>
          <w:rFonts w:cstheme="minorHAnsi"/>
        </w:rPr>
      </w:pPr>
      <w:r>
        <w:rPr>
          <w:rFonts w:cstheme="minorHAnsi"/>
        </w:rPr>
        <w:t xml:space="preserve">2. </w:t>
      </w:r>
      <w:r w:rsidR="004F6A58">
        <w:rPr>
          <w:rFonts w:cstheme="minorHAnsi"/>
        </w:rPr>
        <w:t xml:space="preserve">Dodavatel </w:t>
      </w:r>
      <w:r w:rsidR="00B618B7">
        <w:rPr>
          <w:rFonts w:cstheme="minorHAnsi"/>
        </w:rPr>
        <w:t xml:space="preserve">dále </w:t>
      </w:r>
      <w:r w:rsidR="004F6A58">
        <w:rPr>
          <w:rFonts w:cstheme="minorHAnsi"/>
        </w:rPr>
        <w:t xml:space="preserve">prokazuje splnění profesní způsobilosti </w:t>
      </w:r>
      <w:r w:rsidR="00BD5760">
        <w:rPr>
          <w:rFonts w:cstheme="minorHAnsi"/>
        </w:rPr>
        <w:t xml:space="preserve">analogicky </w:t>
      </w:r>
      <w:r w:rsidR="004F6A58">
        <w:rPr>
          <w:rFonts w:cstheme="minorHAnsi"/>
        </w:rPr>
        <w:t xml:space="preserve">dle § 77 odst. 2 písm. a) ZZVZ předložením příslušného dokladu o oprávnění k podnikání, a to platnou licencí na obchod s elektřinou dle </w:t>
      </w:r>
      <w:r w:rsidR="004F6A58" w:rsidRPr="001316E3">
        <w:rPr>
          <w:rFonts w:cstheme="minorHAnsi"/>
        </w:rPr>
        <w:t>energetického zákona</w:t>
      </w:r>
      <w:r w:rsidR="004F6A58">
        <w:rPr>
          <w:rFonts w:cstheme="minorHAnsi"/>
        </w:rPr>
        <w:t xml:space="preserve"> </w:t>
      </w:r>
      <w:r w:rsidR="004F6A58" w:rsidRPr="001316E3">
        <w:rPr>
          <w:rFonts w:cstheme="minorHAnsi"/>
        </w:rPr>
        <w:t>a prováděcí vyhlášky ERÚ č. 8/2016 Sb., o podrobnostech udělování licencí</w:t>
      </w:r>
      <w:r w:rsidR="004F6A58">
        <w:rPr>
          <w:rFonts w:cstheme="minorHAnsi"/>
        </w:rPr>
        <w:t xml:space="preserve"> </w:t>
      </w:r>
      <w:r w:rsidR="004F6A58" w:rsidRPr="001316E3">
        <w:rPr>
          <w:rFonts w:cstheme="minorHAnsi"/>
        </w:rPr>
        <w:t>pro podnikání v energetických odvětvích, ve znění pozdějších předpisů</w:t>
      </w:r>
      <w:r w:rsidR="004F6A58">
        <w:rPr>
          <w:rFonts w:cstheme="minorHAnsi"/>
        </w:rPr>
        <w:t>.</w:t>
      </w:r>
    </w:p>
    <w:bookmarkEnd w:id="4"/>
    <w:p w14:paraId="2751C221" w14:textId="77777777" w:rsidR="0007122F" w:rsidRPr="00A26900" w:rsidRDefault="0007122F" w:rsidP="008A3A0A">
      <w:pPr>
        <w:pStyle w:val="Nadpis1"/>
      </w:pPr>
      <w:r w:rsidRPr="00A26900">
        <w:t>PLATEBNÍ A OBCHODNÍ PODMÍNKY</w:t>
      </w:r>
    </w:p>
    <w:p w14:paraId="6C691D3E" w14:textId="77777777" w:rsidR="006C5831" w:rsidRDefault="00ED562F" w:rsidP="00ED562F">
      <w:pPr>
        <w:spacing w:before="120"/>
        <w:rPr>
          <w:rFonts w:cs="Calibri"/>
        </w:rPr>
      </w:pPr>
      <w:r w:rsidRPr="008C2A9C">
        <w:rPr>
          <w:rFonts w:cs="Calibri"/>
        </w:rPr>
        <w:t xml:space="preserve">Dodavatel je povinen předložit jako součástí nabídky závazný návrh </w:t>
      </w:r>
      <w:r w:rsidRPr="008C2A9C">
        <w:rPr>
          <w:rFonts w:cs="Calibri"/>
          <w:b/>
          <w:bCs/>
        </w:rPr>
        <w:t xml:space="preserve">smlouvy o službách dodávky elektřiny </w:t>
      </w:r>
      <w:r w:rsidRPr="008C2A9C">
        <w:rPr>
          <w:rFonts w:cs="Calibri"/>
        </w:rPr>
        <w:t>(dále jen „</w:t>
      </w:r>
      <w:r>
        <w:rPr>
          <w:rFonts w:cs="Calibri"/>
          <w:b/>
          <w:bCs/>
        </w:rPr>
        <w:t>N</w:t>
      </w:r>
      <w:r w:rsidRPr="008C2A9C">
        <w:rPr>
          <w:rFonts w:cs="Calibri"/>
          <w:b/>
          <w:bCs/>
        </w:rPr>
        <w:t>ávrh smlouvy</w:t>
      </w:r>
      <w:r w:rsidRPr="008C2A9C">
        <w:rPr>
          <w:rFonts w:cs="Calibri"/>
        </w:rPr>
        <w:t xml:space="preserve">“) </w:t>
      </w:r>
      <w:r w:rsidRPr="003A74DB">
        <w:rPr>
          <w:rFonts w:cs="Calibri"/>
          <w:b/>
          <w:bCs/>
        </w:rPr>
        <w:t xml:space="preserve">sjednané na dobu </w:t>
      </w:r>
      <w:r>
        <w:rPr>
          <w:rFonts w:cs="Calibri"/>
          <w:b/>
          <w:bCs/>
        </w:rPr>
        <w:t xml:space="preserve">od </w:t>
      </w:r>
      <w:r w:rsidR="006C5831">
        <w:rPr>
          <w:rFonts w:cs="Calibri"/>
          <w:b/>
          <w:bCs/>
        </w:rPr>
        <w:t>1. 1. 2024</w:t>
      </w:r>
      <w:r>
        <w:rPr>
          <w:rFonts w:cs="Calibri"/>
          <w:b/>
          <w:bCs/>
        </w:rPr>
        <w:t xml:space="preserve"> </w:t>
      </w:r>
      <w:r w:rsidRPr="003A74DB">
        <w:rPr>
          <w:rFonts w:cs="Calibri"/>
          <w:b/>
          <w:bCs/>
        </w:rPr>
        <w:t>do 31. 12. 202</w:t>
      </w:r>
      <w:r w:rsidR="00960590">
        <w:rPr>
          <w:rFonts w:cs="Calibri"/>
          <w:b/>
          <w:bCs/>
        </w:rPr>
        <w:t>4</w:t>
      </w:r>
      <w:r w:rsidRPr="008C2A9C">
        <w:rPr>
          <w:rFonts w:cs="Calibri"/>
          <w:b/>
          <w:bCs/>
        </w:rPr>
        <w:t xml:space="preserve"> </w:t>
      </w:r>
      <w:r w:rsidRPr="008C2A9C">
        <w:rPr>
          <w:rFonts w:cs="Calibri"/>
        </w:rPr>
        <w:t>v otevřeném (editovatelném) formátu *.doc</w:t>
      </w:r>
      <w:r>
        <w:rPr>
          <w:rFonts w:cs="Calibri"/>
        </w:rPr>
        <w:t>x</w:t>
      </w:r>
      <w:r w:rsidRPr="008C2A9C">
        <w:rPr>
          <w:rFonts w:cs="Calibri"/>
        </w:rPr>
        <w:t xml:space="preserve">. </w:t>
      </w:r>
      <w:r>
        <w:rPr>
          <w:rFonts w:cs="Calibri"/>
        </w:rPr>
        <w:t xml:space="preserve">Automatické prodloužení smlouvy se vylučuje. </w:t>
      </w:r>
    </w:p>
    <w:p w14:paraId="0BED156A" w14:textId="09AD943E" w:rsidR="00ED562F" w:rsidRPr="008C2A9C" w:rsidRDefault="006C5831" w:rsidP="00ED562F">
      <w:pPr>
        <w:spacing w:before="120"/>
        <w:rPr>
          <w:rFonts w:cs="Calibri"/>
        </w:rPr>
      </w:pPr>
      <w:r>
        <w:rPr>
          <w:rFonts w:cs="Calibri"/>
          <w:b/>
          <w:bCs/>
        </w:rPr>
        <w:t>Dodavatel předloží Návrh smlouvy pro každou část zakázky, do které podává svou nabídku</w:t>
      </w:r>
      <w:r w:rsidR="006C5E45">
        <w:rPr>
          <w:rFonts w:cs="Calibri"/>
        </w:rPr>
        <w:t>.</w:t>
      </w:r>
    </w:p>
    <w:p w14:paraId="215B4D64" w14:textId="7D6C6D7B" w:rsidR="00ED562F" w:rsidRDefault="00ED562F" w:rsidP="00ED562F">
      <w:pPr>
        <w:spacing w:before="120"/>
        <w:rPr>
          <w:rFonts w:cs="Calibri"/>
        </w:rPr>
      </w:pPr>
      <w:r w:rsidRPr="008C2A9C">
        <w:rPr>
          <w:rFonts w:cs="Calibri"/>
        </w:rPr>
        <w:lastRenderedPageBreak/>
        <w:t xml:space="preserve">Návrh smlouvy musí být zpracován v souladu se </w:t>
      </w:r>
      <w:r w:rsidR="00960590">
        <w:rPr>
          <w:rFonts w:cs="Calibri"/>
        </w:rPr>
        <w:t>Výzvou</w:t>
      </w:r>
      <w:r w:rsidRPr="008C2A9C">
        <w:rPr>
          <w:rFonts w:cs="Calibri"/>
        </w:rPr>
        <w:t xml:space="preserve"> a jejími přílohami, tzn. dodavatel je povinen v </w:t>
      </w:r>
      <w:r>
        <w:rPr>
          <w:rFonts w:cs="Calibri"/>
        </w:rPr>
        <w:t>N</w:t>
      </w:r>
      <w:r w:rsidRPr="008C2A9C">
        <w:rPr>
          <w:rFonts w:cs="Calibri"/>
        </w:rPr>
        <w:t>ávrhu smlouvy</w:t>
      </w:r>
      <w:r>
        <w:rPr>
          <w:rFonts w:cs="Calibri"/>
        </w:rPr>
        <w:t xml:space="preserve"> </w:t>
      </w:r>
      <w:r w:rsidRPr="008C2A9C">
        <w:rPr>
          <w:rFonts w:cs="Calibri"/>
        </w:rPr>
        <w:t xml:space="preserve">zcela respektovat požadavky </w:t>
      </w:r>
      <w:r>
        <w:rPr>
          <w:rFonts w:cs="Calibri"/>
        </w:rPr>
        <w:t>Z</w:t>
      </w:r>
      <w:r w:rsidRPr="008C2A9C">
        <w:rPr>
          <w:rFonts w:cs="Calibri"/>
        </w:rPr>
        <w:t xml:space="preserve">adavatele uvedené v této </w:t>
      </w:r>
      <w:r w:rsidR="00960590">
        <w:rPr>
          <w:rFonts w:cs="Calibri"/>
        </w:rPr>
        <w:t>Výzvě</w:t>
      </w:r>
      <w:r w:rsidRPr="008C2A9C">
        <w:rPr>
          <w:rFonts w:cs="Calibri"/>
        </w:rPr>
        <w:t xml:space="preserve"> a jejích přílohách.</w:t>
      </w:r>
      <w:r>
        <w:rPr>
          <w:rFonts w:cs="Calibri"/>
        </w:rPr>
        <w:t xml:space="preserve"> </w:t>
      </w:r>
    </w:p>
    <w:p w14:paraId="46B4AC8D" w14:textId="77777777" w:rsidR="00ED562F" w:rsidRDefault="00ED562F" w:rsidP="00ED562F">
      <w:pPr>
        <w:spacing w:before="120"/>
        <w:rPr>
          <w:rFonts w:cs="Calibri"/>
        </w:rPr>
      </w:pPr>
      <w:r w:rsidRPr="00BF6D36">
        <w:rPr>
          <w:rFonts w:cs="Calibri"/>
        </w:rPr>
        <w:t xml:space="preserve">Dodavatel je povinen do </w:t>
      </w:r>
      <w:r>
        <w:rPr>
          <w:rFonts w:cs="Calibri"/>
        </w:rPr>
        <w:t>N</w:t>
      </w:r>
      <w:r w:rsidRPr="00BF6D36">
        <w:rPr>
          <w:rFonts w:cs="Calibri"/>
        </w:rPr>
        <w:t xml:space="preserve">ávrhu smlouvy </w:t>
      </w:r>
      <w:r>
        <w:rPr>
          <w:rFonts w:cs="Calibri"/>
        </w:rPr>
        <w:t xml:space="preserve">dále </w:t>
      </w:r>
      <w:r w:rsidRPr="00BF6D36">
        <w:rPr>
          <w:rFonts w:cs="Calibri"/>
        </w:rPr>
        <w:t xml:space="preserve">zapracovat následující požadavky </w:t>
      </w:r>
      <w:r>
        <w:rPr>
          <w:rFonts w:cs="Calibri"/>
        </w:rPr>
        <w:t>Z</w:t>
      </w:r>
      <w:r w:rsidRPr="00BF6D36">
        <w:rPr>
          <w:rFonts w:cs="Calibri"/>
        </w:rPr>
        <w:t>adavatele:</w:t>
      </w:r>
    </w:p>
    <w:p w14:paraId="1C4C720B" w14:textId="77777777" w:rsidR="00ED562F" w:rsidRPr="009B5434" w:rsidRDefault="00ED562F" w:rsidP="00B0127C">
      <w:pPr>
        <w:pStyle w:val="Odstavecseseznamem"/>
        <w:numPr>
          <w:ilvl w:val="0"/>
          <w:numId w:val="16"/>
        </w:numPr>
        <w:spacing w:before="120"/>
        <w:rPr>
          <w:rFonts w:cs="Calibri"/>
        </w:rPr>
      </w:pPr>
      <w:r>
        <w:rPr>
          <w:rFonts w:cs="Calibri"/>
        </w:rPr>
        <w:t>p</w:t>
      </w:r>
      <w:r w:rsidRPr="009B5434">
        <w:rPr>
          <w:rFonts w:cs="Calibri"/>
        </w:rPr>
        <w:t>řípadné významné změny odběrů nebo odběrové křivky budou s dodavatelem konzultovány s</w:t>
      </w:r>
      <w:r>
        <w:rPr>
          <w:rFonts w:cs="Calibri"/>
        </w:rPr>
        <w:t> </w:t>
      </w:r>
      <w:r w:rsidRPr="009B5434">
        <w:rPr>
          <w:rFonts w:cs="Calibri"/>
        </w:rPr>
        <w:t>předstihem, pokud to bude možné</w:t>
      </w:r>
      <w:r>
        <w:rPr>
          <w:rFonts w:cs="Calibri"/>
        </w:rPr>
        <w:t>;</w:t>
      </w:r>
      <w:r w:rsidRPr="009B5434">
        <w:rPr>
          <w:rFonts w:cs="Calibri"/>
        </w:rPr>
        <w:t xml:space="preserve"> </w:t>
      </w:r>
    </w:p>
    <w:p w14:paraId="4A4721C3" w14:textId="3FD34177" w:rsidR="00ED562F" w:rsidRPr="00EB0C4F" w:rsidRDefault="00626807" w:rsidP="00B0127C">
      <w:pPr>
        <w:pStyle w:val="Odstavecseseznamem"/>
        <w:numPr>
          <w:ilvl w:val="0"/>
          <w:numId w:val="16"/>
        </w:numPr>
        <w:spacing w:before="120"/>
        <w:rPr>
          <w:rFonts w:cs="Calibri"/>
        </w:rPr>
      </w:pPr>
      <w:r w:rsidRPr="00040938">
        <w:rPr>
          <w:rFonts w:cs="Calibri"/>
        </w:rPr>
        <w:t>s</w:t>
      </w:r>
      <w:r w:rsidRPr="009B5434">
        <w:rPr>
          <w:rFonts w:cs="Calibri"/>
        </w:rPr>
        <w:t xml:space="preserve">platnost faktur </w:t>
      </w:r>
      <w:r>
        <w:rPr>
          <w:rFonts w:cs="Calibri"/>
        </w:rPr>
        <w:t xml:space="preserve">je </w:t>
      </w:r>
      <w:r w:rsidRPr="00270811">
        <w:rPr>
          <w:rFonts w:cs="Calibri"/>
        </w:rPr>
        <w:t xml:space="preserve">30 dní. </w:t>
      </w:r>
      <w:r>
        <w:rPr>
          <w:rFonts w:cs="Calibri"/>
        </w:rPr>
        <w:t>Zadavatel nebude považovat za porušení zadávacích podmínek, pokud bude dodavatelem stanovena lhůta splatnosti činit</w:t>
      </w:r>
      <w:r w:rsidR="00DD3751">
        <w:rPr>
          <w:rFonts w:cs="Calibri"/>
        </w:rPr>
        <w:t xml:space="preserve"> kratší dobu, nejméně však</w:t>
      </w:r>
      <w:r>
        <w:rPr>
          <w:rFonts w:cs="Calibri"/>
        </w:rPr>
        <w:t xml:space="preserve"> 14 dnů</w:t>
      </w:r>
      <w:r w:rsidR="00ED562F" w:rsidRPr="00EB0C4F">
        <w:rPr>
          <w:rFonts w:cs="Calibri"/>
        </w:rPr>
        <w:t xml:space="preserve">; </w:t>
      </w:r>
    </w:p>
    <w:p w14:paraId="25E71154" w14:textId="6A0127E1" w:rsidR="00ED562F" w:rsidRPr="00040938" w:rsidRDefault="00ED562F" w:rsidP="00B0127C">
      <w:pPr>
        <w:pStyle w:val="Odstavecseseznamem"/>
        <w:numPr>
          <w:ilvl w:val="0"/>
          <w:numId w:val="16"/>
        </w:numPr>
        <w:spacing w:before="120"/>
        <w:rPr>
          <w:rFonts w:cs="Calibri"/>
        </w:rPr>
      </w:pPr>
      <w:r w:rsidRPr="00040938">
        <w:rPr>
          <w:rFonts w:cs="Calibri"/>
        </w:rPr>
        <w:t xml:space="preserve">celková cena za dodávku 1 MWh </w:t>
      </w:r>
      <w:r>
        <w:rPr>
          <w:rFonts w:cs="Calibri"/>
        </w:rPr>
        <w:t xml:space="preserve">silové </w:t>
      </w:r>
      <w:r w:rsidRPr="00040938">
        <w:rPr>
          <w:rFonts w:cs="Calibri"/>
        </w:rPr>
        <w:t>elektřiny v</w:t>
      </w:r>
      <w:r w:rsidR="00FC1866">
        <w:rPr>
          <w:rFonts w:cs="Calibri"/>
        </w:rPr>
        <w:t> </w:t>
      </w:r>
      <w:r w:rsidRPr="00040938">
        <w:rPr>
          <w:rFonts w:cs="Calibri"/>
        </w:rPr>
        <w:t>hladině</w:t>
      </w:r>
      <w:r w:rsidR="00FC1866">
        <w:rPr>
          <w:rFonts w:cs="Calibri"/>
        </w:rPr>
        <w:t xml:space="preserve"> NN (pro část 1 </w:t>
      </w:r>
      <w:r w:rsidR="00827232">
        <w:rPr>
          <w:rFonts w:cs="Calibri"/>
        </w:rPr>
        <w:t>zakázky)</w:t>
      </w:r>
      <w:r w:rsidRPr="00040938">
        <w:rPr>
          <w:rFonts w:cs="Calibri"/>
        </w:rPr>
        <w:t xml:space="preserve"> nebo </w:t>
      </w:r>
      <w:r w:rsidR="00827232">
        <w:rPr>
          <w:rFonts w:cs="Calibri"/>
        </w:rPr>
        <w:t xml:space="preserve">VN (pro část 2 zakázky) </w:t>
      </w:r>
      <w:r w:rsidRPr="00040938">
        <w:rPr>
          <w:rFonts w:cs="Calibri"/>
        </w:rPr>
        <w:t xml:space="preserve">je cenou za silovou elektřinu v hladině </w:t>
      </w:r>
      <w:r w:rsidR="00827232">
        <w:rPr>
          <w:rFonts w:cs="Calibri"/>
        </w:rPr>
        <w:t xml:space="preserve">NN </w:t>
      </w:r>
      <w:r w:rsidR="00150611">
        <w:rPr>
          <w:rFonts w:cs="Calibri"/>
        </w:rPr>
        <w:t>(</w:t>
      </w:r>
      <w:r w:rsidR="00AE607A">
        <w:rPr>
          <w:rFonts w:cs="Calibri"/>
        </w:rPr>
        <w:t>p</w:t>
      </w:r>
      <w:r w:rsidR="00150611">
        <w:rPr>
          <w:rFonts w:cs="Calibri"/>
        </w:rPr>
        <w:t xml:space="preserve">ro část 1 zakázky) </w:t>
      </w:r>
      <w:r w:rsidRPr="00040938">
        <w:rPr>
          <w:rFonts w:cs="Calibri"/>
        </w:rPr>
        <w:t xml:space="preserve">nebo </w:t>
      </w:r>
      <w:r w:rsidR="00827232">
        <w:rPr>
          <w:rFonts w:cs="Calibri"/>
        </w:rPr>
        <w:t xml:space="preserve">VN </w:t>
      </w:r>
      <w:r w:rsidR="00150611">
        <w:rPr>
          <w:rFonts w:cs="Calibri"/>
        </w:rPr>
        <w:t xml:space="preserve">(pro část 2 zakázky) </w:t>
      </w:r>
      <w:r w:rsidRPr="00040938">
        <w:rPr>
          <w:rFonts w:cs="Calibri"/>
        </w:rPr>
        <w:t xml:space="preserve">určenou </w:t>
      </w:r>
      <w:r w:rsidRPr="00AE607A">
        <w:rPr>
          <w:rFonts w:cs="Calibri"/>
          <w:b/>
          <w:bCs/>
        </w:rPr>
        <w:t>na základě přičítacího koeficientu</w:t>
      </w:r>
      <w:r w:rsidRPr="00040938">
        <w:rPr>
          <w:rFonts w:cs="Calibri"/>
        </w:rPr>
        <w:t xml:space="preserve">, </w:t>
      </w:r>
      <w:r w:rsidRPr="00FE0F4A">
        <w:rPr>
          <w:rFonts w:cs="Calibri"/>
          <w:b/>
          <w:bCs/>
        </w:rPr>
        <w:t>hodinových cen elektřiny na krátkodobém trhu s elektřinou, organizovaném společností OTE, a.s. a hodinových spotřeb elektřiny, dále potom cenou za distribuci elektřiny, systémové služby a ostatní související služby</w:t>
      </w:r>
      <w:r w:rsidRPr="00040938">
        <w:rPr>
          <w:rFonts w:cs="Calibri"/>
        </w:rPr>
        <w:t>, která bude stanovena v souladu s všeobecně závaznými právními předpisy, zejména cenovými rozhodnutími příslušných správních a regulačních orgánů;</w:t>
      </w:r>
    </w:p>
    <w:p w14:paraId="2C90950A" w14:textId="51256E0C" w:rsidR="00ED562F" w:rsidRPr="00040938" w:rsidRDefault="00ED562F" w:rsidP="00B0127C">
      <w:pPr>
        <w:pStyle w:val="Odstavecseseznamem"/>
        <w:numPr>
          <w:ilvl w:val="0"/>
          <w:numId w:val="16"/>
        </w:numPr>
        <w:spacing w:before="120"/>
        <w:rPr>
          <w:rFonts w:cs="Calibri"/>
        </w:rPr>
      </w:pPr>
      <w:r w:rsidRPr="00040938">
        <w:rPr>
          <w:rFonts w:cs="Calibri"/>
        </w:rPr>
        <w:t xml:space="preserve">dodavatel je povinen určit jednotkovou cenu za dodávku elektrické energie v hladině </w:t>
      </w:r>
      <w:r w:rsidR="00150611">
        <w:rPr>
          <w:rFonts w:cs="Calibri"/>
        </w:rPr>
        <w:t xml:space="preserve">NN (pro část 1 zakázky) </w:t>
      </w:r>
      <w:r w:rsidRPr="00040938">
        <w:rPr>
          <w:rFonts w:cs="Calibri"/>
        </w:rPr>
        <w:t xml:space="preserve">a </w:t>
      </w:r>
      <w:r w:rsidR="0033557B">
        <w:rPr>
          <w:rFonts w:cs="Calibri"/>
        </w:rPr>
        <w:t xml:space="preserve">hladině </w:t>
      </w:r>
      <w:r w:rsidR="00150611">
        <w:rPr>
          <w:rFonts w:cs="Calibri"/>
        </w:rPr>
        <w:t>V</w:t>
      </w:r>
      <w:r w:rsidRPr="00040938">
        <w:rPr>
          <w:rFonts w:cs="Calibri"/>
        </w:rPr>
        <w:t xml:space="preserve">N </w:t>
      </w:r>
      <w:r w:rsidR="0033557B">
        <w:rPr>
          <w:rFonts w:cs="Calibri"/>
        </w:rPr>
        <w:t xml:space="preserve">(pro část 2 zakázky) </w:t>
      </w:r>
      <w:r w:rsidRPr="00040938">
        <w:rPr>
          <w:rFonts w:cs="Calibri"/>
        </w:rPr>
        <w:t>do</w:t>
      </w:r>
      <w:r>
        <w:rPr>
          <w:rFonts w:cs="Calibri"/>
        </w:rPr>
        <w:t> </w:t>
      </w:r>
      <w:r w:rsidRPr="00040938">
        <w:rPr>
          <w:rFonts w:cs="Calibri"/>
        </w:rPr>
        <w:t>odběrného místa ve zúčtovacím období tak, že cena 1</w:t>
      </w:r>
      <w:r w:rsidR="001F270B">
        <w:rPr>
          <w:rFonts w:cs="Calibri"/>
        </w:rPr>
        <w:t> </w:t>
      </w:r>
      <w:r w:rsidRPr="00040938">
        <w:rPr>
          <w:rFonts w:cs="Calibri"/>
        </w:rPr>
        <w:t>MWh elektřiny bude rovna součtu hodnoty přičítacího koeficientu</w:t>
      </w:r>
      <w:r>
        <w:rPr>
          <w:rFonts w:cs="Calibri"/>
        </w:rPr>
        <w:t xml:space="preserve"> (</w:t>
      </w:r>
      <w:r w:rsidR="0033557B">
        <w:rPr>
          <w:rFonts w:cs="Calibri"/>
        </w:rPr>
        <w:t>dle dané části zakázky</w:t>
      </w:r>
      <w:r>
        <w:rPr>
          <w:rFonts w:cs="Calibri"/>
        </w:rPr>
        <w:t>)</w:t>
      </w:r>
      <w:r w:rsidRPr="00040938">
        <w:rPr>
          <w:rFonts w:cs="Calibri"/>
        </w:rPr>
        <w:t xml:space="preserve"> a váženého aritmetického průměru součinů hodinových cen elektřiny </w:t>
      </w:r>
      <w:r>
        <w:rPr>
          <w:rFonts w:cs="Calibri"/>
        </w:rPr>
        <w:t xml:space="preserve">v hladině </w:t>
      </w:r>
      <w:r w:rsidR="0033557B">
        <w:rPr>
          <w:rFonts w:cs="Calibri"/>
        </w:rPr>
        <w:t>N</w:t>
      </w:r>
      <w:r>
        <w:rPr>
          <w:rFonts w:cs="Calibri"/>
        </w:rPr>
        <w:t>N</w:t>
      </w:r>
      <w:r w:rsidR="0033557B">
        <w:rPr>
          <w:rFonts w:cs="Calibri"/>
        </w:rPr>
        <w:t xml:space="preserve"> (pro část 1 zakázky)</w:t>
      </w:r>
      <w:r>
        <w:rPr>
          <w:rFonts w:cs="Calibri"/>
        </w:rPr>
        <w:t xml:space="preserve"> nebo </w:t>
      </w:r>
      <w:r w:rsidR="0033557B">
        <w:rPr>
          <w:rFonts w:cs="Calibri"/>
        </w:rPr>
        <w:t>hladině VN (pro část 2 zakázky)</w:t>
      </w:r>
      <w:r>
        <w:rPr>
          <w:rFonts w:cs="Calibri"/>
        </w:rPr>
        <w:t xml:space="preserve"> </w:t>
      </w:r>
      <w:r w:rsidRPr="00040938">
        <w:rPr>
          <w:rFonts w:cs="Calibri"/>
        </w:rPr>
        <w:t>na krátkodobém trhu s elektřinou organizovaném společností OTE, a.s. přepočtených kurzem CZK/EUR a hodinových spotřeb elektřiny v odběrném místě</w:t>
      </w:r>
      <w:r w:rsidR="00644945">
        <w:rPr>
          <w:rFonts w:cs="Calibri"/>
        </w:rPr>
        <w:t>;</w:t>
      </w:r>
    </w:p>
    <w:p w14:paraId="41B26C16" w14:textId="77777777" w:rsidR="00ED562F" w:rsidRPr="00503AFC" w:rsidRDefault="00ED562F" w:rsidP="00B0127C">
      <w:pPr>
        <w:pStyle w:val="Odstavecseseznamem"/>
        <w:numPr>
          <w:ilvl w:val="0"/>
          <w:numId w:val="16"/>
        </w:numPr>
        <w:spacing w:before="120"/>
        <w:rPr>
          <w:rFonts w:cstheme="minorHAnsi"/>
        </w:rPr>
      </w:pPr>
      <w:r w:rsidRPr="00040938">
        <w:rPr>
          <w:rFonts w:cs="Calibri"/>
        </w:rPr>
        <w:t xml:space="preserve">cena </w:t>
      </w:r>
      <w:r>
        <w:rPr>
          <w:rFonts w:cs="Calibri"/>
        </w:rPr>
        <w:t xml:space="preserve">silové </w:t>
      </w:r>
      <w:r w:rsidRPr="00040938">
        <w:rPr>
          <w:rFonts w:cs="Calibri"/>
        </w:rPr>
        <w:t>elektřiny dodané v příslušném měsíci je uvedena v Kč/MWh a vypočítá se jako vážený průměr (P) všech odběrů v</w:t>
      </w:r>
      <w:r>
        <w:rPr>
          <w:rFonts w:cs="Calibri"/>
        </w:rPr>
        <w:t> </w:t>
      </w:r>
      <w:r w:rsidRPr="00040938">
        <w:rPr>
          <w:rFonts w:cs="Calibri"/>
        </w:rPr>
        <w:t>jednotlivých</w:t>
      </w:r>
      <w:r>
        <w:rPr>
          <w:rFonts w:cs="Calibri"/>
        </w:rPr>
        <w:t xml:space="preserve"> napěťových hladinách a</w:t>
      </w:r>
      <w:r w:rsidRPr="00040938">
        <w:rPr>
          <w:rFonts w:cs="Calibri"/>
        </w:rPr>
        <w:t xml:space="preserve"> hodinách za příslušné hodinové ceny dle následujícího </w:t>
      </w:r>
      <w:r w:rsidRPr="00503AFC">
        <w:rPr>
          <w:rFonts w:cstheme="minorHAnsi"/>
        </w:rPr>
        <w:t>vzorce:</w:t>
      </w:r>
      <w:r w:rsidRPr="009B5434">
        <w:rPr>
          <w:rFonts w:cstheme="minorHAnsi"/>
        </w:rPr>
        <w:t xml:space="preserve"> </w:t>
      </w:r>
    </w:p>
    <w:p w14:paraId="74E95E75" w14:textId="77777777" w:rsidR="00ED562F" w:rsidRPr="00503AFC" w:rsidRDefault="00ED562F" w:rsidP="00ED562F">
      <w:pPr>
        <w:pStyle w:val="Odstavecseseznamem"/>
        <w:spacing w:before="120"/>
        <w:rPr>
          <w:rFonts w:cstheme="minorHAnsi"/>
        </w:rPr>
      </w:pPr>
    </w:p>
    <w:p w14:paraId="37D99FDF" w14:textId="260841EA" w:rsidR="00ED562F" w:rsidRPr="008A39D5" w:rsidRDefault="00ED562F" w:rsidP="00ED562F">
      <w:pPr>
        <w:pStyle w:val="Odstavecseseznamem"/>
        <w:autoSpaceDE w:val="0"/>
        <w:autoSpaceDN w:val="0"/>
        <w:adjustRightInd w:val="0"/>
        <w:spacing w:after="0" w:line="240" w:lineRule="auto"/>
        <w:rPr>
          <w:rFonts w:cstheme="minorHAnsi"/>
          <w:iCs/>
          <w:color w:val="000000"/>
        </w:rPr>
      </w:pPr>
      <m:oMathPara>
        <m:oMath>
          <m:r>
            <m:rPr>
              <m:sty m:val="p"/>
            </m:rPr>
            <w:rPr>
              <w:rFonts w:ascii="Cambria Math" w:hAnsi="Cambria Math" w:cstheme="minorHAnsi"/>
              <w:color w:val="000000"/>
            </w:rPr>
            <m:t>P</m:t>
          </m:r>
          <m:r>
            <m:rPr>
              <m:sty m:val="p"/>
            </m:rPr>
            <w:rPr>
              <w:rFonts w:ascii="Cambria Math" w:eastAsia="Cambria Math" w:hAnsi="Cambria Math" w:cstheme="minorHAnsi"/>
              <w:color w:val="000000"/>
            </w:rPr>
            <m:t>=</m:t>
          </m:r>
          <m:f>
            <m:fPr>
              <m:ctrlPr>
                <w:rPr>
                  <w:rFonts w:ascii="Cambria Math" w:hAnsi="Cambria Math" w:cstheme="minorHAnsi"/>
                  <w:iCs/>
                  <w:color w:val="000000"/>
                </w:rPr>
              </m:ctrlPr>
            </m:fPr>
            <m:num>
              <m:r>
                <m:rPr>
                  <m:sty m:val="p"/>
                </m:rPr>
                <w:rPr>
                  <w:rFonts w:ascii="Cambria Math" w:hAnsi="Cambria Math" w:cstheme="minorHAnsi"/>
                  <w:color w:val="000000"/>
                </w:rPr>
                <m:t>(</m:t>
              </m:r>
              <m:nary>
                <m:naryPr>
                  <m:chr m:val="∑"/>
                  <m:limLoc m:val="subSup"/>
                  <m:ctrlPr>
                    <w:rPr>
                      <w:rFonts w:ascii="Cambria Math" w:hAnsi="Cambria Math" w:cstheme="minorHAnsi"/>
                      <w:iCs/>
                      <w:color w:val="000000"/>
                    </w:rPr>
                  </m:ctrlPr>
                </m:naryPr>
                <m:sub>
                  <m:r>
                    <m:rPr>
                      <m:sty m:val="p"/>
                    </m:rPr>
                    <w:rPr>
                      <w:rFonts w:ascii="Cambria Math" w:hAnsi="Cambria Math" w:cstheme="minorHAnsi"/>
                      <w:color w:val="000000"/>
                    </w:rPr>
                    <m:t>a=1</m:t>
                  </m:r>
                </m:sub>
                <m:sup>
                  <m:r>
                    <m:rPr>
                      <m:sty m:val="p"/>
                    </m:rPr>
                    <w:rPr>
                      <w:rFonts w:ascii="Cambria Math" w:hAnsi="Cambria Math" w:cstheme="minorHAnsi"/>
                      <w:color w:val="000000"/>
                    </w:rPr>
                    <m:t>n</m:t>
                  </m:r>
                </m:sup>
                <m:e>
                  <m:d>
                    <m:dPr>
                      <m:ctrlPr>
                        <w:rPr>
                          <w:rFonts w:ascii="Cambria Math" w:hAnsi="Cambria Math" w:cstheme="minorHAnsi"/>
                          <w:iCs/>
                          <w:color w:val="000000"/>
                        </w:rPr>
                      </m:ctrlPr>
                    </m:dPr>
                    <m:e>
                      <m:sSub>
                        <m:sSubPr>
                          <m:ctrlPr>
                            <w:rPr>
                              <w:rFonts w:ascii="Cambria Math" w:hAnsi="Cambria Math" w:cstheme="minorHAnsi"/>
                              <w:iCs/>
                              <w:color w:val="000000"/>
                            </w:rPr>
                          </m:ctrlPr>
                        </m:sSubPr>
                        <m:e>
                          <m:r>
                            <m:rPr>
                              <m:sty m:val="p"/>
                            </m:rPr>
                            <w:rPr>
                              <w:rFonts w:ascii="Cambria Math" w:hAnsi="Cambria Math" w:cstheme="minorHAnsi"/>
                              <w:color w:val="000000"/>
                            </w:rPr>
                            <m:t>CENA</m:t>
                          </m:r>
                        </m:e>
                        <m:sub>
                          <m:r>
                            <m:rPr>
                              <m:sty m:val="p"/>
                            </m:rPr>
                            <w:rPr>
                              <w:rFonts w:ascii="Cambria Math" w:hAnsi="Cambria Math" w:cstheme="minorHAnsi"/>
                              <w:color w:val="000000"/>
                            </w:rPr>
                            <m:t>a</m:t>
                          </m:r>
                        </m:sub>
                      </m:sSub>
                      <m:r>
                        <m:rPr>
                          <m:sty m:val="p"/>
                        </m:rPr>
                        <w:rPr>
                          <w:rFonts w:ascii="Cambria Math" w:hAnsi="Cambria Math" w:cstheme="minorHAnsi"/>
                          <w:color w:val="000000"/>
                        </w:rPr>
                        <m:t>+K</m:t>
                      </m:r>
                    </m:e>
                  </m:d>
                  <m:r>
                    <m:rPr>
                      <m:sty m:val="p"/>
                    </m:rPr>
                    <w:rPr>
                      <w:rFonts w:ascii="Cambria Math" w:hAnsi="Cambria Math" w:cstheme="minorHAnsi"/>
                      <w:color w:val="000000"/>
                    </w:rPr>
                    <m:t>*</m:t>
                  </m:r>
                  <m:sSub>
                    <m:sSubPr>
                      <m:ctrlPr>
                        <w:rPr>
                          <w:rFonts w:ascii="Cambria Math" w:hAnsi="Cambria Math" w:cstheme="minorHAnsi"/>
                          <w:iCs/>
                          <w:color w:val="000000"/>
                        </w:rPr>
                      </m:ctrlPr>
                    </m:sSubPr>
                    <m:e>
                      <m:r>
                        <m:rPr>
                          <m:sty m:val="p"/>
                        </m:rPr>
                        <w:rPr>
                          <w:rFonts w:ascii="Cambria Math" w:hAnsi="Cambria Math" w:cstheme="minorHAnsi"/>
                          <w:color w:val="000000"/>
                        </w:rPr>
                        <m:t>C</m:t>
                      </m:r>
                    </m:e>
                    <m:sub>
                      <m:r>
                        <m:rPr>
                          <m:sty m:val="p"/>
                        </m:rPr>
                        <w:rPr>
                          <w:rFonts w:ascii="Cambria Math" w:hAnsi="Cambria Math" w:cstheme="minorHAnsi"/>
                          <w:color w:val="000000"/>
                        </w:rPr>
                        <m:t>a</m:t>
                      </m:r>
                    </m:sub>
                  </m:sSub>
                  <m:r>
                    <m:rPr>
                      <m:sty m:val="p"/>
                    </m:rPr>
                    <w:rPr>
                      <w:rFonts w:ascii="Cambria Math" w:hAnsi="Cambria Math" w:cstheme="minorHAnsi"/>
                      <w:color w:val="000000"/>
                    </w:rPr>
                    <m:t xml:space="preserve">* </m:t>
                  </m:r>
                  <m:sSub>
                    <m:sSubPr>
                      <m:ctrlPr>
                        <w:rPr>
                          <w:rFonts w:ascii="Cambria Math" w:hAnsi="Cambria Math" w:cstheme="minorHAnsi"/>
                          <w:iCs/>
                          <w:color w:val="000000"/>
                        </w:rPr>
                      </m:ctrlPr>
                    </m:sSubPr>
                    <m:e>
                      <m:r>
                        <m:rPr>
                          <m:sty m:val="p"/>
                        </m:rPr>
                        <w:rPr>
                          <w:rFonts w:ascii="Cambria Math" w:hAnsi="Cambria Math" w:cstheme="minorHAnsi"/>
                          <w:color w:val="000000"/>
                        </w:rPr>
                        <m:t>Kurz</m:t>
                      </m:r>
                    </m:e>
                    <m:sub>
                      <m:r>
                        <m:rPr>
                          <m:sty m:val="p"/>
                        </m:rPr>
                        <w:rPr>
                          <w:rFonts w:ascii="Cambria Math" w:hAnsi="Cambria Math" w:cstheme="minorHAnsi"/>
                          <w:color w:val="000000"/>
                        </w:rPr>
                        <m:t>a</m:t>
                      </m:r>
                    </m:sub>
                  </m:sSub>
                  <m:r>
                    <m:rPr>
                      <m:sty m:val="p"/>
                    </m:rPr>
                    <w:rPr>
                      <w:rFonts w:ascii="Cambria Math" w:hAnsi="Cambria Math" w:cstheme="minorHAnsi"/>
                      <w:color w:val="000000"/>
                    </w:rPr>
                    <m:t>)</m:t>
                  </m:r>
                </m:e>
              </m:nary>
            </m:num>
            <m:den>
              <m:r>
                <m:rPr>
                  <m:sty m:val="p"/>
                </m:rPr>
                <w:rPr>
                  <w:rFonts w:ascii="Cambria Math" w:hAnsi="Cambria Math" w:cstheme="minorHAnsi"/>
                  <w:color w:val="000000"/>
                </w:rPr>
                <m:t>C</m:t>
              </m:r>
            </m:den>
          </m:f>
        </m:oMath>
      </m:oMathPara>
    </w:p>
    <w:p w14:paraId="32D7011C" w14:textId="77777777" w:rsidR="00ED562F" w:rsidRPr="00503AFC" w:rsidRDefault="00ED562F" w:rsidP="00ED562F">
      <w:pPr>
        <w:pStyle w:val="Odstavecseseznamem"/>
        <w:autoSpaceDE w:val="0"/>
        <w:autoSpaceDN w:val="0"/>
        <w:adjustRightInd w:val="0"/>
        <w:spacing w:after="0" w:line="240" w:lineRule="auto"/>
        <w:rPr>
          <w:rFonts w:cstheme="minorHAnsi"/>
          <w:color w:val="000000"/>
        </w:rPr>
      </w:pPr>
      <w:r w:rsidRPr="00503AFC">
        <w:rPr>
          <w:rFonts w:cstheme="minorHAnsi"/>
          <w:color w:val="000000"/>
        </w:rPr>
        <w:t xml:space="preserve">Kde: </w:t>
      </w:r>
    </w:p>
    <w:p w14:paraId="7D525381" w14:textId="787CC58D"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 xml:space="preserve">P = vážený průměr (P) všech odběrů elektrické energie v hladině </w:t>
      </w:r>
      <w:r w:rsidR="00B00659">
        <w:rPr>
          <w:rFonts w:cstheme="minorHAnsi"/>
          <w:color w:val="000000"/>
        </w:rPr>
        <w:t>NN (pro část 1 zakázky)</w:t>
      </w:r>
      <w:r w:rsidRPr="00503AFC">
        <w:rPr>
          <w:rFonts w:cstheme="minorHAnsi"/>
          <w:color w:val="000000"/>
        </w:rPr>
        <w:t xml:space="preserve"> nebo </w:t>
      </w:r>
      <w:r w:rsidR="00B00659">
        <w:rPr>
          <w:rFonts w:cstheme="minorHAnsi"/>
          <w:color w:val="000000"/>
        </w:rPr>
        <w:t>hladině VN (pro část 2 zakázky)</w:t>
      </w:r>
      <w:r w:rsidRPr="00503AFC">
        <w:rPr>
          <w:rFonts w:cstheme="minorHAnsi"/>
          <w:color w:val="000000"/>
        </w:rPr>
        <w:t xml:space="preserve"> v jednotlivých dnech a hodinách za příslušné hodinové ceny. P se vypočítá vždy za kalendářní měsíc a je vyjádřeno v Kč/MWh,</w:t>
      </w:r>
    </w:p>
    <w:p w14:paraId="5A5A6EE0"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 xml:space="preserve">a = datum odběrového dne a pořadové číslo hodiny v dodacím období, </w:t>
      </w:r>
    </w:p>
    <w:p w14:paraId="5A5C80AF" w14:textId="66C63E21"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CENA = cena elektřiny v EUR/MWh (uvedená ve sloupci „</w:t>
      </w:r>
      <w:r w:rsidRPr="00503AFC">
        <w:rPr>
          <w:rFonts w:cstheme="minorHAnsi"/>
          <w:i/>
          <w:iCs/>
          <w:color w:val="000000"/>
        </w:rPr>
        <w:t>Vážený průměr cen EUR/MWh</w:t>
      </w:r>
      <w:r w:rsidRPr="00503AFC">
        <w:rPr>
          <w:rFonts w:cstheme="minorHAnsi"/>
          <w:color w:val="000000"/>
        </w:rPr>
        <w:t xml:space="preserve">“) na krátkodobém trhu pro příslušnou hodinu zveřejněný </w:t>
      </w:r>
      <w:r w:rsidR="004A14C1">
        <w:rPr>
          <w:rFonts w:cstheme="minorHAnsi"/>
          <w:color w:val="000000"/>
        </w:rPr>
        <w:t xml:space="preserve">v příslušné zprávě </w:t>
      </w:r>
      <w:r w:rsidRPr="00503AFC">
        <w:rPr>
          <w:rFonts w:cstheme="minorHAnsi"/>
          <w:color w:val="000000"/>
        </w:rPr>
        <w:t>OTE a.s. na stránkách</w:t>
      </w:r>
      <w:r w:rsidR="004A14C1">
        <w:rPr>
          <w:rFonts w:cstheme="minorHAnsi"/>
          <w:color w:val="000000"/>
        </w:rPr>
        <w:t xml:space="preserve"> </w:t>
      </w:r>
      <w:hyperlink r:id="rId10" w:history="1">
        <w:r w:rsidR="004A14C1" w:rsidRPr="004A14C1">
          <w:rPr>
            <w:rFonts w:cstheme="minorHAnsi"/>
            <w:color w:val="0000FF"/>
          </w:rPr>
          <w:t>www.ote-cr.cz</w:t>
        </w:r>
      </w:hyperlink>
      <w:r w:rsidR="00F30D78">
        <w:rPr>
          <w:rFonts w:cstheme="minorHAnsi"/>
          <w:color w:val="000000"/>
        </w:rPr>
        <w:t xml:space="preserve"> (např. zpráva pro rok 2023 je dostupná na</w:t>
      </w:r>
      <w:r w:rsidRPr="00503AFC">
        <w:rPr>
          <w:rFonts w:cstheme="minorHAnsi"/>
          <w:color w:val="000000"/>
        </w:rPr>
        <w:t xml:space="preserve"> </w:t>
      </w:r>
      <w:hyperlink r:id="rId11" w:history="1">
        <w:r w:rsidR="00F30D78" w:rsidRPr="00F4449A">
          <w:rPr>
            <w:rStyle w:val="Hypertextovodkaz"/>
          </w:rPr>
          <w:t>https://www.ote-cr.cz/attachments/62_162/2023/Rocni_zprava_o_trhu_2023_V0.zip/view</w:t>
        </w:r>
      </w:hyperlink>
      <w:r w:rsidR="00F30D78">
        <w:t xml:space="preserve">), </w:t>
      </w:r>
      <w:r w:rsidRPr="00503AFC">
        <w:rPr>
          <w:rFonts w:cstheme="minorHAnsi"/>
          <w:color w:val="000000"/>
        </w:rPr>
        <w:t xml:space="preserve"> </w:t>
      </w:r>
    </w:p>
    <w:p w14:paraId="29C19656"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K = vysoutěžený</w:t>
      </w:r>
      <w:r>
        <w:rPr>
          <w:rFonts w:cstheme="minorHAnsi"/>
          <w:color w:val="000000"/>
        </w:rPr>
        <w:t xml:space="preserve"> přičítací</w:t>
      </w:r>
      <w:r w:rsidRPr="00503AFC">
        <w:rPr>
          <w:rFonts w:cstheme="minorHAnsi"/>
          <w:color w:val="000000"/>
        </w:rPr>
        <w:t xml:space="preserve"> koeficient v EUR/MWh,</w:t>
      </w:r>
    </w:p>
    <w:p w14:paraId="02B13624"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w:t>
      </w:r>
      <w:r w:rsidRPr="00503AFC">
        <w:rPr>
          <w:rFonts w:cstheme="minorHAnsi"/>
          <w:color w:val="000000"/>
          <w:vertAlign w:val="subscript"/>
        </w:rPr>
        <w:t>a</w:t>
      </w:r>
      <w:r w:rsidRPr="00503AFC">
        <w:rPr>
          <w:rFonts w:cstheme="minorHAnsi"/>
          <w:color w:val="000000"/>
        </w:rPr>
        <w:t xml:space="preserve"> = skutečná dodávka elektřiny v MWh v příslušném dni a hodině,</w:t>
      </w:r>
    </w:p>
    <w:p w14:paraId="6376AED6" w14:textId="77777777" w:rsidR="00ED562F" w:rsidRPr="00503AFC"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C = celková dodávka elektřiny v MWh za dodací období (kalendářní měsíc),</w:t>
      </w:r>
    </w:p>
    <w:p w14:paraId="5B1E2494" w14:textId="77777777" w:rsidR="00ED562F" w:rsidRDefault="00ED562F" w:rsidP="00B0127C">
      <w:pPr>
        <w:pStyle w:val="Odstavecseseznamem"/>
        <w:numPr>
          <w:ilvl w:val="0"/>
          <w:numId w:val="16"/>
        </w:numPr>
        <w:autoSpaceDE w:val="0"/>
        <w:autoSpaceDN w:val="0"/>
        <w:adjustRightInd w:val="0"/>
        <w:spacing w:after="0" w:line="240" w:lineRule="auto"/>
        <w:ind w:left="1276"/>
        <w:rPr>
          <w:rFonts w:cstheme="minorHAnsi"/>
          <w:color w:val="000000"/>
        </w:rPr>
      </w:pPr>
      <w:r w:rsidRPr="00503AFC">
        <w:rPr>
          <w:rFonts w:cstheme="minorHAnsi"/>
          <w:color w:val="000000"/>
        </w:rPr>
        <w:t>Kurz</w:t>
      </w:r>
      <w:r w:rsidRPr="00503AFC">
        <w:rPr>
          <w:rFonts w:cstheme="minorHAnsi"/>
          <w:color w:val="000000"/>
          <w:vertAlign w:val="subscript"/>
        </w:rPr>
        <w:t>a</w:t>
      </w:r>
      <w:r w:rsidRPr="00503AFC">
        <w:rPr>
          <w:rFonts w:cstheme="minorHAnsi"/>
          <w:color w:val="000000"/>
        </w:rPr>
        <w:t xml:space="preserve"> = devizový kurz CZK/EUR vyhlášený ČNB pro daný den daného měsíce, uvedené na stránkách: </w:t>
      </w:r>
      <w:hyperlink r:id="rId12" w:history="1">
        <w:r w:rsidRPr="00503AFC">
          <w:rPr>
            <w:rStyle w:val="Hypertextovodkaz"/>
            <w:rFonts w:cstheme="minorHAnsi"/>
            <w:u w:val="none"/>
          </w:rPr>
          <w:t>https://www.cnb.cz/cs/financni-trhy/devizovy-trh/kurzy-devizoveho-trhu/kurzy-devizoveho-trhu/</w:t>
        </w:r>
      </w:hyperlink>
      <w:r w:rsidRPr="00503AFC">
        <w:rPr>
          <w:rFonts w:cstheme="minorHAnsi"/>
          <w:color w:val="000000"/>
        </w:rPr>
        <w:t>.</w:t>
      </w:r>
    </w:p>
    <w:p w14:paraId="2E6E34A2" w14:textId="77777777" w:rsidR="00ED562F" w:rsidRDefault="00ED562F" w:rsidP="00ED562F">
      <w:pPr>
        <w:autoSpaceDE w:val="0"/>
        <w:autoSpaceDN w:val="0"/>
        <w:adjustRightInd w:val="0"/>
        <w:spacing w:after="0" w:line="240" w:lineRule="auto"/>
        <w:ind w:left="720"/>
        <w:rPr>
          <w:rFonts w:cstheme="minorHAnsi"/>
          <w:color w:val="000000"/>
        </w:rPr>
      </w:pPr>
    </w:p>
    <w:p w14:paraId="54E5EFC9" w14:textId="0BB8B59C" w:rsidR="00ED562F" w:rsidRPr="0031332E" w:rsidRDefault="00ED562F" w:rsidP="00ED562F">
      <w:pPr>
        <w:autoSpaceDE w:val="0"/>
        <w:autoSpaceDN w:val="0"/>
        <w:adjustRightInd w:val="0"/>
        <w:spacing w:after="0" w:line="240" w:lineRule="auto"/>
        <w:ind w:left="1276"/>
        <w:rPr>
          <w:rFonts w:cstheme="minorHAnsi"/>
          <w:color w:val="000000"/>
        </w:rPr>
      </w:pPr>
      <w:r>
        <w:rPr>
          <w:rFonts w:cstheme="minorHAnsi"/>
          <w:color w:val="000000"/>
        </w:rPr>
        <w:t xml:space="preserve">Pro vyloučení pochybností Zadavatel uvádí, že stejný výpočtový vzorec se využije pro výpočet ceny elektřiny v měsíci pro elektrickou energii v napěťové hladině </w:t>
      </w:r>
      <w:r w:rsidR="00FE4AEC">
        <w:rPr>
          <w:rFonts w:cstheme="minorHAnsi"/>
          <w:color w:val="000000"/>
        </w:rPr>
        <w:t>N</w:t>
      </w:r>
      <w:r>
        <w:rPr>
          <w:rFonts w:cstheme="minorHAnsi"/>
          <w:color w:val="000000"/>
        </w:rPr>
        <w:t>N</w:t>
      </w:r>
      <w:r w:rsidR="00FE4AEC">
        <w:rPr>
          <w:rFonts w:cstheme="minorHAnsi"/>
          <w:color w:val="000000"/>
        </w:rPr>
        <w:t xml:space="preserve"> (pro část 1 zakázky)</w:t>
      </w:r>
      <w:r>
        <w:rPr>
          <w:rFonts w:cstheme="minorHAnsi"/>
          <w:color w:val="000000"/>
        </w:rPr>
        <w:t xml:space="preserve"> i </w:t>
      </w:r>
      <w:r w:rsidR="004F3A7C">
        <w:rPr>
          <w:rFonts w:cstheme="minorHAnsi"/>
          <w:color w:val="000000"/>
        </w:rPr>
        <w:t>VN (pro část 2 zakázky)</w:t>
      </w:r>
      <w:r>
        <w:rPr>
          <w:rFonts w:cstheme="minorHAnsi"/>
          <w:color w:val="000000"/>
        </w:rPr>
        <w:t xml:space="preserve">, tedy že do vzorce budou dosazeny ceny týkající se elektrické energie v příslušné </w:t>
      </w:r>
      <w:r>
        <w:rPr>
          <w:rFonts w:cstheme="minorHAnsi"/>
          <w:color w:val="000000"/>
        </w:rPr>
        <w:lastRenderedPageBreak/>
        <w:t xml:space="preserve">napěťové hadině, přičemž přičítací koeficient </w:t>
      </w:r>
      <w:r w:rsidR="004F3A7C">
        <w:rPr>
          <w:rFonts w:cstheme="minorHAnsi"/>
          <w:color w:val="000000"/>
        </w:rPr>
        <w:t>se může v jednotlivých částech zakázky lišit</w:t>
      </w:r>
      <w:r w:rsidR="00113050">
        <w:rPr>
          <w:rFonts w:cstheme="minorHAnsi"/>
          <w:color w:val="000000"/>
        </w:rPr>
        <w:t xml:space="preserve"> dle nabídky dodavatele</w:t>
      </w:r>
      <w:r>
        <w:rPr>
          <w:rFonts w:cstheme="minorHAnsi"/>
          <w:color w:val="000000"/>
        </w:rPr>
        <w:t xml:space="preserve">. </w:t>
      </w:r>
    </w:p>
    <w:p w14:paraId="142CD00F" w14:textId="77777777" w:rsidR="00ED562F" w:rsidRPr="00503AFC" w:rsidRDefault="00ED562F" w:rsidP="00ED562F">
      <w:pPr>
        <w:pStyle w:val="Odstavecseseznamem"/>
        <w:autoSpaceDE w:val="0"/>
        <w:autoSpaceDN w:val="0"/>
        <w:adjustRightInd w:val="0"/>
        <w:spacing w:after="0" w:line="240" w:lineRule="auto"/>
        <w:ind w:left="1276"/>
        <w:jc w:val="left"/>
        <w:rPr>
          <w:rFonts w:cstheme="minorHAnsi"/>
          <w:color w:val="000000"/>
        </w:rPr>
      </w:pPr>
    </w:p>
    <w:p w14:paraId="4C440CB0" w14:textId="77777777" w:rsidR="000B3151" w:rsidRDefault="00ED562F" w:rsidP="00B0127C">
      <w:pPr>
        <w:pStyle w:val="Odstavecseseznamem"/>
        <w:numPr>
          <w:ilvl w:val="0"/>
          <w:numId w:val="16"/>
        </w:numPr>
        <w:autoSpaceDE w:val="0"/>
        <w:autoSpaceDN w:val="0"/>
        <w:adjustRightInd w:val="0"/>
        <w:spacing w:after="0" w:line="240" w:lineRule="auto"/>
        <w:jc w:val="left"/>
        <w:rPr>
          <w:rFonts w:cstheme="minorHAnsi"/>
          <w:color w:val="000000"/>
        </w:rPr>
      </w:pPr>
      <w:r>
        <w:rPr>
          <w:rFonts w:cstheme="minorHAnsi"/>
          <w:color w:val="000000"/>
        </w:rPr>
        <w:t>dodavatel není oprávněn po odběrateli požadovat složení jistoty</w:t>
      </w:r>
      <w:r w:rsidR="000B3151">
        <w:rPr>
          <w:rFonts w:cstheme="minorHAnsi"/>
          <w:color w:val="000000"/>
        </w:rPr>
        <w:t>;</w:t>
      </w:r>
    </w:p>
    <w:p w14:paraId="440D327C" w14:textId="0AE05ABB" w:rsidR="00ED562F" w:rsidRPr="00EA6CEC" w:rsidRDefault="000B3151" w:rsidP="00B0127C">
      <w:pPr>
        <w:pStyle w:val="Odstavecseseznamem"/>
        <w:numPr>
          <w:ilvl w:val="0"/>
          <w:numId w:val="16"/>
        </w:numPr>
        <w:autoSpaceDE w:val="0"/>
        <w:autoSpaceDN w:val="0"/>
        <w:adjustRightInd w:val="0"/>
        <w:spacing w:after="0" w:line="240" w:lineRule="auto"/>
        <w:jc w:val="left"/>
        <w:rPr>
          <w:rFonts w:cstheme="minorHAnsi"/>
          <w:color w:val="000000"/>
        </w:rPr>
      </w:pPr>
      <w:r>
        <w:rPr>
          <w:rFonts w:cstheme="minorHAnsi"/>
          <w:color w:val="000000"/>
        </w:rPr>
        <w:t xml:space="preserve">pro část 1 zakázky (hladina NN) uvede dodavatel rovněž </w:t>
      </w:r>
      <w:r w:rsidR="00B963B0">
        <w:rPr>
          <w:rFonts w:cstheme="minorHAnsi"/>
          <w:color w:val="000000"/>
        </w:rPr>
        <w:t>cenu stálého měsíčního platu</w:t>
      </w:r>
      <w:r w:rsidR="00ED562F">
        <w:rPr>
          <w:rFonts w:cstheme="minorHAnsi"/>
          <w:color w:val="000000"/>
        </w:rPr>
        <w:t>.</w:t>
      </w:r>
    </w:p>
    <w:p w14:paraId="44809DFF" w14:textId="77777777" w:rsidR="006C2036" w:rsidRPr="006C2036" w:rsidRDefault="006C2036" w:rsidP="008A3A0A">
      <w:pPr>
        <w:pStyle w:val="Nadpis1"/>
      </w:pPr>
      <w:r w:rsidRPr="006C2036">
        <w:t>ZPŮSOB ZPRACOVÁNÍ NABÍDKOVÉ CENY</w:t>
      </w:r>
    </w:p>
    <w:p w14:paraId="48702FE8" w14:textId="00767795" w:rsidR="00057563" w:rsidRPr="00057563" w:rsidRDefault="00057563" w:rsidP="00897D63">
      <w:pPr>
        <w:spacing w:before="120"/>
        <w:rPr>
          <w:rFonts w:ascii="Calibri" w:hAnsi="Calibri" w:cs="Calibri"/>
          <w:b/>
          <w:bCs/>
          <w:color w:val="000000"/>
        </w:rPr>
      </w:pPr>
      <w:bookmarkStart w:id="7" w:name="_Hlk51233760"/>
      <w:r w:rsidRPr="00567F35">
        <w:rPr>
          <w:b/>
          <w:bCs/>
        </w:rPr>
        <w:t>Část 1 – nízké napětí – NN</w:t>
      </w:r>
    </w:p>
    <w:p w14:paraId="74568C4D" w14:textId="5BD64680" w:rsidR="00897D63" w:rsidRDefault="00897D63" w:rsidP="00897D63">
      <w:pPr>
        <w:spacing w:before="120"/>
        <w:rPr>
          <w:rFonts w:ascii="Calibri" w:hAnsi="Calibri" w:cs="Calibri"/>
          <w:color w:val="000000"/>
        </w:rPr>
      </w:pPr>
      <w:r w:rsidRPr="00326A38">
        <w:rPr>
          <w:rFonts w:ascii="Calibri" w:hAnsi="Calibri" w:cs="Calibri"/>
          <w:color w:val="000000"/>
        </w:rPr>
        <w:t xml:space="preserve">Nabídková cena bude uvedena v krycím listu nabídky, který tvoří přílohu č. 1 </w:t>
      </w:r>
      <w:r>
        <w:rPr>
          <w:rFonts w:ascii="Calibri" w:hAnsi="Calibri" w:cs="Calibri"/>
          <w:color w:val="000000"/>
        </w:rPr>
        <w:t>Výzvy</w:t>
      </w:r>
      <w:r w:rsidRPr="00326A38">
        <w:rPr>
          <w:rFonts w:ascii="Calibri" w:hAnsi="Calibri" w:cs="Calibri"/>
          <w:color w:val="000000"/>
        </w:rPr>
        <w:t>, a bude zpracována jako cena přičítacího koeficientu</w:t>
      </w:r>
      <w:r w:rsidR="00E51AED">
        <w:rPr>
          <w:rFonts w:ascii="Calibri" w:hAnsi="Calibri" w:cs="Calibri"/>
          <w:color w:val="000000"/>
        </w:rPr>
        <w:t xml:space="preserve"> </w:t>
      </w:r>
      <w:r w:rsidRPr="00326A38">
        <w:rPr>
          <w:rFonts w:ascii="Calibri" w:hAnsi="Calibri" w:cs="Calibri"/>
          <w:color w:val="000000"/>
        </w:rPr>
        <w:t>v </w:t>
      </w:r>
      <w:r>
        <w:rPr>
          <w:rFonts w:ascii="Calibri" w:hAnsi="Calibri" w:cs="Calibri"/>
          <w:color w:val="000000"/>
        </w:rPr>
        <w:t>Kč</w:t>
      </w:r>
      <w:r w:rsidRPr="00326A38">
        <w:rPr>
          <w:rFonts w:ascii="Calibri" w:hAnsi="Calibri" w:cs="Calibri"/>
          <w:color w:val="000000"/>
        </w:rPr>
        <w:t xml:space="preserve"> bez DPH za dodávku 1</w:t>
      </w:r>
      <w:r>
        <w:rPr>
          <w:rFonts w:ascii="Calibri" w:hAnsi="Calibri" w:cs="Calibri"/>
          <w:color w:val="000000"/>
        </w:rPr>
        <w:t> </w:t>
      </w:r>
      <w:r w:rsidRPr="00326A38">
        <w:rPr>
          <w:rFonts w:ascii="Calibri" w:hAnsi="Calibri" w:cs="Calibri"/>
          <w:color w:val="000000"/>
        </w:rPr>
        <w:t>MWh silové elektřiny</w:t>
      </w:r>
      <w:r>
        <w:rPr>
          <w:rFonts w:ascii="Calibri" w:hAnsi="Calibri" w:cs="Calibri"/>
          <w:color w:val="000000"/>
        </w:rPr>
        <w:t>.</w:t>
      </w:r>
      <w:r w:rsidR="00895D27">
        <w:rPr>
          <w:rFonts w:ascii="Calibri" w:hAnsi="Calibri" w:cs="Calibri"/>
          <w:color w:val="000000"/>
        </w:rPr>
        <w:t xml:space="preserve"> </w:t>
      </w:r>
      <w:r>
        <w:rPr>
          <w:rFonts w:ascii="Calibri" w:hAnsi="Calibri" w:cs="Calibri"/>
          <w:color w:val="000000"/>
        </w:rPr>
        <w:t>Přepočet přičítacího koeficientu z případné jiné měny na Kč provede dodavatel pro účely stanovení nabídkové ceny dle kurzu ČNB stanovenému ke dni zahájení zadávacího řízení.</w:t>
      </w:r>
    </w:p>
    <w:p w14:paraId="1E9F68CD" w14:textId="67CF3734" w:rsidR="008307A4" w:rsidRPr="00326A38" w:rsidRDefault="008307A4" w:rsidP="00897D63">
      <w:pPr>
        <w:spacing w:before="120"/>
        <w:rPr>
          <w:rFonts w:ascii="Calibri" w:hAnsi="Calibri" w:cs="Calibri"/>
          <w:color w:val="000000"/>
        </w:rPr>
      </w:pPr>
      <w:r>
        <w:rPr>
          <w:rFonts w:ascii="Calibri" w:hAnsi="Calibri" w:cs="Calibri"/>
          <w:color w:val="000000"/>
        </w:rPr>
        <w:t xml:space="preserve">Dodavatel uvede v krycím listu nabídky, který tvoří přílohu č. 1 Výzvy, rovněž </w:t>
      </w:r>
      <w:r w:rsidRPr="004F0024">
        <w:rPr>
          <w:rFonts w:ascii="Calibri" w:hAnsi="Calibri" w:cs="Calibri"/>
          <w:b/>
          <w:bCs/>
          <w:color w:val="000000"/>
        </w:rPr>
        <w:t>výši stálého měsíčního platu</w:t>
      </w:r>
      <w:r w:rsidR="003D2BC0">
        <w:rPr>
          <w:rFonts w:ascii="Calibri" w:hAnsi="Calibri" w:cs="Calibri"/>
          <w:color w:val="000000"/>
        </w:rPr>
        <w:t xml:space="preserve"> (v Kč</w:t>
      </w:r>
      <w:r w:rsidR="008B4D09">
        <w:rPr>
          <w:rFonts w:ascii="Calibri" w:hAnsi="Calibri" w:cs="Calibri"/>
          <w:color w:val="000000"/>
        </w:rPr>
        <w:t xml:space="preserve"> bez DPH</w:t>
      </w:r>
      <w:r w:rsidR="003D2BC0">
        <w:rPr>
          <w:rFonts w:ascii="Calibri" w:hAnsi="Calibri" w:cs="Calibri"/>
          <w:color w:val="000000"/>
        </w:rPr>
        <w:t>/měsíc za 1 odběrné místo</w:t>
      </w:r>
      <w:r w:rsidR="00F351F6">
        <w:rPr>
          <w:rFonts w:ascii="Calibri" w:hAnsi="Calibri" w:cs="Calibri"/>
          <w:color w:val="000000"/>
        </w:rPr>
        <w:t xml:space="preserve">, a také celkovou výši stálého měsíčního platu za všechna odběrná místa </w:t>
      </w:r>
      <w:r w:rsidR="00B0127C">
        <w:rPr>
          <w:rFonts w:ascii="Calibri" w:hAnsi="Calibri" w:cs="Calibri"/>
          <w:color w:val="000000"/>
        </w:rPr>
        <w:t xml:space="preserve">v hladině NN uvedená v příloze č. 2 Výzvy </w:t>
      </w:r>
      <w:r w:rsidR="00F351F6">
        <w:rPr>
          <w:rFonts w:ascii="Calibri" w:hAnsi="Calibri" w:cs="Calibri"/>
          <w:color w:val="000000"/>
        </w:rPr>
        <w:t>za 12 měsíců</w:t>
      </w:r>
      <w:r w:rsidR="003D2BC0">
        <w:rPr>
          <w:rFonts w:ascii="Calibri" w:hAnsi="Calibri" w:cs="Calibri"/>
          <w:color w:val="000000"/>
        </w:rPr>
        <w:t>)</w:t>
      </w:r>
      <w:r>
        <w:rPr>
          <w:rFonts w:ascii="Calibri" w:hAnsi="Calibri" w:cs="Calibri"/>
          <w:color w:val="000000"/>
        </w:rPr>
        <w:t>.</w:t>
      </w:r>
    </w:p>
    <w:p w14:paraId="3751699F" w14:textId="6AA8C377" w:rsidR="00897D63" w:rsidRDefault="00897D63" w:rsidP="00897D63">
      <w:pPr>
        <w:spacing w:before="120"/>
        <w:rPr>
          <w:rFonts w:ascii="Calibri" w:hAnsi="Calibri" w:cs="Calibri"/>
          <w:b/>
          <w:bCs/>
          <w:color w:val="000000"/>
        </w:rPr>
      </w:pPr>
      <w:r w:rsidRPr="00777A26">
        <w:rPr>
          <w:rFonts w:ascii="Calibri" w:hAnsi="Calibri" w:cs="Calibri"/>
          <w:color w:val="000000"/>
        </w:rPr>
        <w:t xml:space="preserve">Celková nabídková cena musí zahrnovat </w:t>
      </w:r>
      <w:r w:rsidRPr="00777A26">
        <w:rPr>
          <w:rFonts w:ascii="Calibri" w:hAnsi="Calibri" w:cs="Calibri"/>
          <w:b/>
          <w:bCs/>
          <w:color w:val="000000"/>
        </w:rPr>
        <w:t>veškeré náklady dodavatele spojené</w:t>
      </w:r>
      <w:r>
        <w:rPr>
          <w:rFonts w:ascii="Calibri" w:hAnsi="Calibri" w:cs="Calibri"/>
          <w:b/>
          <w:bCs/>
          <w:color w:val="000000"/>
        </w:rPr>
        <w:t xml:space="preserve"> </w:t>
      </w:r>
      <w:r w:rsidRPr="00777A26">
        <w:rPr>
          <w:rFonts w:ascii="Calibri" w:hAnsi="Calibri" w:cs="Calibri"/>
          <w:b/>
          <w:bCs/>
          <w:color w:val="000000"/>
        </w:rPr>
        <w:t>s plněním zakázky</w:t>
      </w:r>
      <w:r>
        <w:rPr>
          <w:rFonts w:ascii="Calibri" w:hAnsi="Calibri" w:cs="Calibri"/>
          <w:b/>
          <w:bCs/>
          <w:color w:val="000000"/>
        </w:rPr>
        <w:t>.</w:t>
      </w:r>
    </w:p>
    <w:p w14:paraId="0791B191" w14:textId="77777777" w:rsidR="001D7366" w:rsidRDefault="001D7366" w:rsidP="001D7366">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62E3C7A3" w14:textId="49C719A3" w:rsidR="00A45D39" w:rsidRDefault="00A45D39" w:rsidP="00A45D39">
      <w:pPr>
        <w:spacing w:before="120"/>
        <w:rPr>
          <w:b/>
          <w:bCs/>
        </w:rPr>
      </w:pPr>
      <w:r w:rsidRPr="00567F35">
        <w:rPr>
          <w:b/>
          <w:bCs/>
        </w:rPr>
        <w:t xml:space="preserve">Část </w:t>
      </w:r>
      <w:r>
        <w:rPr>
          <w:b/>
          <w:bCs/>
        </w:rPr>
        <w:t>2</w:t>
      </w:r>
      <w:r w:rsidRPr="00567F35">
        <w:rPr>
          <w:b/>
          <w:bCs/>
        </w:rPr>
        <w:t xml:space="preserve"> – </w:t>
      </w:r>
      <w:r>
        <w:rPr>
          <w:b/>
          <w:bCs/>
        </w:rPr>
        <w:t>vysoké</w:t>
      </w:r>
      <w:r w:rsidRPr="00567F35">
        <w:rPr>
          <w:b/>
          <w:bCs/>
        </w:rPr>
        <w:t xml:space="preserve"> napětí – </w:t>
      </w:r>
      <w:r>
        <w:rPr>
          <w:b/>
          <w:bCs/>
        </w:rPr>
        <w:t>V</w:t>
      </w:r>
      <w:r w:rsidRPr="00567F35">
        <w:rPr>
          <w:b/>
          <w:bCs/>
        </w:rPr>
        <w:t>N</w:t>
      </w:r>
    </w:p>
    <w:p w14:paraId="144E6151" w14:textId="77777777" w:rsidR="00A45D39" w:rsidRDefault="00A45D39" w:rsidP="00A45D39">
      <w:pPr>
        <w:spacing w:before="120"/>
        <w:rPr>
          <w:rFonts w:ascii="Calibri" w:hAnsi="Calibri" w:cs="Calibri"/>
          <w:color w:val="000000"/>
        </w:rPr>
      </w:pPr>
      <w:r w:rsidRPr="00326A38">
        <w:rPr>
          <w:rFonts w:ascii="Calibri" w:hAnsi="Calibri" w:cs="Calibri"/>
          <w:color w:val="000000"/>
        </w:rPr>
        <w:t xml:space="preserve">Nabídková cena bude uvedena v krycím listu nabídky, který tvoří přílohu č. 1 </w:t>
      </w:r>
      <w:r>
        <w:rPr>
          <w:rFonts w:ascii="Calibri" w:hAnsi="Calibri" w:cs="Calibri"/>
          <w:color w:val="000000"/>
        </w:rPr>
        <w:t>Výzvy</w:t>
      </w:r>
      <w:r w:rsidRPr="00326A38">
        <w:rPr>
          <w:rFonts w:ascii="Calibri" w:hAnsi="Calibri" w:cs="Calibri"/>
          <w:color w:val="000000"/>
        </w:rPr>
        <w:t>, a bude zpracována jako cena přičítacího koeficientu</w:t>
      </w:r>
      <w:r>
        <w:rPr>
          <w:rFonts w:ascii="Calibri" w:hAnsi="Calibri" w:cs="Calibri"/>
          <w:color w:val="000000"/>
        </w:rPr>
        <w:t xml:space="preserve"> </w:t>
      </w:r>
      <w:r w:rsidRPr="00326A38">
        <w:rPr>
          <w:rFonts w:ascii="Calibri" w:hAnsi="Calibri" w:cs="Calibri"/>
          <w:color w:val="000000"/>
        </w:rPr>
        <w:t>v </w:t>
      </w:r>
      <w:r>
        <w:rPr>
          <w:rFonts w:ascii="Calibri" w:hAnsi="Calibri" w:cs="Calibri"/>
          <w:color w:val="000000"/>
        </w:rPr>
        <w:t>Kč</w:t>
      </w:r>
      <w:r w:rsidRPr="00326A38">
        <w:rPr>
          <w:rFonts w:ascii="Calibri" w:hAnsi="Calibri" w:cs="Calibri"/>
          <w:color w:val="000000"/>
        </w:rPr>
        <w:t xml:space="preserve"> bez DPH za dodávku 1</w:t>
      </w:r>
      <w:r>
        <w:rPr>
          <w:rFonts w:ascii="Calibri" w:hAnsi="Calibri" w:cs="Calibri"/>
          <w:color w:val="000000"/>
        </w:rPr>
        <w:t> </w:t>
      </w:r>
      <w:r w:rsidRPr="00326A38">
        <w:rPr>
          <w:rFonts w:ascii="Calibri" w:hAnsi="Calibri" w:cs="Calibri"/>
          <w:color w:val="000000"/>
        </w:rPr>
        <w:t>MWh silové elektřiny</w:t>
      </w:r>
      <w:r>
        <w:rPr>
          <w:rFonts w:ascii="Calibri" w:hAnsi="Calibri" w:cs="Calibri"/>
          <w:color w:val="000000"/>
        </w:rPr>
        <w:t>. Přepočet přičítacího koeficientu z případné jiné měny na Kč provede dodavatel pro účely stanovení nabídkové ceny dle kurzu ČNB stanovenému ke dni zahájení zadávacího řízení.</w:t>
      </w:r>
    </w:p>
    <w:p w14:paraId="52008C80" w14:textId="77777777" w:rsidR="00A45D39" w:rsidRDefault="00A45D39" w:rsidP="00A45D39">
      <w:pPr>
        <w:spacing w:before="120"/>
        <w:rPr>
          <w:rFonts w:ascii="Calibri" w:hAnsi="Calibri" w:cs="Calibri"/>
          <w:b/>
          <w:bCs/>
          <w:color w:val="000000"/>
        </w:rPr>
      </w:pPr>
      <w:r w:rsidRPr="00777A26">
        <w:rPr>
          <w:rFonts w:ascii="Calibri" w:hAnsi="Calibri" w:cs="Calibri"/>
          <w:color w:val="000000"/>
        </w:rPr>
        <w:t xml:space="preserve">Celková nabídková cena musí zahrnovat </w:t>
      </w:r>
      <w:r w:rsidRPr="00777A26">
        <w:rPr>
          <w:rFonts w:ascii="Calibri" w:hAnsi="Calibri" w:cs="Calibri"/>
          <w:b/>
          <w:bCs/>
          <w:color w:val="000000"/>
        </w:rPr>
        <w:t>veškeré náklady dodavatele spojené</w:t>
      </w:r>
      <w:r>
        <w:rPr>
          <w:rFonts w:ascii="Calibri" w:hAnsi="Calibri" w:cs="Calibri"/>
          <w:b/>
          <w:bCs/>
          <w:color w:val="000000"/>
        </w:rPr>
        <w:t xml:space="preserve"> </w:t>
      </w:r>
      <w:r w:rsidRPr="00777A26">
        <w:rPr>
          <w:rFonts w:ascii="Calibri" w:hAnsi="Calibri" w:cs="Calibri"/>
          <w:b/>
          <w:bCs/>
          <w:color w:val="000000"/>
        </w:rPr>
        <w:t>s plněním zakázky</w:t>
      </w:r>
      <w:r>
        <w:rPr>
          <w:rFonts w:ascii="Calibri" w:hAnsi="Calibri" w:cs="Calibri"/>
          <w:b/>
          <w:bCs/>
          <w:color w:val="000000"/>
        </w:rPr>
        <w:t>.</w:t>
      </w:r>
    </w:p>
    <w:p w14:paraId="12B1ADD6" w14:textId="7A1AFBB7" w:rsidR="00A45D39" w:rsidRPr="00A45D39" w:rsidRDefault="00A45D39" w:rsidP="00A45D39">
      <w:pPr>
        <w:spacing w:before="120"/>
        <w:rPr>
          <w:b/>
          <w:bCs/>
        </w:rPr>
      </w:pPr>
      <w:r>
        <w:rPr>
          <w:rFonts w:ascii="Calibri" w:hAnsi="Calibri" w:cs="Calibri"/>
          <w:lang w:eastAsia="cs-CZ"/>
        </w:rPr>
        <w:t>Pro účely Smlouvy uzavřené s vybraným dodavatelem bude k této ceně bez DPH připočtena výše DPH v souladu s platnými právními předpisy.</w:t>
      </w:r>
    </w:p>
    <w:bookmarkEnd w:id="7"/>
    <w:p w14:paraId="0C2886E0" w14:textId="77777777" w:rsidR="00FF066F" w:rsidRPr="00FF066F" w:rsidRDefault="00FF066F" w:rsidP="008A3A0A">
      <w:pPr>
        <w:pStyle w:val="Nadpis1"/>
      </w:pPr>
      <w:r w:rsidRPr="00FF066F">
        <w:t>HODNOCENÍ NABÍDEK</w:t>
      </w:r>
    </w:p>
    <w:p w14:paraId="5BB331D3" w14:textId="1400A84E" w:rsidR="0098726A" w:rsidRDefault="0098726A" w:rsidP="0098726A">
      <w:pPr>
        <w:spacing w:before="120"/>
        <w:rPr>
          <w:rFonts w:ascii="Calibri" w:hAnsi="Calibri" w:cs="Calibri"/>
          <w:color w:val="000000"/>
        </w:rPr>
      </w:pPr>
      <w:r w:rsidRPr="0064223D">
        <w:rPr>
          <w:rFonts w:ascii="Calibri" w:hAnsi="Calibri" w:cs="Calibri"/>
          <w:color w:val="000000"/>
        </w:rPr>
        <w:t xml:space="preserve">Základním hodnotícím kritériem pro zadání </w:t>
      </w:r>
      <w:r w:rsidR="00457A39">
        <w:rPr>
          <w:rFonts w:ascii="Calibri" w:hAnsi="Calibri" w:cs="Calibri"/>
          <w:color w:val="000000"/>
        </w:rPr>
        <w:t xml:space="preserve">obou </w:t>
      </w:r>
      <w:r>
        <w:rPr>
          <w:rFonts w:ascii="Calibri" w:hAnsi="Calibri" w:cs="Calibri"/>
          <w:color w:val="000000"/>
        </w:rPr>
        <w:t>část</w:t>
      </w:r>
      <w:r w:rsidR="00457A39">
        <w:rPr>
          <w:rFonts w:ascii="Calibri" w:hAnsi="Calibri" w:cs="Calibri"/>
          <w:color w:val="000000"/>
        </w:rPr>
        <w:t xml:space="preserve">í </w:t>
      </w:r>
      <w:r w:rsidRPr="0064223D">
        <w:rPr>
          <w:rFonts w:ascii="Calibri" w:hAnsi="Calibri" w:cs="Calibri"/>
          <w:color w:val="000000"/>
        </w:rPr>
        <w:t xml:space="preserve">zakázky je ekonomická výhodnost nabídky dle § 114 </w:t>
      </w:r>
      <w:r w:rsidRPr="0053092F">
        <w:t>a</w:t>
      </w:r>
      <w:r>
        <w:t> </w:t>
      </w:r>
      <w:r w:rsidRPr="0053092F">
        <w:t>násl</w:t>
      </w:r>
      <w:r w:rsidRPr="0064223D">
        <w:rPr>
          <w:rFonts w:ascii="Calibri" w:hAnsi="Calibri" w:cs="Calibri"/>
          <w:color w:val="000000"/>
        </w:rPr>
        <w:t>.</w:t>
      </w:r>
      <w:r>
        <w:rPr>
          <w:rFonts w:ascii="Calibri" w:hAnsi="Calibri" w:cs="Calibri"/>
          <w:color w:val="000000"/>
        </w:rPr>
        <w:t> </w:t>
      </w:r>
      <w:r w:rsidRPr="0064223D">
        <w:rPr>
          <w:rFonts w:ascii="Calibri" w:hAnsi="Calibri" w:cs="Calibri"/>
          <w:color w:val="000000"/>
        </w:rPr>
        <w:t xml:space="preserve">ZZVZ. </w:t>
      </w:r>
    </w:p>
    <w:p w14:paraId="270AD280" w14:textId="653A3BDC" w:rsidR="00326EAB" w:rsidRDefault="00326EAB" w:rsidP="0098726A">
      <w:pPr>
        <w:spacing w:before="120"/>
        <w:rPr>
          <w:rFonts w:ascii="Calibri" w:hAnsi="Calibri" w:cs="Calibri"/>
          <w:color w:val="000000"/>
        </w:rPr>
      </w:pPr>
      <w:r w:rsidRPr="00E5642D">
        <w:rPr>
          <w:rFonts w:ascii="Calibri" w:hAnsi="Calibri" w:cs="Calibri"/>
          <w:lang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6105154" w14:textId="52784E45" w:rsidR="00A632EA" w:rsidRDefault="00A632EA" w:rsidP="0098726A">
      <w:pPr>
        <w:spacing w:before="120"/>
        <w:rPr>
          <w:b/>
          <w:bCs/>
        </w:rPr>
      </w:pPr>
      <w:r w:rsidRPr="00567F35">
        <w:rPr>
          <w:b/>
          <w:bCs/>
        </w:rPr>
        <w:t>Část 1 – nízké napětí – NN</w:t>
      </w:r>
    </w:p>
    <w:p w14:paraId="2AC9A14C" w14:textId="54D4BF1A" w:rsidR="00A632EA" w:rsidRDefault="001C2AD0" w:rsidP="0098726A">
      <w:pPr>
        <w:spacing w:before="120"/>
      </w:pPr>
      <w:r>
        <w:t>Zadavatel stanovuje následující dílčí hodnotící kritéria pro hodnocení nabídek v části 1 zakázky a jejich váhu:</w:t>
      </w:r>
    </w:p>
    <w:tbl>
      <w:tblPr>
        <w:tblStyle w:val="Mkatabulky"/>
        <w:tblW w:w="0" w:type="auto"/>
        <w:tblInd w:w="776" w:type="dxa"/>
        <w:tblLook w:val="04A0" w:firstRow="1" w:lastRow="0" w:firstColumn="1" w:lastColumn="0" w:noHBand="0" w:noVBand="1"/>
      </w:tblPr>
      <w:tblGrid>
        <w:gridCol w:w="6167"/>
        <w:gridCol w:w="1908"/>
      </w:tblGrid>
      <w:tr w:rsidR="001C2AD0" w14:paraId="55CF2C30" w14:textId="77777777" w:rsidTr="0080651D">
        <w:tc>
          <w:tcPr>
            <w:tcW w:w="6167" w:type="dxa"/>
            <w:tcBorders>
              <w:top w:val="dotted" w:sz="2" w:space="0" w:color="auto"/>
              <w:left w:val="dotted" w:sz="2" w:space="0" w:color="auto"/>
              <w:bottom w:val="dotted" w:sz="2" w:space="0" w:color="auto"/>
              <w:right w:val="dotted" w:sz="2" w:space="0" w:color="auto"/>
            </w:tcBorders>
          </w:tcPr>
          <w:p w14:paraId="132B2B70" w14:textId="3C3E98D5" w:rsidR="001C2AD0" w:rsidRPr="00EC264D" w:rsidRDefault="00EC264D" w:rsidP="00EC264D">
            <w:pPr>
              <w:spacing w:before="120"/>
              <w:jc w:val="center"/>
              <w:rPr>
                <w:b/>
                <w:bCs/>
              </w:rPr>
            </w:pPr>
            <w:r w:rsidRPr="00EC264D">
              <w:rPr>
                <w:b/>
                <w:bCs/>
              </w:rPr>
              <w:t>Dílčí hodnotící kritérium</w:t>
            </w:r>
          </w:p>
        </w:tc>
        <w:tc>
          <w:tcPr>
            <w:tcW w:w="1908" w:type="dxa"/>
            <w:tcBorders>
              <w:top w:val="dotted" w:sz="2" w:space="0" w:color="auto"/>
              <w:left w:val="dotted" w:sz="2" w:space="0" w:color="auto"/>
              <w:bottom w:val="dotted" w:sz="2" w:space="0" w:color="auto"/>
              <w:right w:val="dotted" w:sz="2" w:space="0" w:color="auto"/>
            </w:tcBorders>
          </w:tcPr>
          <w:p w14:paraId="7A2E1B03" w14:textId="21939779" w:rsidR="001C2AD0" w:rsidRPr="00EC264D" w:rsidRDefault="00EC264D" w:rsidP="00EC264D">
            <w:pPr>
              <w:spacing w:before="120"/>
              <w:jc w:val="center"/>
              <w:rPr>
                <w:b/>
                <w:bCs/>
              </w:rPr>
            </w:pPr>
            <w:r w:rsidRPr="00EC264D">
              <w:rPr>
                <w:b/>
                <w:bCs/>
              </w:rPr>
              <w:t>Váha kritéria</w:t>
            </w:r>
          </w:p>
        </w:tc>
      </w:tr>
      <w:tr w:rsidR="001C2AD0" w14:paraId="49E4B340" w14:textId="77777777" w:rsidTr="0080651D">
        <w:tc>
          <w:tcPr>
            <w:tcW w:w="6167" w:type="dxa"/>
            <w:tcBorders>
              <w:top w:val="dotted" w:sz="2" w:space="0" w:color="auto"/>
              <w:left w:val="dotted" w:sz="2" w:space="0" w:color="auto"/>
              <w:bottom w:val="dotted" w:sz="2" w:space="0" w:color="auto"/>
              <w:right w:val="dotted" w:sz="2" w:space="0" w:color="auto"/>
            </w:tcBorders>
          </w:tcPr>
          <w:p w14:paraId="07DF0F13" w14:textId="4EF79553" w:rsidR="001C2AD0" w:rsidRDefault="00EC264D" w:rsidP="00B0127C">
            <w:pPr>
              <w:pStyle w:val="Odstavecseseznamem"/>
              <w:numPr>
                <w:ilvl w:val="0"/>
                <w:numId w:val="17"/>
              </w:numPr>
              <w:spacing w:before="120"/>
              <w:ind w:left="387"/>
            </w:pPr>
            <w:r>
              <w:lastRenderedPageBreak/>
              <w:t xml:space="preserve">Výše přičítacího koeficientu </w:t>
            </w:r>
            <w:r w:rsidR="0080651D">
              <w:t>za dodávku 1 MWh v Kč bez DPH</w:t>
            </w:r>
          </w:p>
        </w:tc>
        <w:tc>
          <w:tcPr>
            <w:tcW w:w="1908" w:type="dxa"/>
            <w:tcBorders>
              <w:top w:val="dotted" w:sz="2" w:space="0" w:color="auto"/>
              <w:left w:val="dotted" w:sz="2" w:space="0" w:color="auto"/>
              <w:bottom w:val="dotted" w:sz="2" w:space="0" w:color="auto"/>
              <w:right w:val="dotted" w:sz="2" w:space="0" w:color="auto"/>
            </w:tcBorders>
          </w:tcPr>
          <w:p w14:paraId="1351F305" w14:textId="4FF56084" w:rsidR="001C2AD0" w:rsidRPr="00AC02DF" w:rsidRDefault="003456AD" w:rsidP="0080651D">
            <w:pPr>
              <w:spacing w:before="120"/>
              <w:jc w:val="center"/>
            </w:pPr>
            <w:r w:rsidRPr="00AC02DF">
              <w:t>95</w:t>
            </w:r>
            <w:r w:rsidR="0080651D" w:rsidRPr="00AC02DF">
              <w:t xml:space="preserve"> %</w:t>
            </w:r>
          </w:p>
        </w:tc>
      </w:tr>
      <w:tr w:rsidR="001C2AD0" w14:paraId="52FB0401" w14:textId="77777777" w:rsidTr="0080651D">
        <w:tc>
          <w:tcPr>
            <w:tcW w:w="6167" w:type="dxa"/>
            <w:tcBorders>
              <w:top w:val="dotted" w:sz="2" w:space="0" w:color="auto"/>
              <w:left w:val="dotted" w:sz="2" w:space="0" w:color="auto"/>
              <w:bottom w:val="dotted" w:sz="2" w:space="0" w:color="auto"/>
              <w:right w:val="dotted" w:sz="2" w:space="0" w:color="auto"/>
            </w:tcBorders>
          </w:tcPr>
          <w:p w14:paraId="65BD6D13" w14:textId="3AFC3338" w:rsidR="001C2AD0" w:rsidRDefault="00430D4E" w:rsidP="00B0127C">
            <w:pPr>
              <w:pStyle w:val="Odstavecseseznamem"/>
              <w:numPr>
                <w:ilvl w:val="0"/>
                <w:numId w:val="17"/>
              </w:numPr>
              <w:spacing w:before="120"/>
              <w:ind w:left="387"/>
            </w:pPr>
            <w:r>
              <w:t>Celková výše stálého měsíčního platu</w:t>
            </w:r>
            <w:r w:rsidR="00094DEB">
              <w:t xml:space="preserve"> v Kč bez DPH</w:t>
            </w:r>
          </w:p>
        </w:tc>
        <w:tc>
          <w:tcPr>
            <w:tcW w:w="1908" w:type="dxa"/>
            <w:tcBorders>
              <w:top w:val="dotted" w:sz="2" w:space="0" w:color="auto"/>
              <w:left w:val="dotted" w:sz="2" w:space="0" w:color="auto"/>
              <w:bottom w:val="dotted" w:sz="2" w:space="0" w:color="auto"/>
              <w:right w:val="dotted" w:sz="2" w:space="0" w:color="auto"/>
            </w:tcBorders>
          </w:tcPr>
          <w:p w14:paraId="2F0E4F0A" w14:textId="5DF85478" w:rsidR="001C2AD0" w:rsidRPr="00AC02DF" w:rsidRDefault="003456AD" w:rsidP="0080651D">
            <w:pPr>
              <w:spacing w:before="120"/>
              <w:jc w:val="center"/>
            </w:pPr>
            <w:r w:rsidRPr="00AC02DF">
              <w:t>5</w:t>
            </w:r>
            <w:r w:rsidR="0080651D" w:rsidRPr="00AC02DF">
              <w:t xml:space="preserve"> %</w:t>
            </w:r>
          </w:p>
        </w:tc>
      </w:tr>
    </w:tbl>
    <w:p w14:paraId="1A99B06D" w14:textId="77777777" w:rsidR="001C2AD0" w:rsidRPr="00A632EA" w:rsidRDefault="001C2AD0" w:rsidP="0098726A">
      <w:pPr>
        <w:spacing w:before="120"/>
      </w:pPr>
    </w:p>
    <w:p w14:paraId="4DB5E6E5" w14:textId="77777777" w:rsidR="00F0694D" w:rsidRDefault="00F0694D" w:rsidP="0098726A">
      <w:pPr>
        <w:spacing w:before="120"/>
        <w:rPr>
          <w:u w:val="single"/>
        </w:rPr>
      </w:pPr>
      <w:r>
        <w:rPr>
          <w:u w:val="single"/>
        </w:rPr>
        <w:t>Hodnocení dle kritéria č. 1) Výše přičítacího koeficientu za dodávku 1 MWh v Kč bez DPH</w:t>
      </w:r>
    </w:p>
    <w:p w14:paraId="181C16B0" w14:textId="59E41F3E" w:rsidR="00430D4E" w:rsidRDefault="00F0694D" w:rsidP="0098726A">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Pr="00E31515">
        <w:rPr>
          <w:rFonts w:ascii="Calibri" w:hAnsi="Calibri" w:cs="Calibri"/>
          <w:color w:val="000000"/>
        </w:rPr>
        <w:t>nabídková cena přičítacího koeficientu v Kč bez DPH za 1 MWh</w:t>
      </w:r>
      <w:r w:rsidRPr="005A2BBD">
        <w:rPr>
          <w:rFonts w:ascii="Calibri" w:hAnsi="Calibri" w:cs="Calibri"/>
          <w:b/>
          <w:bCs/>
          <w:color w:val="000000"/>
        </w:rPr>
        <w:t xml:space="preserve"> </w:t>
      </w:r>
      <w:r w:rsidRPr="005A2BBD">
        <w:rPr>
          <w:rFonts w:ascii="Calibri" w:hAnsi="Calibri" w:cs="Calibri"/>
          <w:color w:val="000000"/>
        </w:rPr>
        <w:t>stanovená dodavatelem v</w:t>
      </w:r>
      <w:r>
        <w:rPr>
          <w:rFonts w:ascii="Calibri" w:hAnsi="Calibri" w:cs="Calibri"/>
          <w:color w:val="000000"/>
        </w:rPr>
        <w:t> krycím listu nabídky, který tvoří přílohu č. 1 Výzvy, v souladu s touto Výzvou</w:t>
      </w:r>
      <w:r w:rsidRPr="005A2BBD">
        <w:rPr>
          <w:rFonts w:ascii="Calibri" w:hAnsi="Calibri" w:cs="Calibri"/>
          <w:color w:val="000000"/>
        </w:rPr>
        <w:t>.</w:t>
      </w:r>
    </w:p>
    <w:p w14:paraId="21A55ACD" w14:textId="3414A58C" w:rsidR="00551EE8" w:rsidRPr="00551EE8" w:rsidRDefault="00551EE8" w:rsidP="00551EE8">
      <w:pPr>
        <w:pStyle w:val="Default"/>
        <w:spacing w:after="137"/>
        <w:jc w:val="both"/>
        <w:rPr>
          <w:rFonts w:asciiTheme="minorHAnsi" w:hAnsiTheme="minorHAnsi" w:cstheme="minorHAnsi"/>
          <w:sz w:val="22"/>
          <w:szCs w:val="22"/>
        </w:rPr>
      </w:pPr>
      <w:r w:rsidRPr="00551EE8">
        <w:rPr>
          <w:rFonts w:asciiTheme="minorHAnsi" w:hAnsiTheme="minorHAnsi" w:cstheme="minorHAnsi"/>
          <w:sz w:val="22"/>
          <w:szCs w:val="22"/>
        </w:rPr>
        <w:t>Nabídka s nejnižší cenou obdrží 100 bodů. Další nabídky obdrží bodovou hodnotu dle následujícího vzorce:</w:t>
      </w:r>
    </w:p>
    <w:p w14:paraId="5F993F24" w14:textId="2A3B58A2" w:rsidR="00551EE8" w:rsidRPr="00551EE8" w:rsidRDefault="00A23BE2" w:rsidP="00551EE8">
      <w:pPr>
        <w:pStyle w:val="Default"/>
        <w:spacing w:before="240" w:after="240"/>
        <w:jc w:val="both"/>
        <w:rPr>
          <w:rFonts w:asciiTheme="minorHAnsi" w:hAnsiTheme="minorHAnsi" w:cstheme="minorHAnsi"/>
          <w:sz w:val="22"/>
          <w:szCs w:val="22"/>
        </w:rPr>
      </w:pPr>
      <m:oMathPara>
        <m:oMath>
          <m:f>
            <m:fPr>
              <m:ctrlPr>
                <w:rPr>
                  <w:rFonts w:ascii="Cambria Math" w:hAnsi="Cambria Math" w:cstheme="minorHAnsi"/>
                  <w:i/>
                  <w:sz w:val="22"/>
                  <w:szCs w:val="22"/>
                </w:rPr>
              </m:ctrlPr>
            </m:fPr>
            <m:num>
              <m:r>
                <w:rPr>
                  <w:rFonts w:ascii="Cambria Math" w:hAnsi="Cambria Math" w:cstheme="minorHAnsi"/>
                  <w:sz w:val="22"/>
                  <w:szCs w:val="22"/>
                </w:rPr>
                <m:t>nejni</m:t>
              </m:r>
              <m:r>
                <w:rPr>
                  <w:rFonts w:ascii="Cambria Math" w:hAnsi="Cambria Math" w:cstheme="minorHAnsi"/>
                  <w:sz w:val="22"/>
                  <w:szCs w:val="22"/>
                </w:rPr>
                <m:t>ž</m:t>
              </m:r>
              <m:r>
                <w:rPr>
                  <w:rFonts w:ascii="Cambria Math" w:hAnsi="Cambria Math" w:cstheme="minorHAnsi"/>
                  <w:sz w:val="22"/>
                  <w:szCs w:val="22"/>
                </w:rPr>
                <m:t>s</m:t>
              </m:r>
              <m:r>
                <w:rPr>
                  <w:rFonts w:ascii="Cambria Math" w:hAnsi="Cambria Math" w:cstheme="minorHAnsi"/>
                  <w:sz w:val="22"/>
                  <w:szCs w:val="22"/>
                </w:rPr>
                <m:t xml:space="preserve">í </m:t>
              </m:r>
              <m:r>
                <w:rPr>
                  <w:rFonts w:ascii="Cambria Math" w:hAnsi="Cambria Math" w:cstheme="minorHAnsi"/>
                  <w:sz w:val="22"/>
                  <w:szCs w:val="22"/>
                </w:rPr>
                <m:t>cena</m:t>
              </m:r>
              <m:r>
                <w:rPr>
                  <w:rFonts w:ascii="Cambria Math" w:hAnsi="Cambria Math" w:cstheme="minorHAnsi"/>
                  <w:sz w:val="22"/>
                  <w:szCs w:val="22"/>
                </w:rPr>
                <m:t xml:space="preserve"> </m:t>
              </m:r>
              <m:r>
                <w:rPr>
                  <w:rFonts w:ascii="Cambria Math" w:hAnsi="Cambria Math" w:cstheme="minorHAnsi"/>
                  <w:sz w:val="22"/>
                  <w:szCs w:val="22"/>
                </w:rPr>
                <m:t>p</m:t>
              </m:r>
              <m:r>
                <w:rPr>
                  <w:rFonts w:ascii="Cambria Math" w:hAnsi="Cambria Math" w:cstheme="minorHAnsi"/>
                  <w:sz w:val="22"/>
                  <w:szCs w:val="22"/>
                </w:rPr>
                <m:t>ř</m:t>
              </m:r>
              <m:r>
                <w:rPr>
                  <w:rFonts w:ascii="Cambria Math" w:hAnsi="Cambria Math" w:cstheme="minorHAnsi"/>
                  <w:sz w:val="22"/>
                  <w:szCs w:val="22"/>
                </w:rPr>
                <m:t>i</m:t>
              </m:r>
              <m:r>
                <w:rPr>
                  <w:rFonts w:ascii="Cambria Math" w:hAnsi="Cambria Math" w:cstheme="minorHAnsi"/>
                  <w:sz w:val="22"/>
                  <w:szCs w:val="22"/>
                </w:rPr>
                <m:t>čí</m:t>
              </m:r>
              <m:r>
                <w:rPr>
                  <w:rFonts w:ascii="Cambria Math" w:hAnsi="Cambria Math" w:cstheme="minorHAnsi"/>
                  <w:sz w:val="22"/>
                  <w:szCs w:val="22"/>
                </w:rPr>
                <m:t>tac</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koeficientu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num>
            <m:den>
              <m:r>
                <w:rPr>
                  <w:rFonts w:ascii="Cambria Math" w:hAnsi="Cambria Math" w:cstheme="minorHAnsi"/>
                  <w:sz w:val="22"/>
                  <w:szCs w:val="22"/>
                </w:rPr>
                <m:t>h</m:t>
              </m:r>
              <m:r>
                <w:rPr>
                  <w:rFonts w:ascii="Cambria Math" w:hAnsi="Cambria Math" w:cstheme="minorHAnsi"/>
                  <w:sz w:val="22"/>
                  <w:szCs w:val="22"/>
                </w:rPr>
                <m:t>odnocen</m:t>
              </m:r>
              <m:r>
                <w:rPr>
                  <w:rFonts w:ascii="Cambria Math" w:hAnsi="Cambria Math" w:cstheme="minorHAnsi"/>
                  <w:sz w:val="22"/>
                  <w:szCs w:val="22"/>
                </w:rPr>
                <m:t xml:space="preserve">á </m:t>
              </m:r>
              <m:r>
                <w:rPr>
                  <w:rFonts w:ascii="Cambria Math" w:hAnsi="Cambria Math" w:cstheme="minorHAnsi"/>
                  <w:sz w:val="22"/>
                  <w:szCs w:val="22"/>
                </w:rPr>
                <m:t>cena</m:t>
              </m:r>
              <m:r>
                <w:rPr>
                  <w:rFonts w:ascii="Cambria Math" w:hAnsi="Cambria Math" w:cstheme="minorHAnsi"/>
                  <w:sz w:val="22"/>
                  <w:szCs w:val="22"/>
                </w:rPr>
                <m:t xml:space="preserve"> </m:t>
              </m:r>
              <m:r>
                <w:rPr>
                  <w:rFonts w:ascii="Cambria Math" w:hAnsi="Cambria Math" w:cstheme="minorHAnsi"/>
                  <w:sz w:val="22"/>
                  <w:szCs w:val="22"/>
                </w:rPr>
                <m:t>p</m:t>
              </m:r>
              <m:r>
                <w:rPr>
                  <w:rFonts w:ascii="Cambria Math" w:hAnsi="Cambria Math" w:cstheme="minorHAnsi"/>
                  <w:sz w:val="22"/>
                  <w:szCs w:val="22"/>
                </w:rPr>
                <m:t>ř</m:t>
              </m:r>
              <m:r>
                <w:rPr>
                  <w:rFonts w:ascii="Cambria Math" w:hAnsi="Cambria Math" w:cstheme="minorHAnsi"/>
                  <w:sz w:val="22"/>
                  <w:szCs w:val="22"/>
                </w:rPr>
                <m:t>i</m:t>
              </m:r>
              <m:r>
                <w:rPr>
                  <w:rFonts w:ascii="Cambria Math" w:hAnsi="Cambria Math" w:cstheme="minorHAnsi"/>
                  <w:sz w:val="22"/>
                  <w:szCs w:val="22"/>
                </w:rPr>
                <m:t>čí</m:t>
              </m:r>
              <m:r>
                <w:rPr>
                  <w:rFonts w:ascii="Cambria Math" w:hAnsi="Cambria Math" w:cstheme="minorHAnsi"/>
                  <w:sz w:val="22"/>
                  <w:szCs w:val="22"/>
                </w:rPr>
                <m:t>tac</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koeficientu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den>
          </m:f>
          <m:r>
            <w:rPr>
              <w:rFonts w:ascii="Cambria Math" w:hAnsi="Cambria Math" w:cstheme="minorHAnsi"/>
              <w:sz w:val="22"/>
              <w:szCs w:val="22"/>
            </w:rPr>
            <m:t xml:space="preserve"> ×100</m:t>
          </m:r>
        </m:oMath>
      </m:oMathPara>
    </w:p>
    <w:p w14:paraId="2303B2C7" w14:textId="37C2195D" w:rsidR="00FA6068" w:rsidRDefault="00551EE8" w:rsidP="00551EE8">
      <w:pPr>
        <w:spacing w:before="120"/>
        <w:rPr>
          <w:rFonts w:cstheme="minorHAnsi"/>
        </w:rPr>
      </w:pPr>
      <w:r w:rsidRPr="00551EE8">
        <w:rPr>
          <w:rFonts w:cstheme="minorHAnsi"/>
        </w:rPr>
        <w:t xml:space="preserve">Bodové hodnoty jednotlivých nabídek budou následně vynásobeny </w:t>
      </w:r>
      <w:r w:rsidRPr="00AC02DF">
        <w:rPr>
          <w:rFonts w:cstheme="minorHAnsi"/>
        </w:rPr>
        <w:t>hodnotou 0,</w:t>
      </w:r>
      <w:r w:rsidR="00094DEB" w:rsidRPr="00AC02DF">
        <w:rPr>
          <w:rFonts w:cstheme="minorHAnsi"/>
        </w:rPr>
        <w:t>95</w:t>
      </w:r>
      <w:r w:rsidRPr="00AC02DF">
        <w:rPr>
          <w:rFonts w:cstheme="minorHAnsi"/>
        </w:rPr>
        <w:t>, tj. váhou toh</w:t>
      </w:r>
      <w:r w:rsidRPr="00551EE8">
        <w:rPr>
          <w:rFonts w:cstheme="minorHAnsi"/>
        </w:rPr>
        <w:t>oto dílčího hodnotícího kritéria.</w:t>
      </w:r>
    </w:p>
    <w:p w14:paraId="258854B7" w14:textId="2BBACAEF" w:rsidR="00094DEB" w:rsidRDefault="00094DEB" w:rsidP="00551EE8">
      <w:pPr>
        <w:spacing w:before="120"/>
        <w:rPr>
          <w:u w:val="single"/>
        </w:rPr>
      </w:pPr>
      <w:r>
        <w:rPr>
          <w:u w:val="single"/>
        </w:rPr>
        <w:t>Hodnocení dle kritéria č</w:t>
      </w:r>
      <w:r w:rsidRPr="00094DEB">
        <w:rPr>
          <w:u w:val="single"/>
        </w:rPr>
        <w:t>. 2) Celková výše stálého měsíčního platu</w:t>
      </w:r>
      <w:r>
        <w:rPr>
          <w:u w:val="single"/>
        </w:rPr>
        <w:t xml:space="preserve"> v Kč bez DPH</w:t>
      </w:r>
    </w:p>
    <w:p w14:paraId="571C80AC" w14:textId="13479FBD" w:rsidR="00E31515" w:rsidRDefault="00E31515" w:rsidP="00E31515">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00CA6887">
        <w:rPr>
          <w:rFonts w:ascii="Calibri" w:hAnsi="Calibri" w:cs="Calibri"/>
          <w:color w:val="000000"/>
        </w:rPr>
        <w:t xml:space="preserve">celková cena stálého měsíčního platu, vypočtena </w:t>
      </w:r>
      <w:r w:rsidR="00F165D6">
        <w:rPr>
          <w:rFonts w:ascii="Calibri" w:hAnsi="Calibri" w:cs="Calibri"/>
          <w:color w:val="000000"/>
        </w:rPr>
        <w:t xml:space="preserve">jako </w:t>
      </w:r>
      <w:r w:rsidR="00945C0F">
        <w:rPr>
          <w:rFonts w:ascii="Calibri" w:hAnsi="Calibri" w:cs="Calibri"/>
          <w:color w:val="000000"/>
        </w:rPr>
        <w:t>součin (</w:t>
      </w:r>
      <w:r w:rsidR="00F165D6">
        <w:rPr>
          <w:rFonts w:ascii="Calibri" w:hAnsi="Calibri" w:cs="Calibri"/>
          <w:color w:val="000000"/>
        </w:rPr>
        <w:t>součt</w:t>
      </w:r>
      <w:r w:rsidR="00945C0F">
        <w:rPr>
          <w:rFonts w:ascii="Calibri" w:hAnsi="Calibri" w:cs="Calibri"/>
          <w:color w:val="000000"/>
        </w:rPr>
        <w:t>u výše</w:t>
      </w:r>
      <w:r w:rsidR="00F165D6">
        <w:rPr>
          <w:rFonts w:ascii="Calibri" w:hAnsi="Calibri" w:cs="Calibri"/>
          <w:color w:val="000000"/>
        </w:rPr>
        <w:t xml:space="preserve"> stálého měsíčního platu za všechna odběrná </w:t>
      </w:r>
      <w:r w:rsidR="00945C0F">
        <w:rPr>
          <w:rFonts w:ascii="Calibri" w:hAnsi="Calibri" w:cs="Calibri"/>
          <w:color w:val="000000"/>
        </w:rPr>
        <w:t xml:space="preserve">místa uvedená v příloze č. 2 Výzvy) a </w:t>
      </w:r>
      <w:r w:rsidR="00EB0741">
        <w:rPr>
          <w:rFonts w:ascii="Calibri" w:hAnsi="Calibri" w:cs="Calibri"/>
          <w:color w:val="000000"/>
        </w:rPr>
        <w:t>délky trvání smlouvy 12 měsíců.</w:t>
      </w:r>
      <w:r w:rsidR="00DE11C6">
        <w:rPr>
          <w:rFonts w:ascii="Calibri" w:hAnsi="Calibri" w:cs="Calibri"/>
          <w:color w:val="000000"/>
        </w:rPr>
        <w:t xml:space="preserve"> Celková výše stálého měsíčního platu bude dodavatelem uvedena v krycím listu nabídky dle </w:t>
      </w:r>
      <w:r w:rsidR="00447CC7">
        <w:rPr>
          <w:rFonts w:ascii="Calibri" w:hAnsi="Calibri" w:cs="Calibri"/>
          <w:color w:val="000000"/>
        </w:rPr>
        <w:t>přílohy č. 1 Výzvy</w:t>
      </w:r>
      <w:r w:rsidRPr="005A2BBD">
        <w:rPr>
          <w:rFonts w:ascii="Calibri" w:hAnsi="Calibri" w:cs="Calibri"/>
          <w:color w:val="000000"/>
        </w:rPr>
        <w:t>.</w:t>
      </w:r>
    </w:p>
    <w:p w14:paraId="7B811EBF" w14:textId="3DC7C671" w:rsidR="00E31515" w:rsidRPr="00551EE8" w:rsidRDefault="00E31515" w:rsidP="00E31515">
      <w:pPr>
        <w:pStyle w:val="Default"/>
        <w:spacing w:after="137"/>
        <w:jc w:val="both"/>
        <w:rPr>
          <w:rFonts w:asciiTheme="minorHAnsi" w:hAnsiTheme="minorHAnsi" w:cstheme="minorHAnsi"/>
          <w:sz w:val="22"/>
          <w:szCs w:val="22"/>
        </w:rPr>
      </w:pPr>
      <w:r w:rsidRPr="00551EE8">
        <w:rPr>
          <w:rFonts w:asciiTheme="minorHAnsi" w:hAnsiTheme="minorHAnsi" w:cstheme="minorHAnsi"/>
          <w:sz w:val="22"/>
          <w:szCs w:val="22"/>
        </w:rPr>
        <w:t>Nabídka s nejnižší cenou obdrží 100 bodů. Další nabídky obdrží bodovou hodnotu dle následujícího vzorce:</w:t>
      </w:r>
    </w:p>
    <w:p w14:paraId="2385848B" w14:textId="1D7D26C8" w:rsidR="00E31515" w:rsidRPr="00551EE8" w:rsidRDefault="00A23BE2" w:rsidP="00E31515">
      <w:pPr>
        <w:pStyle w:val="Default"/>
        <w:spacing w:before="240" w:after="240"/>
        <w:jc w:val="both"/>
        <w:rPr>
          <w:rFonts w:asciiTheme="minorHAnsi" w:hAnsiTheme="minorHAnsi" w:cstheme="minorHAnsi"/>
          <w:sz w:val="22"/>
          <w:szCs w:val="22"/>
        </w:rPr>
      </w:pPr>
      <m:oMathPara>
        <m:oMath>
          <m:f>
            <m:fPr>
              <m:ctrlPr>
                <w:rPr>
                  <w:rFonts w:ascii="Cambria Math" w:hAnsi="Cambria Math" w:cstheme="minorHAnsi"/>
                  <w:i/>
                  <w:sz w:val="22"/>
                  <w:szCs w:val="22"/>
                </w:rPr>
              </m:ctrlPr>
            </m:fPr>
            <m:num>
              <m:r>
                <w:rPr>
                  <w:rFonts w:ascii="Cambria Math" w:hAnsi="Cambria Math" w:cstheme="minorHAnsi"/>
                  <w:sz w:val="22"/>
                  <w:szCs w:val="22"/>
                </w:rPr>
                <m:t>nejni</m:t>
              </m:r>
              <m:r>
                <w:rPr>
                  <w:rFonts w:ascii="Cambria Math" w:hAnsi="Cambria Math" w:cstheme="minorHAnsi"/>
                  <w:sz w:val="22"/>
                  <w:szCs w:val="22"/>
                </w:rPr>
                <m:t>ž</m:t>
              </m:r>
              <m:r>
                <w:rPr>
                  <w:rFonts w:ascii="Cambria Math" w:hAnsi="Cambria Math" w:cstheme="minorHAnsi"/>
                  <w:sz w:val="22"/>
                  <w:szCs w:val="22"/>
                </w:rPr>
                <m:t>s</m:t>
              </m:r>
              <m:r>
                <w:rPr>
                  <w:rFonts w:ascii="Cambria Math" w:hAnsi="Cambria Math" w:cstheme="minorHAnsi"/>
                  <w:sz w:val="22"/>
                  <w:szCs w:val="22"/>
                </w:rPr>
                <m:t xml:space="preserve">í </m:t>
              </m:r>
              <m:r>
                <w:rPr>
                  <w:rFonts w:ascii="Cambria Math" w:hAnsi="Cambria Math" w:cstheme="minorHAnsi"/>
                  <w:sz w:val="22"/>
                  <w:szCs w:val="22"/>
                </w:rPr>
                <m:t>celkov</m:t>
              </m:r>
              <m:r>
                <w:rPr>
                  <w:rFonts w:ascii="Cambria Math" w:hAnsi="Cambria Math" w:cstheme="minorHAnsi"/>
                  <w:sz w:val="22"/>
                  <w:szCs w:val="22"/>
                </w:rPr>
                <m:t xml:space="preserve">á </m:t>
              </m:r>
              <m:r>
                <w:rPr>
                  <w:rFonts w:ascii="Cambria Math" w:hAnsi="Cambria Math" w:cstheme="minorHAnsi"/>
                  <w:sz w:val="22"/>
                  <w:szCs w:val="22"/>
                </w:rPr>
                <m:t>v</m:t>
              </m:r>
              <m:r>
                <w:rPr>
                  <w:rFonts w:ascii="Cambria Math" w:hAnsi="Cambria Math" w:cstheme="minorHAnsi"/>
                  <w:sz w:val="22"/>
                  <w:szCs w:val="22"/>
                </w:rPr>
                <m:t>ýš</m:t>
              </m:r>
              <m:r>
                <w:rPr>
                  <w:rFonts w:ascii="Cambria Math" w:hAnsi="Cambria Math" w:cstheme="minorHAnsi"/>
                  <w:sz w:val="22"/>
                  <w:szCs w:val="22"/>
                </w:rPr>
                <m:t>e</m:t>
              </m:r>
              <m:r>
                <w:rPr>
                  <w:rFonts w:ascii="Cambria Math" w:hAnsi="Cambria Math" w:cstheme="minorHAnsi"/>
                  <w:sz w:val="22"/>
                  <w:szCs w:val="22"/>
                </w:rPr>
                <m:t xml:space="preserve"> </m:t>
              </m:r>
              <m:r>
                <w:rPr>
                  <w:rFonts w:ascii="Cambria Math" w:hAnsi="Cambria Math" w:cstheme="minorHAnsi"/>
                  <w:sz w:val="22"/>
                  <w:szCs w:val="22"/>
                </w:rPr>
                <m:t>st</m:t>
              </m:r>
              <m:r>
                <w:rPr>
                  <w:rFonts w:ascii="Cambria Math" w:hAnsi="Cambria Math" w:cstheme="minorHAnsi"/>
                  <w:sz w:val="22"/>
                  <w:szCs w:val="22"/>
                </w:rPr>
                <m:t>á</m:t>
              </m:r>
              <m:r>
                <w:rPr>
                  <w:rFonts w:ascii="Cambria Math" w:hAnsi="Cambria Math" w:cstheme="minorHAnsi"/>
                  <w:sz w:val="22"/>
                  <w:szCs w:val="22"/>
                </w:rPr>
                <m:t>l</m:t>
              </m:r>
              <m:r>
                <w:rPr>
                  <w:rFonts w:ascii="Cambria Math" w:hAnsi="Cambria Math" w:cstheme="minorHAnsi"/>
                  <w:sz w:val="22"/>
                  <w:szCs w:val="22"/>
                </w:rPr>
                <m:t>éh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m</m:t>
              </m:r>
              <m:r>
                <w:rPr>
                  <w:rFonts w:ascii="Cambria Math" w:hAnsi="Cambria Math" w:cstheme="minorHAnsi"/>
                  <w:sz w:val="22"/>
                  <w:szCs w:val="22"/>
                </w:rPr>
                <m:t>ě</m:t>
              </m:r>
              <m:r>
                <w:rPr>
                  <w:rFonts w:ascii="Cambria Math" w:hAnsi="Cambria Math" w:cstheme="minorHAnsi"/>
                  <w:sz w:val="22"/>
                  <w:szCs w:val="22"/>
                </w:rPr>
                <m:t>s</m:t>
              </m:r>
              <m:r>
                <w:rPr>
                  <w:rFonts w:ascii="Cambria Math" w:hAnsi="Cambria Math" w:cstheme="minorHAnsi"/>
                  <w:sz w:val="22"/>
                  <w:szCs w:val="22"/>
                </w:rPr>
                <m:t>íč</m:t>
              </m:r>
              <m:r>
                <w:rPr>
                  <w:rFonts w:ascii="Cambria Math" w:hAnsi="Cambria Math" w:cstheme="minorHAnsi"/>
                  <w:sz w:val="22"/>
                  <w:szCs w:val="22"/>
                </w:rPr>
                <m:t>n</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platu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DPH</m:t>
              </m:r>
            </m:num>
            <m:den>
              <m:r>
                <w:rPr>
                  <w:rFonts w:ascii="Cambria Math" w:hAnsi="Cambria Math" w:cstheme="minorHAnsi"/>
                  <w:sz w:val="22"/>
                  <w:szCs w:val="22"/>
                </w:rPr>
                <m:t>h</m:t>
              </m:r>
              <m:r>
                <w:rPr>
                  <w:rFonts w:ascii="Cambria Math" w:hAnsi="Cambria Math" w:cstheme="minorHAnsi"/>
                  <w:sz w:val="22"/>
                  <w:szCs w:val="22"/>
                </w:rPr>
                <m:t>odnocen</m:t>
              </m:r>
              <m:r>
                <w:rPr>
                  <w:rFonts w:ascii="Cambria Math" w:hAnsi="Cambria Math" w:cstheme="minorHAnsi"/>
                  <w:sz w:val="22"/>
                  <w:szCs w:val="22"/>
                </w:rPr>
                <m:t xml:space="preserve">á </m:t>
              </m:r>
              <m:r>
                <w:rPr>
                  <w:rFonts w:ascii="Cambria Math" w:hAnsi="Cambria Math" w:cstheme="minorHAnsi"/>
                  <w:sz w:val="22"/>
                  <w:szCs w:val="22"/>
                </w:rPr>
                <m:t>celkov</m:t>
              </m:r>
              <m:r>
                <w:rPr>
                  <w:rFonts w:ascii="Cambria Math" w:hAnsi="Cambria Math" w:cstheme="minorHAnsi"/>
                  <w:sz w:val="22"/>
                  <w:szCs w:val="22"/>
                </w:rPr>
                <m:t xml:space="preserve">á </m:t>
              </m:r>
              <m:r>
                <w:rPr>
                  <w:rFonts w:ascii="Cambria Math" w:hAnsi="Cambria Math" w:cstheme="minorHAnsi"/>
                  <w:sz w:val="22"/>
                  <w:szCs w:val="22"/>
                </w:rPr>
                <m:t>v</m:t>
              </m:r>
              <m:r>
                <w:rPr>
                  <w:rFonts w:ascii="Cambria Math" w:hAnsi="Cambria Math" w:cstheme="minorHAnsi"/>
                  <w:sz w:val="22"/>
                  <w:szCs w:val="22"/>
                </w:rPr>
                <m:t>ýš</m:t>
              </m:r>
              <m:r>
                <w:rPr>
                  <w:rFonts w:ascii="Cambria Math" w:hAnsi="Cambria Math" w:cstheme="minorHAnsi"/>
                  <w:sz w:val="22"/>
                  <w:szCs w:val="22"/>
                </w:rPr>
                <m:t>e</m:t>
              </m:r>
              <m:r>
                <w:rPr>
                  <w:rFonts w:ascii="Cambria Math" w:hAnsi="Cambria Math" w:cstheme="minorHAnsi"/>
                  <w:sz w:val="22"/>
                  <w:szCs w:val="22"/>
                </w:rPr>
                <m:t xml:space="preserve"> </m:t>
              </m:r>
              <m:r>
                <w:rPr>
                  <w:rFonts w:ascii="Cambria Math" w:hAnsi="Cambria Math" w:cstheme="minorHAnsi"/>
                  <w:sz w:val="22"/>
                  <w:szCs w:val="22"/>
                </w:rPr>
                <m:t>st</m:t>
              </m:r>
              <m:r>
                <w:rPr>
                  <w:rFonts w:ascii="Cambria Math" w:hAnsi="Cambria Math" w:cstheme="minorHAnsi"/>
                  <w:sz w:val="22"/>
                  <w:szCs w:val="22"/>
                </w:rPr>
                <m:t>á</m:t>
              </m:r>
              <m:r>
                <w:rPr>
                  <w:rFonts w:ascii="Cambria Math" w:hAnsi="Cambria Math" w:cstheme="minorHAnsi"/>
                  <w:sz w:val="22"/>
                  <w:szCs w:val="22"/>
                </w:rPr>
                <m:t>l</m:t>
              </m:r>
              <m:r>
                <w:rPr>
                  <w:rFonts w:ascii="Cambria Math" w:hAnsi="Cambria Math" w:cstheme="minorHAnsi"/>
                  <w:sz w:val="22"/>
                  <w:szCs w:val="22"/>
                </w:rPr>
                <m:t>éh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m</m:t>
              </m:r>
              <m:r>
                <w:rPr>
                  <w:rFonts w:ascii="Cambria Math" w:hAnsi="Cambria Math" w:cstheme="minorHAnsi"/>
                  <w:sz w:val="22"/>
                  <w:szCs w:val="22"/>
                </w:rPr>
                <m:t>ě</m:t>
              </m:r>
              <m:r>
                <w:rPr>
                  <w:rFonts w:ascii="Cambria Math" w:hAnsi="Cambria Math" w:cstheme="minorHAnsi"/>
                  <w:sz w:val="22"/>
                  <w:szCs w:val="22"/>
                </w:rPr>
                <m:t>s</m:t>
              </m:r>
              <m:r>
                <w:rPr>
                  <w:rFonts w:ascii="Cambria Math" w:hAnsi="Cambria Math" w:cstheme="minorHAnsi"/>
                  <w:sz w:val="22"/>
                  <w:szCs w:val="22"/>
                </w:rPr>
                <m:t>íč</m:t>
              </m:r>
              <m:r>
                <w:rPr>
                  <w:rFonts w:ascii="Cambria Math" w:hAnsi="Cambria Math" w:cstheme="minorHAnsi"/>
                  <w:sz w:val="22"/>
                  <w:szCs w:val="22"/>
                </w:rPr>
                <m:t>n</m:t>
              </m:r>
              <m:r>
                <w:rPr>
                  <w:rFonts w:ascii="Cambria Math" w:hAnsi="Cambria Math" w:cstheme="minorHAnsi"/>
                  <w:sz w:val="22"/>
                  <w:szCs w:val="22"/>
                </w:rPr>
                <m:t>íh</m:t>
              </m:r>
              <m:r>
                <w:rPr>
                  <w:rFonts w:ascii="Cambria Math" w:hAnsi="Cambria Math" w:cstheme="minorHAnsi"/>
                  <w:sz w:val="22"/>
                  <w:szCs w:val="22"/>
                </w:rPr>
                <m:t>o</m:t>
              </m:r>
              <m:r>
                <w:rPr>
                  <w:rFonts w:ascii="Cambria Math" w:hAnsi="Cambria Math" w:cstheme="minorHAnsi"/>
                  <w:sz w:val="22"/>
                  <w:szCs w:val="22"/>
                </w:rPr>
                <m:t xml:space="preserve"> </m:t>
              </m:r>
              <m:r>
                <w:rPr>
                  <w:rFonts w:ascii="Cambria Math" w:hAnsi="Cambria Math" w:cstheme="minorHAnsi"/>
                  <w:sz w:val="22"/>
                  <w:szCs w:val="22"/>
                </w:rPr>
                <m:t>platu</m:t>
              </m:r>
              <m:r>
                <w:rPr>
                  <w:rFonts w:ascii="Cambria Math" w:hAnsi="Cambria Math" w:cstheme="minorHAnsi"/>
                  <w:sz w:val="22"/>
                  <w:szCs w:val="22"/>
                </w:rPr>
                <m:t xml:space="preserve"> </m:t>
              </m:r>
              <m:r>
                <w:rPr>
                  <w:rFonts w:ascii="Cambria Math" w:hAnsi="Cambria Math" w:cstheme="minorHAnsi"/>
                  <w:sz w:val="22"/>
                  <w:szCs w:val="22"/>
                </w:rPr>
                <m:t>v</m:t>
              </m:r>
              <m:r>
                <w:rPr>
                  <w:rFonts w:ascii="Cambria Math" w:hAnsi="Cambria Math" w:cstheme="minorHAnsi"/>
                  <w:sz w:val="22"/>
                  <w:szCs w:val="22"/>
                </w:rPr>
                <m:t xml:space="preserve"> </m:t>
              </m:r>
              <m:r>
                <w:rPr>
                  <w:rFonts w:ascii="Cambria Math" w:hAnsi="Cambria Math" w:cstheme="minorHAnsi"/>
                  <w:sz w:val="22"/>
                  <w:szCs w:val="22"/>
                </w:rPr>
                <m:t>K</m:t>
              </m:r>
              <m:r>
                <w:rPr>
                  <w:rFonts w:ascii="Cambria Math" w:hAnsi="Cambria Math" w:cstheme="minorHAnsi"/>
                  <w:sz w:val="22"/>
                  <w:szCs w:val="22"/>
                </w:rPr>
                <m:t xml:space="preserve">č </m:t>
              </m:r>
              <m:r>
                <w:rPr>
                  <w:rFonts w:ascii="Cambria Math" w:hAnsi="Cambria Math" w:cstheme="minorHAnsi"/>
                  <w:sz w:val="22"/>
                  <w:szCs w:val="22"/>
                </w:rPr>
                <m:t>bez</m:t>
              </m:r>
              <m:r>
                <w:rPr>
                  <w:rFonts w:ascii="Cambria Math" w:hAnsi="Cambria Math" w:cstheme="minorHAnsi"/>
                  <w:sz w:val="22"/>
                  <w:szCs w:val="22"/>
                </w:rPr>
                <m:t xml:space="preserve"> </m:t>
              </m:r>
              <m:r>
                <w:rPr>
                  <w:rFonts w:ascii="Cambria Math" w:hAnsi="Cambria Math" w:cstheme="minorHAnsi"/>
                  <w:sz w:val="22"/>
                  <w:szCs w:val="22"/>
                </w:rPr>
                <m:t>D</m:t>
              </m:r>
              <m:r>
                <w:rPr>
                  <w:rFonts w:ascii="Cambria Math" w:hAnsi="Cambria Math" w:cstheme="minorHAnsi"/>
                  <w:sz w:val="22"/>
                  <w:szCs w:val="22"/>
                </w:rPr>
                <m:t>PH</m:t>
              </m:r>
            </m:den>
          </m:f>
          <m:r>
            <w:rPr>
              <w:rFonts w:ascii="Cambria Math" w:hAnsi="Cambria Math" w:cstheme="minorHAnsi"/>
              <w:sz w:val="22"/>
              <w:szCs w:val="22"/>
            </w:rPr>
            <m:t xml:space="preserve"> ×100</m:t>
          </m:r>
        </m:oMath>
      </m:oMathPara>
    </w:p>
    <w:p w14:paraId="4BF73A1E" w14:textId="667D76CD" w:rsidR="00E77347" w:rsidRDefault="00E77347" w:rsidP="00E31515">
      <w:pPr>
        <w:spacing w:before="120"/>
        <w:rPr>
          <w:rFonts w:cstheme="minorHAnsi"/>
        </w:rPr>
      </w:pPr>
      <w:r>
        <w:rPr>
          <w:rFonts w:cstheme="minorHAnsi"/>
        </w:rPr>
        <w:t>Zadavatel vysloveně uvádí, že pokud nabídne dodavatel stálý měsíční plat ve výši 0,- Kč bez DPH, nebude se jednat o mimořádně nízkou nabídkovou cenu. Pro účely hodnocení nabídek Zadavatel v takovém případě do vzorce výše u daného dodavatele použije hodnotu 0,01 Kč bez DPH, aby bylo hodnocení nabídek matematicky proveditelné.</w:t>
      </w:r>
    </w:p>
    <w:p w14:paraId="25ECE1CB" w14:textId="5F0E8AFF" w:rsidR="00094DEB" w:rsidRDefault="00E31515" w:rsidP="00E31515">
      <w:pPr>
        <w:spacing w:before="120"/>
        <w:rPr>
          <w:rFonts w:cstheme="minorHAnsi"/>
        </w:rPr>
      </w:pPr>
      <w:r w:rsidRPr="00551EE8">
        <w:rPr>
          <w:rFonts w:cstheme="minorHAnsi"/>
        </w:rPr>
        <w:t xml:space="preserve">Bodové hodnoty jednotlivých nabídek budou následně vynásobeny </w:t>
      </w:r>
      <w:r w:rsidRPr="00AC02DF">
        <w:rPr>
          <w:rFonts w:cstheme="minorHAnsi"/>
        </w:rPr>
        <w:t>hodnotou 0,</w:t>
      </w:r>
      <w:r w:rsidR="00611254" w:rsidRPr="00AC02DF">
        <w:rPr>
          <w:rFonts w:cstheme="minorHAnsi"/>
        </w:rPr>
        <w:t>0</w:t>
      </w:r>
      <w:r w:rsidRPr="00AC02DF">
        <w:rPr>
          <w:rFonts w:cstheme="minorHAnsi"/>
        </w:rPr>
        <w:t>5, tj. váhou</w:t>
      </w:r>
      <w:r w:rsidRPr="00551EE8">
        <w:rPr>
          <w:rFonts w:cstheme="minorHAnsi"/>
        </w:rPr>
        <w:t xml:space="preserve"> tohoto dílčího hodnotícího kritéria.</w:t>
      </w:r>
    </w:p>
    <w:p w14:paraId="307098E2" w14:textId="558FE9B5" w:rsidR="00A87B16" w:rsidRDefault="00A87B16" w:rsidP="00E31515">
      <w:pPr>
        <w:spacing w:before="120"/>
        <w:rPr>
          <w:rFonts w:cstheme="minorHAnsi"/>
          <w:u w:val="single"/>
        </w:rPr>
      </w:pPr>
      <w:r>
        <w:rPr>
          <w:rFonts w:cstheme="minorHAnsi"/>
          <w:u w:val="single"/>
        </w:rPr>
        <w:t>Celkové hodnocení nabídek</w:t>
      </w:r>
    </w:p>
    <w:p w14:paraId="2A8122B5" w14:textId="07A549AC" w:rsidR="008D288C" w:rsidRPr="008D288C" w:rsidRDefault="008D288C" w:rsidP="008D288C">
      <w:pPr>
        <w:spacing w:before="120"/>
        <w:rPr>
          <w:rFonts w:cstheme="minorHAnsi"/>
        </w:rPr>
      </w:pPr>
      <w:r w:rsidRPr="008D288C">
        <w:rPr>
          <w:rFonts w:cstheme="minorHAnsi"/>
        </w:rPr>
        <w:t>Celkové hodnocení nabídek bude provedeno tak, že číselné hodnocení nabídek dle jednotlivých kritérií se sečte pro každou nabídku, tj. sečte se počet vážených bodů za kritérium „</w:t>
      </w:r>
      <w:r w:rsidRPr="008D288C">
        <w:t>Výše přičítacího koeficientu za dodávku 1 MWh v Kč bez DPH</w:t>
      </w:r>
      <w:r w:rsidRPr="008D288C">
        <w:rPr>
          <w:rFonts w:cstheme="minorHAnsi"/>
        </w:rPr>
        <w:t>“ a počet vážených bodů za kritérium „</w:t>
      </w:r>
      <w:r w:rsidRPr="008D288C">
        <w:t>Celková výše stálého měsíčního platu v Kč bez DPH</w:t>
      </w:r>
      <w:r w:rsidRPr="008D288C">
        <w:rPr>
          <w:rFonts w:cstheme="minorHAnsi"/>
        </w:rPr>
        <w:t>“, a stanoví se pořadí úspěšnosti účastníků. Ekonomicky nejvýhodnější bude vyhodnocena nabídka, která dosáhla nejvyšší bodové hodnoty. Pro vyloučení pochybností se uvádí, že jednotlivé hodnoty budou při výpočtech hodnocení zaokrouhlovány vždy na 2 desetinná místa.</w:t>
      </w:r>
    </w:p>
    <w:p w14:paraId="2B20A4B6" w14:textId="60DE66AD" w:rsidR="00A87B16" w:rsidRPr="00A87B16" w:rsidRDefault="008D288C" w:rsidP="008D288C">
      <w:pPr>
        <w:spacing w:before="120"/>
        <w:rPr>
          <w:rFonts w:cstheme="minorHAnsi"/>
        </w:rPr>
      </w:pPr>
      <w:r w:rsidRPr="008D288C">
        <w:rPr>
          <w:rFonts w:cstheme="minorHAnsi"/>
        </w:rPr>
        <w:t>Pokud dvě nebo více nabídek dosáhnou stejného počtu bodů, jako ekonomicky výhodnější bude vybrána ta nabídka, která dosáhla lepší ohodnocení (tj. vyšší počet bodů) v rámci kritéria „</w:t>
      </w:r>
      <w:r w:rsidR="00426FFE" w:rsidRPr="008D288C">
        <w:t>Výše přičítacího koeficientu za dodávku 1 MWh v Kč bez DPH</w:t>
      </w:r>
      <w:r w:rsidRPr="008D288C">
        <w:rPr>
          <w:rFonts w:cstheme="minorHAnsi"/>
        </w:rPr>
        <w:t>“.</w:t>
      </w:r>
    </w:p>
    <w:p w14:paraId="1A91D437" w14:textId="72148415" w:rsidR="00A632EA" w:rsidRDefault="00A632EA" w:rsidP="003C73AF">
      <w:pPr>
        <w:keepNext/>
        <w:spacing w:before="120"/>
        <w:rPr>
          <w:rFonts w:ascii="Calibri" w:hAnsi="Calibri" w:cs="Calibri"/>
          <w:color w:val="000000"/>
        </w:rPr>
      </w:pPr>
      <w:r w:rsidRPr="00567F35">
        <w:rPr>
          <w:b/>
          <w:bCs/>
        </w:rPr>
        <w:lastRenderedPageBreak/>
        <w:t xml:space="preserve">Část </w:t>
      </w:r>
      <w:r>
        <w:rPr>
          <w:b/>
          <w:bCs/>
        </w:rPr>
        <w:t>2</w:t>
      </w:r>
      <w:r w:rsidRPr="00567F35">
        <w:rPr>
          <w:b/>
          <w:bCs/>
        </w:rPr>
        <w:t xml:space="preserve"> – </w:t>
      </w:r>
      <w:r>
        <w:rPr>
          <w:b/>
          <w:bCs/>
        </w:rPr>
        <w:t>vysoké</w:t>
      </w:r>
      <w:r w:rsidRPr="00567F35">
        <w:rPr>
          <w:b/>
          <w:bCs/>
        </w:rPr>
        <w:t xml:space="preserve"> napětí – </w:t>
      </w:r>
      <w:r>
        <w:rPr>
          <w:b/>
          <w:bCs/>
        </w:rPr>
        <w:t>V</w:t>
      </w:r>
      <w:r w:rsidRPr="00567F35">
        <w:rPr>
          <w:b/>
          <w:bCs/>
        </w:rPr>
        <w:t>N</w:t>
      </w:r>
    </w:p>
    <w:p w14:paraId="048B608B" w14:textId="799D63A3" w:rsidR="0098726A" w:rsidRDefault="0098726A" w:rsidP="0098726A">
      <w:pPr>
        <w:spacing w:before="120"/>
        <w:rPr>
          <w:rFonts w:ascii="Calibri" w:hAnsi="Calibri" w:cs="Calibri"/>
          <w:color w:val="000000"/>
        </w:rPr>
      </w:pPr>
      <w:r w:rsidRPr="005A2BBD">
        <w:rPr>
          <w:rFonts w:ascii="Calibri" w:hAnsi="Calibri" w:cs="Calibri"/>
          <w:color w:val="000000"/>
        </w:rPr>
        <w:t>Předmětem hodnocení bude</w:t>
      </w:r>
      <w:r>
        <w:rPr>
          <w:rFonts w:ascii="Calibri" w:hAnsi="Calibri" w:cs="Calibri"/>
          <w:color w:val="000000"/>
        </w:rPr>
        <w:t xml:space="preserve"> </w:t>
      </w:r>
      <w:r w:rsidRPr="005A2BBD">
        <w:rPr>
          <w:rFonts w:ascii="Calibri" w:hAnsi="Calibri" w:cs="Calibri"/>
          <w:b/>
          <w:bCs/>
          <w:color w:val="000000"/>
        </w:rPr>
        <w:t xml:space="preserve">nabídková cena přičítacího koeficientu v </w:t>
      </w:r>
      <w:r>
        <w:rPr>
          <w:rFonts w:ascii="Calibri" w:hAnsi="Calibri" w:cs="Calibri"/>
          <w:b/>
          <w:bCs/>
          <w:color w:val="000000"/>
        </w:rPr>
        <w:t>Kč</w:t>
      </w:r>
      <w:r w:rsidRPr="005A2BBD">
        <w:rPr>
          <w:rFonts w:ascii="Calibri" w:hAnsi="Calibri" w:cs="Calibri"/>
          <w:b/>
          <w:bCs/>
          <w:color w:val="000000"/>
        </w:rPr>
        <w:t xml:space="preserve"> bez DPH za 1</w:t>
      </w:r>
      <w:r>
        <w:rPr>
          <w:rFonts w:ascii="Calibri" w:hAnsi="Calibri" w:cs="Calibri"/>
          <w:b/>
          <w:bCs/>
          <w:color w:val="000000"/>
        </w:rPr>
        <w:t> </w:t>
      </w:r>
      <w:r w:rsidRPr="005A2BBD">
        <w:rPr>
          <w:rFonts w:ascii="Calibri" w:hAnsi="Calibri" w:cs="Calibri"/>
          <w:b/>
          <w:bCs/>
          <w:color w:val="000000"/>
        </w:rPr>
        <w:t xml:space="preserve">MWh </w:t>
      </w:r>
      <w:r w:rsidRPr="005A2BBD">
        <w:rPr>
          <w:rFonts w:ascii="Calibri" w:hAnsi="Calibri" w:cs="Calibri"/>
          <w:color w:val="000000"/>
        </w:rPr>
        <w:t>stanovená dodavatelem v</w:t>
      </w:r>
      <w:r>
        <w:rPr>
          <w:rFonts w:ascii="Calibri" w:hAnsi="Calibri" w:cs="Calibri"/>
          <w:color w:val="000000"/>
        </w:rPr>
        <w:t> krycím listu nabídky, který tvoří přílohu č. 1 Výzvy, v souladu s touto Výzvou</w:t>
      </w:r>
      <w:r w:rsidRPr="005A2BBD">
        <w:rPr>
          <w:rFonts w:ascii="Calibri" w:hAnsi="Calibri" w:cs="Calibri"/>
          <w:color w:val="000000"/>
        </w:rPr>
        <w:t xml:space="preserve">. </w:t>
      </w:r>
    </w:p>
    <w:p w14:paraId="7B5943CC" w14:textId="50BD0A26" w:rsidR="002F5426" w:rsidRPr="00E5642D" w:rsidRDefault="002F5426" w:rsidP="002F5426">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nabídkovou cenou </w:t>
      </w:r>
      <w:r w:rsidR="00C97E80">
        <w:rPr>
          <w:rFonts w:ascii="Calibri" w:hAnsi="Calibri" w:cs="Calibri"/>
          <w:sz w:val="22"/>
          <w:szCs w:val="22"/>
          <w:lang w:val="cs-CZ" w:eastAsia="cs-CZ"/>
        </w:rPr>
        <w:t>přičítacího koeficientu v Kč bez DPH za 1</w:t>
      </w:r>
      <w:r w:rsidR="00475E33">
        <w:rPr>
          <w:rFonts w:ascii="Calibri" w:hAnsi="Calibri" w:cs="Calibri"/>
          <w:sz w:val="22"/>
          <w:szCs w:val="22"/>
          <w:lang w:val="cs-CZ" w:eastAsia="cs-CZ"/>
        </w:rPr>
        <w:t> </w:t>
      </w:r>
      <w:r w:rsidR="00C97E80">
        <w:rPr>
          <w:rFonts w:ascii="Calibri" w:hAnsi="Calibri" w:cs="Calibri"/>
          <w:sz w:val="22"/>
          <w:szCs w:val="22"/>
          <w:lang w:val="cs-CZ" w:eastAsia="cs-CZ"/>
        </w:rPr>
        <w:t>MWh (</w:t>
      </w:r>
      <w:r w:rsidRPr="00E5642D">
        <w:rPr>
          <w:rFonts w:ascii="Calibri" w:hAnsi="Calibri" w:cs="Calibri"/>
          <w:sz w:val="22"/>
          <w:szCs w:val="22"/>
          <w:lang w:val="cs-CZ" w:eastAsia="cs-CZ"/>
        </w:rPr>
        <w:t>dle čl. 6 Výzvy</w:t>
      </w:r>
      <w:r w:rsidR="00C37D52">
        <w:rPr>
          <w:rFonts w:ascii="Calibri" w:hAnsi="Calibri" w:cs="Calibri"/>
          <w:sz w:val="22"/>
          <w:szCs w:val="22"/>
          <w:lang w:val="cs-CZ" w:eastAsia="cs-CZ"/>
        </w:rPr>
        <w:t xml:space="preserve">) </w:t>
      </w:r>
      <w:r w:rsidRPr="00E5642D">
        <w:rPr>
          <w:rFonts w:ascii="Calibri" w:hAnsi="Calibri" w:cs="Calibri"/>
          <w:sz w:val="22"/>
          <w:szCs w:val="22"/>
          <w:lang w:val="cs-CZ" w:eastAsia="cs-CZ"/>
        </w:rPr>
        <w:t xml:space="preserve">po nabídku s nejvyšší celkovou nabídkovou cenou. </w:t>
      </w:r>
    </w:p>
    <w:p w14:paraId="20B4FFCA" w14:textId="19B14A02" w:rsidR="00C37D52" w:rsidRPr="001E567F" w:rsidRDefault="00C37D52" w:rsidP="00C37D52">
      <w:pPr>
        <w:pStyle w:val="bno"/>
        <w:spacing w:before="120" w:after="0" w:line="276" w:lineRule="auto"/>
        <w:ind w:left="0"/>
        <w:rPr>
          <w:rFonts w:asciiTheme="minorHAnsi" w:hAnsiTheme="minorHAnsi"/>
          <w:sz w:val="22"/>
          <w:szCs w:val="22"/>
          <w:lang w:val="cs-CZ" w:eastAsia="cs-CZ"/>
        </w:rPr>
      </w:pPr>
      <w:r w:rsidRPr="00E5642D">
        <w:rPr>
          <w:rFonts w:ascii="Calibri" w:hAnsi="Calibri" w:cs="Calibri"/>
          <w:sz w:val="22"/>
          <w:szCs w:val="22"/>
          <w:lang w:val="cs-CZ" w:eastAsia="cs-CZ"/>
        </w:rPr>
        <w:t xml:space="preserve">Smlouva </w:t>
      </w:r>
      <w:r w:rsidR="001F5DD0">
        <w:rPr>
          <w:rFonts w:ascii="Calibri" w:hAnsi="Calibri" w:cs="Calibri"/>
          <w:sz w:val="22"/>
          <w:szCs w:val="22"/>
          <w:lang w:val="cs-CZ" w:eastAsia="cs-CZ"/>
        </w:rPr>
        <w:t xml:space="preserve">v rámci dané části zakázky </w:t>
      </w:r>
      <w:r w:rsidRPr="00E5642D">
        <w:rPr>
          <w:rFonts w:ascii="Calibri" w:hAnsi="Calibri" w:cs="Calibri"/>
          <w:sz w:val="22"/>
          <w:szCs w:val="22"/>
          <w:lang w:val="cs-CZ" w:eastAsia="cs-CZ"/>
        </w:rPr>
        <w:t>bude uzavřena s dodavatelem, jehož nabídka se umístí na prvním místě (s nejnižší nabídkovou cenou</w:t>
      </w:r>
      <w:r>
        <w:rPr>
          <w:rFonts w:ascii="Calibri" w:hAnsi="Calibri" w:cs="Calibri"/>
          <w:sz w:val="22"/>
          <w:szCs w:val="22"/>
          <w:lang w:val="cs-CZ" w:eastAsia="cs-CZ"/>
        </w:rPr>
        <w:t xml:space="preserve"> za přičítací koeficient</w:t>
      </w:r>
      <w:r w:rsidRPr="00E5642D">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993805">
      <w:pPr>
        <w:pStyle w:val="Nadpis1"/>
      </w:pPr>
      <w:r w:rsidRPr="00FF066F">
        <w:t>DALŠÍ POŽADAVKY NA OBSAH NABÍDKY</w:t>
      </w:r>
    </w:p>
    <w:p w14:paraId="3F9132BC" w14:textId="77777777" w:rsidR="00FF066F" w:rsidRPr="00F21D16" w:rsidRDefault="00FF066F" w:rsidP="003843B5">
      <w:pPr>
        <w:pStyle w:val="Nadpis2"/>
      </w:pPr>
      <w:r>
        <w:t xml:space="preserve">Seznam poddodavatelského plnění </w:t>
      </w:r>
    </w:p>
    <w:p w14:paraId="393EC5CF" w14:textId="77777777" w:rsidR="009D4577" w:rsidRPr="00E5642D" w:rsidRDefault="009D4577" w:rsidP="009D4577">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výběrového řízení v nabídce specifikoval, jaká část </w:t>
      </w:r>
      <w:r>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Pr>
          <w:rFonts w:ascii="Calibri" w:hAnsi="Calibri" w:cs="Calibri"/>
          <w:sz w:val="22"/>
          <w:szCs w:val="22"/>
        </w:rPr>
        <w:t>z</w:t>
      </w:r>
      <w:r w:rsidRPr="00E5642D">
        <w:rPr>
          <w:rFonts w:ascii="Calibri" w:hAnsi="Calibri" w:cs="Calibri"/>
          <w:sz w:val="22"/>
          <w:szCs w:val="22"/>
        </w:rPr>
        <w:t xml:space="preserve">akázky a stručným popisem části </w:t>
      </w:r>
      <w:r>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výběrového řízení v nabídce uvedl identifikační údaje každého poddodavatele, pokud jsou účastníkovi známi (včetně uvedení, jakou část </w:t>
      </w:r>
      <w:r>
        <w:rPr>
          <w:rFonts w:ascii="Calibri" w:hAnsi="Calibri" w:cs="Calibri"/>
          <w:sz w:val="22"/>
          <w:szCs w:val="22"/>
        </w:rPr>
        <w:t>z</w:t>
      </w:r>
      <w:r w:rsidRPr="00E5642D">
        <w:rPr>
          <w:rFonts w:ascii="Calibri" w:hAnsi="Calibri" w:cs="Calibri"/>
          <w:sz w:val="22"/>
          <w:szCs w:val="22"/>
        </w:rPr>
        <w:t xml:space="preserve">akázky bude každý z poddodavatelů plnit). </w:t>
      </w:r>
    </w:p>
    <w:p w14:paraId="38375896" w14:textId="77777777" w:rsidR="009D4577" w:rsidRPr="00E5642D" w:rsidRDefault="009D4577" w:rsidP="009D4577">
      <w:pPr>
        <w:spacing w:before="120"/>
        <w:ind w:hanging="11"/>
        <w:rPr>
          <w:rFonts w:ascii="Calibri" w:hAnsi="Calibri" w:cs="Calibri"/>
        </w:rPr>
      </w:pPr>
      <w:r w:rsidRPr="00E5642D">
        <w:rPr>
          <w:rFonts w:ascii="Calibri" w:hAnsi="Calibri" w:cs="Calibri"/>
        </w:rPr>
        <w:t xml:space="preserve">Zadavatel zejména upozorňuje, že bude-li účastník prokazovat část kvalifikace prostřednictvím jiných osob, musí být tato osoba či osoby v předloženém seznamu poddodavatelů uvedeny (s uvedením rozsahu poskytovaných služeb).   </w:t>
      </w:r>
    </w:p>
    <w:p w14:paraId="3E4E49C9" w14:textId="77777777" w:rsidR="009D4577" w:rsidRPr="00E5642D" w:rsidRDefault="009D4577" w:rsidP="009D4577">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Pr>
          <w:rFonts w:ascii="Calibri" w:hAnsi="Calibri" w:cs="Calibri"/>
          <w:b/>
          <w:bCs/>
          <w:szCs w:val="24"/>
        </w:rPr>
        <w:t xml:space="preserve">ke dni uzavření Smlouvy </w:t>
      </w:r>
      <w:r w:rsidRPr="00E5642D">
        <w:rPr>
          <w:rFonts w:ascii="Calibri" w:hAnsi="Calibri" w:cs="Calibri"/>
          <w:b/>
          <w:bCs/>
          <w:szCs w:val="24"/>
        </w:rPr>
        <w:t>neplánuje využít poddodavatele.</w:t>
      </w:r>
    </w:p>
    <w:p w14:paraId="2A59FC40" w14:textId="2EA8E96D" w:rsidR="00FF066F" w:rsidRDefault="009D4577" w:rsidP="009D4577">
      <w:pPr>
        <w:pStyle w:val="odsazfurt"/>
        <w:spacing w:before="120"/>
        <w:ind w:left="0"/>
        <w:rPr>
          <w:rFonts w:asciiTheme="minorHAnsi" w:hAnsiTheme="minorHAnsi" w:cs="Tahoma"/>
          <w:sz w:val="22"/>
          <w:szCs w:val="24"/>
        </w:rPr>
      </w:pPr>
      <w:r w:rsidRPr="00E10636">
        <w:rPr>
          <w:rFonts w:ascii="Calibri" w:hAnsi="Calibri" w:cs="Calibri"/>
          <w:sz w:val="22"/>
          <w:szCs w:val="24"/>
        </w:rPr>
        <w:t xml:space="preserve">Doporučený vzor seznamu poddodavatelského plnění tvoří přílohu č. </w:t>
      </w:r>
      <w:r w:rsidR="0031294B">
        <w:rPr>
          <w:rFonts w:ascii="Calibri" w:hAnsi="Calibri" w:cs="Calibri"/>
          <w:sz w:val="22"/>
          <w:szCs w:val="24"/>
        </w:rPr>
        <w:t>5</w:t>
      </w:r>
      <w:r w:rsidRPr="00E10636">
        <w:rPr>
          <w:rFonts w:ascii="Calibri" w:hAnsi="Calibri" w:cs="Calibri"/>
          <w:sz w:val="22"/>
          <w:szCs w:val="24"/>
        </w:rPr>
        <w:t xml:space="preserve"> této</w:t>
      </w:r>
      <w:r w:rsidRPr="00E5642D">
        <w:rPr>
          <w:rFonts w:ascii="Calibri" w:hAnsi="Calibri" w:cs="Calibri"/>
          <w:sz w:val="22"/>
          <w:szCs w:val="24"/>
        </w:rPr>
        <w:t xml:space="preserve"> Výzvy.</w:t>
      </w:r>
      <w:r w:rsidR="00FF066F" w:rsidRPr="00ED4CA5">
        <w:rPr>
          <w:rFonts w:asciiTheme="minorHAnsi" w:hAnsiTheme="minorHAnsi" w:cs="Tahoma"/>
          <w:sz w:val="22"/>
          <w:szCs w:val="24"/>
        </w:rPr>
        <w:t xml:space="preserve"> </w:t>
      </w:r>
    </w:p>
    <w:p w14:paraId="592EE962" w14:textId="77777777" w:rsidR="00FF066F" w:rsidRPr="00ED4CA5" w:rsidRDefault="00FF066F" w:rsidP="008A3A0A">
      <w:pPr>
        <w:pStyle w:val="Nadpis1"/>
      </w:pPr>
      <w:r w:rsidRPr="00ED4CA5">
        <w:t>FORMÁLNÍ POŽADAVKY NA ZPRACOVÁNÍ NABÍDKY</w:t>
      </w:r>
    </w:p>
    <w:p w14:paraId="77BC2F09" w14:textId="77777777" w:rsidR="00FF066F" w:rsidRPr="00F21D16" w:rsidRDefault="00FF066F" w:rsidP="001F20D1">
      <w:pPr>
        <w:pStyle w:val="Nadpis2"/>
      </w:pPr>
      <w:r>
        <w:t xml:space="preserve">Formální požadavky na zpracování nabídky </w:t>
      </w:r>
    </w:p>
    <w:p w14:paraId="6DCAE35F" w14:textId="120B5B81" w:rsidR="00BD3D47" w:rsidRPr="00E5642D" w:rsidRDefault="00BD3D47" w:rsidP="00BD3D47">
      <w:pPr>
        <w:rPr>
          <w:rFonts w:ascii="Calibri" w:eastAsia="Times New Roman" w:hAnsi="Calibri" w:cs="Calibri"/>
          <w:bCs/>
          <w:lang w:eastAsia="cs-CZ"/>
        </w:rPr>
      </w:pPr>
      <w:bookmarkStart w:id="8" w:name="_Hlk51233203"/>
      <w:r w:rsidRPr="00E5642D">
        <w:rPr>
          <w:rFonts w:ascii="Calibri" w:eastAsia="Times New Roman" w:hAnsi="Calibri" w:cs="Calibri"/>
          <w:bCs/>
          <w:lang w:eastAsia="cs-CZ"/>
        </w:rPr>
        <w:t xml:space="preserve">Nabídka bude zpracována v českém jazyce. </w:t>
      </w:r>
      <w:bookmarkStart w:id="9" w:name="_Hlk51233192"/>
      <w:bookmarkEnd w:id="8"/>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9"/>
      <w:r w:rsidR="00E50EFA">
        <w:rPr>
          <w:rFonts w:ascii="Calibri" w:eastAsia="Times New Roman" w:hAnsi="Calibri" w:cs="Calibri"/>
          <w:bCs/>
          <w:lang w:eastAsia="cs-CZ"/>
        </w:rPr>
        <w:t xml:space="preserve"> Z</w:t>
      </w:r>
      <w:r w:rsidR="00E50EFA" w:rsidRPr="00E50EFA">
        <w:rPr>
          <w:rFonts w:ascii="Calibri" w:eastAsia="Times New Roman" w:hAnsi="Calibri" w:cs="Calibri"/>
          <w:bCs/>
          <w:lang w:eastAsia="cs-CZ"/>
        </w:rPr>
        <w:t>adavatel může povinnost předložit překlad prominout</w:t>
      </w:r>
      <w:r w:rsidR="00E50EFA">
        <w:rPr>
          <w:rFonts w:ascii="Calibri" w:eastAsia="Times New Roman" w:hAnsi="Calibri" w:cs="Calibri"/>
          <w:bCs/>
          <w:lang w:eastAsia="cs-CZ"/>
        </w:rPr>
        <w:t>.</w:t>
      </w:r>
    </w:p>
    <w:p w14:paraId="1B81B358"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59C9E5F3"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318770D9" w14:textId="77777777" w:rsidR="00BD3D47" w:rsidRPr="00E5642D" w:rsidRDefault="00BD3D47" w:rsidP="00BD3D47">
      <w:pPr>
        <w:rPr>
          <w:rFonts w:ascii="Calibri" w:eastAsia="Times New Roman" w:hAnsi="Calibri" w:cs="Calibri"/>
          <w:bCs/>
          <w:lang w:eastAsia="cs-CZ"/>
        </w:rPr>
      </w:pPr>
      <w:r w:rsidRPr="00E5642D">
        <w:rPr>
          <w:rFonts w:ascii="Calibri" w:eastAsia="Times New Roman" w:hAnsi="Calibri" w:cs="Calibri"/>
          <w:bCs/>
          <w:lang w:eastAsia="cs-CZ"/>
        </w:rPr>
        <w:lastRenderedPageBreak/>
        <w:t>Veškeré doklady či prohlášení, u nichž je vyžadován podpis dodavatele, musí být podepsány statutárním orgánem dodavatele nebo osobou oprávněnou jednat za dodavatele. Pokud za dodavatele jedná zmocněnec na</w:t>
      </w:r>
      <w:r>
        <w:rPr>
          <w:rFonts w:ascii="Calibri" w:eastAsia="Times New Roman" w:hAnsi="Calibri" w:cs="Calibri"/>
          <w:bCs/>
          <w:lang w:eastAsia="cs-CZ"/>
        </w:rPr>
        <w:t> </w:t>
      </w:r>
      <w:r w:rsidRPr="00E5642D">
        <w:rPr>
          <w:rFonts w:ascii="Calibri" w:eastAsia="Times New Roman" w:hAnsi="Calibri" w:cs="Calibri"/>
          <w:bCs/>
          <w:lang w:eastAsia="cs-CZ"/>
        </w:rPr>
        <w:t>základě plné moci, musí být v nabídce přiložena příslušná plná moc.</w:t>
      </w:r>
    </w:p>
    <w:p w14:paraId="7446A746" w14:textId="3400F8F1" w:rsidR="001E567F" w:rsidRDefault="00BD3D47" w:rsidP="00BD3D47">
      <w:pPr>
        <w:rPr>
          <w:rFonts w:eastAsia="Times New Roman" w:cs="Arial"/>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r w:rsidR="001E567F">
        <w:rPr>
          <w:rFonts w:eastAsia="Times New Roman" w:cs="Arial"/>
          <w:bCs/>
          <w:lang w:eastAsia="cs-CZ"/>
        </w:rPr>
        <w:t xml:space="preserve"> </w:t>
      </w:r>
    </w:p>
    <w:p w14:paraId="558C1141" w14:textId="77777777" w:rsidR="00FF066F" w:rsidRPr="00062A7F" w:rsidRDefault="00FF066F" w:rsidP="00B0158C">
      <w:pPr>
        <w:pStyle w:val="Nadpis2"/>
        <w:keepNext/>
      </w:pPr>
      <w:bookmarkStart w:id="10" w:name="_Ref18578206"/>
      <w:r w:rsidRPr="00062A7F">
        <w:t>Požadavky na členění nabídky</w:t>
      </w:r>
      <w:bookmarkEnd w:id="10"/>
    </w:p>
    <w:p w14:paraId="366BC0F7" w14:textId="77777777" w:rsidR="001E7F7E" w:rsidRPr="00E5642D" w:rsidRDefault="001E7F7E" w:rsidP="001E7F7E">
      <w:pPr>
        <w:keepNext/>
        <w:shd w:val="clear" w:color="auto" w:fill="FFFFFF"/>
        <w:spacing w:before="120" w:after="0"/>
        <w:rPr>
          <w:rFonts w:ascii="Calibri" w:hAnsi="Calibri" w:cs="Calibri"/>
        </w:rPr>
      </w:pPr>
      <w:r w:rsidRPr="00E5642D">
        <w:rPr>
          <w:rFonts w:ascii="Calibri" w:hAnsi="Calibri" w:cs="Calibri"/>
        </w:rPr>
        <w:t>Dodavatel podá nabídku s tímto doporučeným členěním (tj. řazením příloh v elektronickém nástroji JOSEPHINE):</w:t>
      </w:r>
    </w:p>
    <w:p w14:paraId="5ED682F8" w14:textId="704ABD99" w:rsidR="001E7F7E" w:rsidRPr="00E10636" w:rsidRDefault="001E7F7E" w:rsidP="001E7F7E">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8D01EF">
        <w:rPr>
          <w:rFonts w:ascii="Calibri" w:hAnsi="Calibri" w:cs="Calibri"/>
        </w:rPr>
        <w:t>1</w:t>
      </w:r>
      <w:r w:rsidR="00EA15F5">
        <w:rPr>
          <w:rFonts w:ascii="Calibri" w:hAnsi="Calibri" w:cs="Calibri"/>
        </w:rPr>
        <w:t>a nebo 1b</w:t>
      </w:r>
      <w:r w:rsidRPr="00E10636">
        <w:rPr>
          <w:rFonts w:ascii="Calibri" w:hAnsi="Calibri" w:cs="Calibri"/>
        </w:rPr>
        <w:t xml:space="preserve"> Výzvy</w:t>
      </w:r>
      <w:r w:rsidR="00231886">
        <w:rPr>
          <w:rFonts w:ascii="Calibri" w:hAnsi="Calibri" w:cs="Calibri"/>
        </w:rPr>
        <w:t xml:space="preserve"> vč. uvedení nabídkové ceny</w:t>
      </w:r>
      <w:r w:rsidR="00EA15F5">
        <w:rPr>
          <w:rFonts w:ascii="Calibri" w:hAnsi="Calibri" w:cs="Calibri"/>
        </w:rPr>
        <w:t xml:space="preserve"> (podle toho, na kterou část zakázky dodavatel podává nabídku) – přikládá se </w:t>
      </w:r>
      <w:r w:rsidR="0085505D">
        <w:rPr>
          <w:rFonts w:ascii="Calibri" w:hAnsi="Calibri" w:cs="Calibri"/>
        </w:rPr>
        <w:t>pro každou část zakázky samostatně</w:t>
      </w:r>
      <w:r w:rsidRPr="00E10636">
        <w:rPr>
          <w:rFonts w:ascii="Calibri" w:hAnsi="Calibri" w:cs="Calibri"/>
        </w:rPr>
        <w:t>;</w:t>
      </w:r>
    </w:p>
    <w:p w14:paraId="0CE896A7" w14:textId="53013493" w:rsidR="00231886" w:rsidRDefault="00231886" w:rsidP="001E7F7E">
      <w:pPr>
        <w:pStyle w:val="Odrky"/>
        <w:rPr>
          <w:rFonts w:ascii="Calibri" w:hAnsi="Calibri" w:cs="Calibri"/>
        </w:rPr>
      </w:pPr>
      <w:r>
        <w:rPr>
          <w:rFonts w:ascii="Calibri" w:hAnsi="Calibri" w:cs="Calibri"/>
        </w:rPr>
        <w:t>Návrh smlouvy dodavatele</w:t>
      </w:r>
      <w:r w:rsidR="00236592">
        <w:rPr>
          <w:rFonts w:ascii="Calibri" w:hAnsi="Calibri" w:cs="Calibri"/>
        </w:rPr>
        <w:t xml:space="preserve"> </w:t>
      </w:r>
      <w:r w:rsidR="00C0297B">
        <w:rPr>
          <w:rFonts w:ascii="Calibri" w:hAnsi="Calibri" w:cs="Calibri"/>
        </w:rPr>
        <w:t>–</w:t>
      </w:r>
      <w:r w:rsidR="00236592">
        <w:rPr>
          <w:rFonts w:ascii="Calibri" w:hAnsi="Calibri" w:cs="Calibri"/>
        </w:rPr>
        <w:t xml:space="preserve"> </w:t>
      </w:r>
      <w:r w:rsidR="00C0297B">
        <w:rPr>
          <w:rFonts w:ascii="Calibri" w:hAnsi="Calibri" w:cs="Calibri"/>
        </w:rPr>
        <w:t xml:space="preserve">podává-li dodavatel </w:t>
      </w:r>
      <w:r w:rsidR="000E7B15">
        <w:rPr>
          <w:rFonts w:ascii="Calibri" w:hAnsi="Calibri" w:cs="Calibri"/>
        </w:rPr>
        <w:t xml:space="preserve">nabídku na obě </w:t>
      </w:r>
      <w:r w:rsidR="00575F65">
        <w:rPr>
          <w:rFonts w:ascii="Calibri" w:hAnsi="Calibri" w:cs="Calibri"/>
        </w:rPr>
        <w:t>části</w:t>
      </w:r>
      <w:r w:rsidR="00F31A1D">
        <w:rPr>
          <w:rFonts w:ascii="Calibri" w:hAnsi="Calibri" w:cs="Calibri"/>
        </w:rPr>
        <w:t>, předloží dva Návrhy smlouvy</w:t>
      </w:r>
      <w:r w:rsidR="0085505D">
        <w:rPr>
          <w:rFonts w:ascii="Calibri" w:hAnsi="Calibri" w:cs="Calibri"/>
        </w:rPr>
        <w:t>, a to</w:t>
      </w:r>
      <w:r w:rsidR="00F31A1D">
        <w:rPr>
          <w:rFonts w:ascii="Calibri" w:hAnsi="Calibri" w:cs="Calibri"/>
        </w:rPr>
        <w:t xml:space="preserve"> pro každou část zakázky</w:t>
      </w:r>
      <w:r w:rsidR="0085505D">
        <w:rPr>
          <w:rFonts w:ascii="Calibri" w:hAnsi="Calibri" w:cs="Calibri"/>
        </w:rPr>
        <w:t xml:space="preserve"> samostatně</w:t>
      </w:r>
      <w:r>
        <w:rPr>
          <w:rFonts w:ascii="Calibri" w:hAnsi="Calibri" w:cs="Calibri"/>
        </w:rPr>
        <w:t>;</w:t>
      </w:r>
    </w:p>
    <w:p w14:paraId="666B499F" w14:textId="66683392" w:rsidR="001E7F7E" w:rsidRPr="00E10636" w:rsidRDefault="001E7F7E" w:rsidP="001E7F7E">
      <w:pPr>
        <w:pStyle w:val="Odrky"/>
        <w:rPr>
          <w:rFonts w:ascii="Calibri" w:hAnsi="Calibri" w:cs="Calibri"/>
        </w:rPr>
      </w:pPr>
      <w:r w:rsidRPr="00E10636">
        <w:rPr>
          <w:rFonts w:ascii="Calibri" w:hAnsi="Calibri" w:cs="Calibri"/>
        </w:rPr>
        <w:t>Doklady k prokázání kvalifikace</w:t>
      </w:r>
      <w:r>
        <w:rPr>
          <w:rFonts w:ascii="Calibri" w:hAnsi="Calibri" w:cs="Calibri"/>
        </w:rPr>
        <w:t xml:space="preserve"> </w:t>
      </w:r>
      <w:r w:rsidRPr="00E10636">
        <w:rPr>
          <w:rFonts w:ascii="Calibri" w:hAnsi="Calibri" w:cs="Calibri"/>
        </w:rPr>
        <w:t xml:space="preserve">dle přílohy č. </w:t>
      </w:r>
      <w:r w:rsidR="00243425">
        <w:rPr>
          <w:rFonts w:ascii="Calibri" w:hAnsi="Calibri" w:cs="Calibri"/>
        </w:rPr>
        <w:t>4</w:t>
      </w:r>
      <w:r w:rsidRPr="00E10636">
        <w:rPr>
          <w:rFonts w:ascii="Calibri" w:hAnsi="Calibri" w:cs="Calibri"/>
        </w:rPr>
        <w:t xml:space="preserve"> Výzvy</w:t>
      </w:r>
      <w:r w:rsidR="003E4F38">
        <w:rPr>
          <w:rFonts w:ascii="Calibri" w:hAnsi="Calibri" w:cs="Calibri"/>
        </w:rPr>
        <w:t xml:space="preserve"> – v případě podání nabídky na obě části zakázky postačuje předložit doklady k prokázání kvalifikace pouze jednou</w:t>
      </w:r>
      <w:r w:rsidRPr="00E10636">
        <w:rPr>
          <w:rFonts w:ascii="Calibri" w:hAnsi="Calibri" w:cs="Calibri"/>
        </w:rPr>
        <w:t>;</w:t>
      </w:r>
    </w:p>
    <w:p w14:paraId="7FFB2777" w14:textId="34B97524" w:rsidR="001E7F7E" w:rsidRPr="00E10636" w:rsidRDefault="001E7F7E" w:rsidP="001E7F7E">
      <w:pPr>
        <w:pStyle w:val="Odrky"/>
        <w:rPr>
          <w:rFonts w:ascii="Calibri" w:hAnsi="Calibri" w:cs="Calibri"/>
        </w:rPr>
      </w:pPr>
      <w:r w:rsidRPr="00E10636">
        <w:rPr>
          <w:rFonts w:ascii="Calibri" w:hAnsi="Calibri" w:cs="Calibri"/>
        </w:rPr>
        <w:t xml:space="preserve">Seznam poddodavatelského plnění dle přílohy č. </w:t>
      </w:r>
      <w:r w:rsidR="00F139D4">
        <w:rPr>
          <w:rFonts w:ascii="Calibri" w:hAnsi="Calibri" w:cs="Calibri"/>
        </w:rPr>
        <w:t>5</w:t>
      </w:r>
      <w:r w:rsidRPr="00E10636">
        <w:rPr>
          <w:rFonts w:ascii="Calibri" w:hAnsi="Calibri" w:cs="Calibri"/>
        </w:rPr>
        <w:t xml:space="preserve"> Výzvy, pokud je relevantní;</w:t>
      </w:r>
    </w:p>
    <w:p w14:paraId="612608E6" w14:textId="77777777" w:rsidR="001E7F7E" w:rsidRPr="00E10636" w:rsidRDefault="001E7F7E" w:rsidP="001E7F7E">
      <w:pPr>
        <w:pStyle w:val="Odrky"/>
        <w:rPr>
          <w:rFonts w:ascii="Calibri" w:eastAsia="Times New Roman" w:hAnsi="Calibri" w:cs="Calibri"/>
          <w:bCs/>
          <w:lang w:eastAsia="cs-CZ"/>
        </w:rPr>
      </w:pPr>
      <w:r w:rsidRPr="00E10636">
        <w:rPr>
          <w:rFonts w:ascii="Calibri" w:hAnsi="Calibri" w:cs="Calibri"/>
        </w:rPr>
        <w:t>Další přílohy (nepovinné).</w:t>
      </w:r>
      <w:r w:rsidRPr="00E10636">
        <w:rPr>
          <w:rFonts w:ascii="Calibri" w:hAnsi="Calibri" w:cs="Calibri"/>
        </w:rPr>
        <w:tab/>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8010EF">
      <w:pPr>
        <w:pStyle w:val="Nadpis2"/>
        <w:rPr>
          <w:color w:val="000000"/>
        </w:rPr>
      </w:pPr>
      <w:r w:rsidRPr="00713C77">
        <w:t xml:space="preserve">Způsob </w:t>
      </w:r>
      <w:r>
        <w:t>a lhůta pro podání nabídek</w:t>
      </w:r>
    </w:p>
    <w:p w14:paraId="1B40D05E" w14:textId="77777777" w:rsidR="006625CB" w:rsidRPr="00E5642D" w:rsidRDefault="006625CB" w:rsidP="006625CB">
      <w:pPr>
        <w:pStyle w:val="Nadpis2"/>
        <w:numPr>
          <w:ilvl w:val="0"/>
          <w:numId w:val="0"/>
        </w:numPr>
        <w:spacing w:before="120"/>
        <w:rPr>
          <w:rFonts w:ascii="Calibri" w:hAnsi="Calibri" w:cs="Calibri"/>
          <w:sz w:val="22"/>
          <w:lang w:eastAsia="cs-CZ"/>
        </w:rPr>
      </w:pPr>
      <w:bookmarkStart w:id="11" w:name="_Hlk51232271"/>
      <w:r w:rsidRPr="00E5642D">
        <w:rPr>
          <w:rFonts w:ascii="Calibri" w:hAnsi="Calibri" w:cs="Calibri"/>
          <w:sz w:val="22"/>
          <w:lang w:eastAsia="cs-CZ"/>
        </w:rPr>
        <w:t xml:space="preserve">Nabídku podá dodavatel výhradně prostřednictvím elektronického nástroje JOSEPHINE, který je dostupný na internetové adrese </w:t>
      </w:r>
      <w:hyperlink r:id="rId13" w:history="1">
        <w:r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20866816" w14:textId="77777777" w:rsidR="006625CB" w:rsidRPr="00E5642D" w:rsidRDefault="006625CB" w:rsidP="006625CB">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Pr="00E5642D">
        <w:rPr>
          <w:rFonts w:ascii="Calibri" w:hAnsi="Calibri" w:cs="Calibri"/>
          <w:sz w:val="22"/>
          <w:lang w:eastAsia="cs-CZ"/>
        </w:rPr>
        <w:fldChar w:fldCharType="begin"/>
      </w:r>
      <w:r w:rsidRPr="00E5642D">
        <w:rPr>
          <w:rFonts w:ascii="Calibri" w:hAnsi="Calibri" w:cs="Calibri"/>
          <w:sz w:val="22"/>
          <w:lang w:eastAsia="cs-CZ"/>
        </w:rPr>
        <w:instrText xml:space="preserve"> REF _Ref18578206 \r \h  \* MERGEFORMAT </w:instrText>
      </w:r>
      <w:r w:rsidRPr="00E5642D">
        <w:rPr>
          <w:rFonts w:ascii="Calibri" w:hAnsi="Calibri" w:cs="Calibri"/>
          <w:sz w:val="22"/>
          <w:lang w:eastAsia="cs-CZ"/>
        </w:rPr>
      </w:r>
      <w:r w:rsidRPr="00E5642D">
        <w:rPr>
          <w:rFonts w:ascii="Calibri" w:hAnsi="Calibri" w:cs="Calibri"/>
          <w:sz w:val="22"/>
          <w:lang w:eastAsia="cs-CZ"/>
        </w:rPr>
        <w:fldChar w:fldCharType="separate"/>
      </w:r>
      <w:r w:rsidRPr="00E5642D">
        <w:rPr>
          <w:rFonts w:ascii="Calibri" w:hAnsi="Calibri" w:cs="Calibri"/>
          <w:sz w:val="22"/>
          <w:lang w:eastAsia="cs-CZ"/>
        </w:rPr>
        <w:t>9.2</w:t>
      </w:r>
      <w:r w:rsidRPr="00E5642D">
        <w:rPr>
          <w:rFonts w:ascii="Calibri" w:hAnsi="Calibri" w:cs="Calibri"/>
          <w:sz w:val="22"/>
          <w:lang w:eastAsia="cs-CZ"/>
        </w:rPr>
        <w:fldChar w:fldCharType="end"/>
      </w:r>
      <w:r w:rsidRPr="00E5642D">
        <w:rPr>
          <w:rFonts w:ascii="Calibri" w:hAnsi="Calibri" w:cs="Calibri"/>
          <w:sz w:val="22"/>
          <w:lang w:eastAsia="cs-CZ"/>
        </w:rPr>
        <w:t xml:space="preserve"> této Výzvy.</w:t>
      </w:r>
    </w:p>
    <w:p w14:paraId="5F53E7D6" w14:textId="3DF50F4B" w:rsidR="006625CB" w:rsidRPr="00E5642D" w:rsidRDefault="006625CB" w:rsidP="006625CB">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 </w:t>
      </w:r>
      <w:r w:rsidR="00DB17BC">
        <w:rPr>
          <w:rFonts w:ascii="Calibri" w:eastAsia="Times New Roman" w:hAnsi="Calibri" w:cs="Calibri"/>
          <w:bCs/>
        </w:rPr>
        <w:t>6</w:t>
      </w:r>
      <w:r w:rsidRPr="00E5642D">
        <w:rPr>
          <w:rFonts w:ascii="Calibri" w:eastAsia="Times New Roman" w:hAnsi="Calibri" w:cs="Calibri"/>
          <w:bCs/>
        </w:rPr>
        <w:t xml:space="preserve"> Výzvy – Požadavky na elektronickou komunikaci JOSEPHINE</w:t>
      </w:r>
      <w:r w:rsidRPr="00E5642D">
        <w:rPr>
          <w:rFonts w:ascii="Calibri" w:eastAsia="Times New Roman" w:hAnsi="Calibri" w:cs="Calibri"/>
          <w:bCs/>
          <w:lang w:eastAsia="cs-CZ"/>
        </w:rPr>
        <w:t>.</w:t>
      </w:r>
    </w:p>
    <w:p w14:paraId="30F1E066" w14:textId="77777777" w:rsidR="006625CB" w:rsidRPr="00E5642D" w:rsidRDefault="006625CB" w:rsidP="006625CB">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Zadavatel doporučuje dodavatelům, aby provedli a dokončili svou registraci v elektronickém nástroji, pokud tak již neučinili před zahájením tohoto výběrového řízení.</w:t>
      </w:r>
    </w:p>
    <w:p w14:paraId="4A3A72DC" w14:textId="77777777" w:rsidR="006625CB" w:rsidRPr="00E5032D" w:rsidRDefault="006625CB" w:rsidP="006625CB">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w:t>
      </w:r>
      <w:r w:rsidRPr="00E5032D">
        <w:rPr>
          <w:rFonts w:ascii="Calibri" w:eastAsia="Times New Roman" w:hAnsi="Calibri" w:cs="Calibri"/>
          <w:b/>
          <w:bCs/>
          <w:sz w:val="32"/>
          <w:lang w:eastAsia="cs-CZ"/>
        </w:rPr>
        <w:t xml:space="preserve">nabídek končí </w:t>
      </w:r>
    </w:p>
    <w:p w14:paraId="3F55388A" w14:textId="5BAA9C6C" w:rsidR="006625CB" w:rsidRPr="00E5032D" w:rsidRDefault="00B22E01" w:rsidP="006625CB">
      <w:pPr>
        <w:jc w:val="center"/>
        <w:rPr>
          <w:rFonts w:ascii="Calibri" w:eastAsia="Times New Roman" w:hAnsi="Calibri" w:cs="Calibri"/>
          <w:b/>
          <w:bCs/>
          <w:sz w:val="32"/>
          <w:lang w:eastAsia="cs-CZ"/>
        </w:rPr>
      </w:pPr>
      <w:r w:rsidRPr="00B22E01">
        <w:rPr>
          <w:rFonts w:ascii="Calibri" w:hAnsi="Calibri" w:cs="Calibri"/>
          <w:b/>
          <w:bCs/>
          <w:snapToGrid w:val="0"/>
          <w:sz w:val="32"/>
        </w:rPr>
        <w:t>2</w:t>
      </w:r>
      <w:r w:rsidR="00DB17BC" w:rsidRPr="00B22E01">
        <w:rPr>
          <w:rFonts w:ascii="Calibri" w:hAnsi="Calibri" w:cs="Calibri"/>
          <w:b/>
          <w:bCs/>
          <w:snapToGrid w:val="0"/>
          <w:sz w:val="32"/>
        </w:rPr>
        <w:t>.</w:t>
      </w:r>
      <w:r w:rsidR="006625CB" w:rsidRPr="00B22E01">
        <w:rPr>
          <w:rFonts w:ascii="Calibri" w:hAnsi="Calibri" w:cs="Calibri"/>
          <w:b/>
          <w:bCs/>
          <w:snapToGrid w:val="0"/>
          <w:sz w:val="32"/>
        </w:rPr>
        <w:t xml:space="preserve"> </w:t>
      </w:r>
      <w:r w:rsidRPr="00B22E01">
        <w:rPr>
          <w:rFonts w:ascii="Calibri" w:hAnsi="Calibri" w:cs="Calibri"/>
          <w:b/>
          <w:bCs/>
          <w:snapToGrid w:val="0"/>
          <w:sz w:val="32"/>
        </w:rPr>
        <w:t>10</w:t>
      </w:r>
      <w:r w:rsidR="006625CB" w:rsidRPr="00B22E01">
        <w:rPr>
          <w:rFonts w:ascii="Calibri" w:hAnsi="Calibri" w:cs="Calibri"/>
          <w:b/>
          <w:bCs/>
          <w:snapToGrid w:val="0"/>
          <w:sz w:val="32"/>
        </w:rPr>
        <w:t>. 2023 v 1</w:t>
      </w:r>
      <w:r w:rsidR="00A23BE2">
        <w:rPr>
          <w:rFonts w:ascii="Calibri" w:hAnsi="Calibri" w:cs="Calibri"/>
          <w:b/>
          <w:bCs/>
          <w:snapToGrid w:val="0"/>
          <w:sz w:val="32"/>
        </w:rPr>
        <w:t>2</w:t>
      </w:r>
      <w:r w:rsidR="006625CB" w:rsidRPr="00B22E01">
        <w:rPr>
          <w:rFonts w:ascii="Calibri" w:hAnsi="Calibri" w:cs="Calibri"/>
          <w:b/>
          <w:bCs/>
          <w:snapToGrid w:val="0"/>
          <w:sz w:val="32"/>
        </w:rPr>
        <w:t>:00 hodin</w:t>
      </w:r>
    </w:p>
    <w:p w14:paraId="4366DF13" w14:textId="77777777" w:rsidR="006625CB" w:rsidRPr="00E5642D" w:rsidRDefault="006625CB" w:rsidP="006625CB">
      <w:pPr>
        <w:rPr>
          <w:rFonts w:ascii="Calibri" w:eastAsia="Times New Roman" w:hAnsi="Calibri" w:cs="Calibri"/>
          <w:b/>
          <w:bCs/>
          <w:lang w:eastAsia="cs-CZ"/>
        </w:rPr>
      </w:pPr>
      <w:r w:rsidRPr="00E5032D">
        <w:rPr>
          <w:rFonts w:ascii="Calibri" w:eastAsia="Times New Roman" w:hAnsi="Calibri" w:cs="Calibri"/>
          <w:b/>
          <w:bCs/>
          <w:lang w:eastAsia="cs-CZ"/>
        </w:rPr>
        <w:t>Všechny nabídky musí být doručeny Zadavateli před skončením lhůty pro</w:t>
      </w:r>
      <w:r w:rsidRPr="00E5642D">
        <w:rPr>
          <w:rFonts w:ascii="Calibri" w:eastAsia="Times New Roman" w:hAnsi="Calibri" w:cs="Calibri"/>
          <w:b/>
          <w:bCs/>
          <w:lang w:eastAsia="cs-CZ"/>
        </w:rPr>
        <w:t xml:space="preserve"> podání nabídek. </w:t>
      </w:r>
    </w:p>
    <w:p w14:paraId="56CC8C7C" w14:textId="5C88A6AE" w:rsidR="00B547E6" w:rsidRDefault="006625CB" w:rsidP="006625CB">
      <w:pPr>
        <w:shd w:val="clear" w:color="auto" w:fill="FFFFFF"/>
        <w:spacing w:before="120"/>
        <w:rPr>
          <w:rFonts w:eastAsia="Times New Roman" w:cs="Arial"/>
          <w:bCs/>
          <w:lang w:eastAsia="cs-CZ"/>
        </w:rPr>
      </w:pPr>
      <w:r w:rsidRPr="00E5642D">
        <w:rPr>
          <w:rFonts w:ascii="Calibri" w:eastAsia="Times New Roman" w:hAnsi="Calibri" w:cs="Calibri"/>
          <w:bCs/>
          <w:lang w:eastAsia="cs-CZ"/>
        </w:rPr>
        <w:t>Pokud nebude nabídka Zadavateli doručena ve lhůtě nebo způsobem stanoveným ve Výzvě, nepovažuje se za podanou a v průběhu výběrového řízení se k ní nepřihlíží.</w:t>
      </w:r>
    </w:p>
    <w:bookmarkEnd w:id="11"/>
    <w:p w14:paraId="003652D5" w14:textId="77777777" w:rsidR="00B547E6" w:rsidRPr="00594FB3" w:rsidRDefault="00B547E6" w:rsidP="0018496A">
      <w:pPr>
        <w:pStyle w:val="Nadpis2"/>
        <w:keepNext/>
        <w:ind w:left="936" w:hanging="431"/>
      </w:pPr>
      <w:r w:rsidRPr="00594FB3">
        <w:t>Otevírání nabíd</w:t>
      </w:r>
      <w:r>
        <w:t>e</w:t>
      </w:r>
      <w:r w:rsidRPr="00594FB3">
        <w:t>k</w:t>
      </w:r>
    </w:p>
    <w:p w14:paraId="05AF2A0E" w14:textId="77777777" w:rsidR="00F70213" w:rsidRPr="00E5642D" w:rsidRDefault="00F70213" w:rsidP="00F70213">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2BED00B4" w14:textId="77777777" w:rsidR="00F70213" w:rsidRPr="00E5642D" w:rsidRDefault="00F70213" w:rsidP="00F70213">
      <w:pPr>
        <w:rPr>
          <w:rFonts w:ascii="Calibri" w:hAnsi="Calibri" w:cs="Calibri"/>
        </w:rPr>
      </w:pPr>
      <w:r w:rsidRPr="00E5642D">
        <w:rPr>
          <w:rFonts w:ascii="Calibri" w:hAnsi="Calibri" w:cs="Calibri"/>
        </w:rPr>
        <w:lastRenderedPageBreak/>
        <w:t xml:space="preserve">Otevírání nabídek v elektronické podobě není veřejné a nemohou se ho tak účastnit ani dodavatelé, kteří podali nabídku ve výběrovém řízení. </w:t>
      </w:r>
    </w:p>
    <w:p w14:paraId="7C704DE9" w14:textId="3E40B3E9" w:rsidR="001F42B4" w:rsidRDefault="00F70213" w:rsidP="00F70213">
      <w:pPr>
        <w:rPr>
          <w:rFonts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35ACFA3F" w14:textId="77777777" w:rsidR="00234234" w:rsidRPr="00E5642D" w:rsidRDefault="00234234" w:rsidP="00234234">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8091695" w:rsidR="00B547E6" w:rsidRPr="006C0144" w:rsidRDefault="00234234" w:rsidP="00234234">
      <w:pPr>
        <w:rPr>
          <w:rFonts w:cs="Arial"/>
        </w:rPr>
      </w:pPr>
      <w:r w:rsidRPr="00E5642D">
        <w:rPr>
          <w:rFonts w:ascii="Calibri" w:eastAsia="Times New Roman" w:hAnsi="Calibri" w:cs="Calibri"/>
          <w:bCs/>
          <w:lang w:eastAsia="cs-CZ"/>
        </w:rPr>
        <w:t xml:space="preserve">Účastníci mohou na </w:t>
      </w:r>
      <w:r>
        <w:rPr>
          <w:rFonts w:ascii="Calibri" w:eastAsia="Times New Roman" w:hAnsi="Calibri" w:cs="Calibri"/>
          <w:bCs/>
          <w:lang w:eastAsia="cs-CZ"/>
        </w:rPr>
        <w:t>Z</w:t>
      </w:r>
      <w:r w:rsidRPr="00E5642D">
        <w:rPr>
          <w:rFonts w:ascii="Calibri" w:eastAsia="Times New Roman" w:hAnsi="Calibri" w:cs="Calibri"/>
          <w:bCs/>
          <w:lang w:eastAsia="cs-CZ"/>
        </w:rPr>
        <w:t>akázku podat pouze jednu nabídku, a to bez ohledu na to, zda tak činí samostatně nebo společně s jinými účastníky (společná nabídka). Dodavatel, který podal nabídku ve výběrovém řízení, nesmí být současně osobou, jejímž prostřednictvím jiný dodavatel ve výběrovém řízení prokazuje kvalifikaci. V případě porušení těchto povinností Zadavatel přistoupí k vyloučení účastníka z výběrového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0884E3A4" w14:textId="77777777" w:rsidR="00492845" w:rsidRPr="00E5642D" w:rsidRDefault="00492845" w:rsidP="00492845">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0DD1211C" w14:textId="324C1D35" w:rsidR="00B547E6" w:rsidRPr="004F0BD3" w:rsidRDefault="00492845" w:rsidP="00492845">
      <w:pPr>
        <w:autoSpaceDE w:val="0"/>
        <w:autoSpaceDN w:val="0"/>
        <w:adjustRightInd w:val="0"/>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adrese </w:t>
      </w:r>
      <w:r w:rsidRPr="00E5642D">
        <w:rPr>
          <w:rFonts w:ascii="Calibri" w:hAnsi="Calibri" w:cs="Calibri"/>
          <w:u w:val="single"/>
        </w:rPr>
        <w:t>josephine.proebiz.com</w:t>
      </w:r>
      <w:r w:rsidRPr="00E5642D">
        <w:rPr>
          <w:rFonts w:ascii="Calibri" w:hAnsi="Calibri" w:cs="Calibri"/>
        </w:rPr>
        <w:t>, případně také datovou schránkou nebo e-mailem adresovaným zástupci Zadavatele ve</w:t>
      </w:r>
      <w:r>
        <w:rPr>
          <w:rFonts w:ascii="Calibri" w:hAnsi="Calibri" w:cs="Calibri"/>
        </w:rPr>
        <w:t> </w:t>
      </w:r>
      <w:r w:rsidRPr="00E5642D">
        <w:rPr>
          <w:rFonts w:ascii="Calibri" w:hAnsi="Calibri" w:cs="Calibri"/>
        </w:rPr>
        <w:t xml:space="preserve">výběrovém řízení, vymezenému v bodě </w:t>
      </w:r>
      <w:r>
        <w:rPr>
          <w:rFonts w:ascii="Calibri" w:hAnsi="Calibri" w:cs="Calibri"/>
        </w:rPr>
        <w:t>2.2</w:t>
      </w:r>
      <w:r w:rsidRPr="00E5642D">
        <w:rPr>
          <w:rFonts w:ascii="Calibri" w:hAnsi="Calibri" w:cs="Calibri"/>
        </w:rPr>
        <w:t xml:space="preserve"> Výzvy.</w:t>
      </w:r>
    </w:p>
    <w:p w14:paraId="6E052F94" w14:textId="3942FCA7" w:rsidR="00B547E6" w:rsidRPr="00B547E6" w:rsidRDefault="00B547E6" w:rsidP="00C42535">
      <w:pPr>
        <w:pStyle w:val="Nadpis1"/>
      </w:pPr>
      <w:r w:rsidRPr="00B547E6">
        <w:t>ZÁVĚREČNÁ USTANOVENÍ</w:t>
      </w:r>
    </w:p>
    <w:p w14:paraId="57FF3B46" w14:textId="77777777" w:rsidR="00B547E6" w:rsidRDefault="00B547E6" w:rsidP="00C42535">
      <w:pPr>
        <w:pStyle w:val="Nadpis2"/>
        <w:keepNext/>
      </w:pPr>
      <w:r>
        <w:t>Vyhrazená práva a další ustanovení</w:t>
      </w:r>
    </w:p>
    <w:p w14:paraId="218193AB" w14:textId="77777777" w:rsidR="002E5800" w:rsidRPr="00E5642D" w:rsidRDefault="002E5800" w:rsidP="002E5800">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ve výběrovém řízení. Zadavatel nabídky, kopie ani jejich části účastníkům řízení nevrací.</w:t>
      </w:r>
    </w:p>
    <w:p w14:paraId="030ADC05" w14:textId="77777777" w:rsidR="002E5800" w:rsidRPr="00E5642D" w:rsidRDefault="002E5800" w:rsidP="002E5800">
      <w:pPr>
        <w:shd w:val="clear" w:color="auto" w:fill="FFFFFF"/>
        <w:spacing w:before="120"/>
        <w:rPr>
          <w:rFonts w:ascii="Calibri" w:hAnsi="Calibri" w:cs="Calibri"/>
        </w:rPr>
      </w:pPr>
      <w:r w:rsidRPr="00E5642D">
        <w:rPr>
          <w:rFonts w:ascii="Calibri" w:hAnsi="Calibri" w:cs="Calibri"/>
        </w:rPr>
        <w:t>Zadavatel si stanovuje následující výhrady</w:t>
      </w:r>
      <w:r>
        <w:rPr>
          <w:rFonts w:ascii="Calibri" w:hAnsi="Calibri" w:cs="Calibri"/>
        </w:rPr>
        <w:t>/práva</w:t>
      </w:r>
      <w:r w:rsidRPr="00E5642D">
        <w:rPr>
          <w:rFonts w:ascii="Calibri" w:hAnsi="Calibri" w:cs="Calibri"/>
        </w:rPr>
        <w:t>:</w:t>
      </w:r>
    </w:p>
    <w:p w14:paraId="52A75793" w14:textId="77777777" w:rsidR="002E5800" w:rsidRPr="00E5642D" w:rsidRDefault="002E5800" w:rsidP="002E5800">
      <w:pPr>
        <w:pStyle w:val="psemnodrky"/>
        <w:numPr>
          <w:ilvl w:val="0"/>
          <w:numId w:val="7"/>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78D77F3D" w14:textId="77777777" w:rsidR="002E5800" w:rsidRPr="00E5642D" w:rsidRDefault="002E5800" w:rsidP="002E5800">
      <w:pPr>
        <w:pStyle w:val="psemnodrky"/>
        <w:numPr>
          <w:ilvl w:val="0"/>
          <w:numId w:val="7"/>
        </w:numPr>
        <w:rPr>
          <w:rFonts w:ascii="Calibri" w:hAnsi="Calibri" w:cs="Calibri"/>
        </w:rPr>
      </w:pPr>
      <w:r w:rsidRPr="00E5642D">
        <w:rPr>
          <w:rFonts w:ascii="Calibri" w:hAnsi="Calibri" w:cs="Calibri"/>
        </w:rPr>
        <w:t xml:space="preserve">právo upřesnit nebo změnit ve lhůtě pro podání nabídek zadávací podmínky </w:t>
      </w:r>
      <w:r>
        <w:rPr>
          <w:rFonts w:ascii="Calibri" w:hAnsi="Calibri" w:cs="Calibri"/>
        </w:rPr>
        <w:t>z</w:t>
      </w:r>
      <w:r w:rsidRPr="00E5642D">
        <w:rPr>
          <w:rFonts w:ascii="Calibri" w:hAnsi="Calibri" w:cs="Calibri"/>
        </w:rPr>
        <w:t>akázky;</w:t>
      </w:r>
    </w:p>
    <w:p w14:paraId="7E393A06"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 xml:space="preserve">ověřit a prověřit údaje uvedené jednotlivými dodavateli v nabídkách; </w:t>
      </w:r>
    </w:p>
    <w:p w14:paraId="7473E38D"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vyloučit dodavatele, který neprokáže svou způsobilost nebo nesplní kvalifikaci, nebo jehož nabídka bude v rozporu s</w:t>
      </w:r>
      <w:r>
        <w:rPr>
          <w:rFonts w:ascii="Calibri" w:hAnsi="Calibri" w:cs="Calibri"/>
        </w:rPr>
        <w:t>e</w:t>
      </w:r>
      <w:r w:rsidRPr="00E5642D">
        <w:rPr>
          <w:rFonts w:ascii="Calibri" w:hAnsi="Calibri" w:cs="Calibri"/>
        </w:rPr>
        <w:t xml:space="preserve"> zadávacími podmínkami</w:t>
      </w:r>
      <w:r>
        <w:rPr>
          <w:rFonts w:ascii="Calibri" w:hAnsi="Calibri" w:cs="Calibri"/>
        </w:rPr>
        <w:t xml:space="preserve"> dle Výzvy včetně jejích příloh</w:t>
      </w:r>
      <w:r w:rsidRPr="00E5642D">
        <w:rPr>
          <w:rFonts w:ascii="Calibri" w:hAnsi="Calibri" w:cs="Calibri"/>
        </w:rPr>
        <w:t>;</w:t>
      </w:r>
    </w:p>
    <w:p w14:paraId="1CED7D4E" w14:textId="77777777" w:rsidR="002E5800" w:rsidRPr="00E5642D" w:rsidRDefault="002E5800" w:rsidP="002E5800">
      <w:pPr>
        <w:pStyle w:val="psemnodrky"/>
        <w:rPr>
          <w:rFonts w:ascii="Calibri" w:hAnsi="Calibri" w:cs="Calibri"/>
        </w:rPr>
      </w:pPr>
      <w:r>
        <w:rPr>
          <w:rFonts w:ascii="Calibri" w:hAnsi="Calibri" w:cs="Calibri"/>
        </w:rPr>
        <w:t xml:space="preserve">právo </w:t>
      </w:r>
      <w:r w:rsidRPr="00E5642D">
        <w:rPr>
          <w:rFonts w:ascii="Calibri" w:hAnsi="Calibri" w:cs="Calibri"/>
        </w:rPr>
        <w:t>zrušit výběrové řízení, a to i bez udání důvodu;</w:t>
      </w:r>
    </w:p>
    <w:p w14:paraId="69815408" w14:textId="1788CEA0" w:rsidR="002E5800" w:rsidRPr="002E5800" w:rsidRDefault="002E5800" w:rsidP="002E5800">
      <w:pPr>
        <w:pStyle w:val="psemnodrky"/>
      </w:pPr>
      <w:r w:rsidRPr="00E5642D">
        <w:rPr>
          <w:rFonts w:ascii="Calibri" w:hAnsi="Calibri" w:cs="Calibri"/>
        </w:rPr>
        <w:t xml:space="preserve">právo uveřejnit uzavřenou </w:t>
      </w:r>
      <w:r w:rsidR="00D15B88">
        <w:rPr>
          <w:rFonts w:ascii="Calibri" w:hAnsi="Calibri" w:cs="Calibri"/>
        </w:rPr>
        <w:t>Smlouvu</w:t>
      </w:r>
      <w:r w:rsidRPr="00E5642D">
        <w:rPr>
          <w:rFonts w:ascii="Calibri" w:hAnsi="Calibri" w:cs="Calibri"/>
        </w:rPr>
        <w:t xml:space="preserve"> včetně jejích příloh a dodatků a skutečně uhrazené ceny na profilu Zadavatele a uveřejnit uzavřenou </w:t>
      </w:r>
      <w:r w:rsidR="00A03740">
        <w:rPr>
          <w:rFonts w:ascii="Calibri" w:hAnsi="Calibri" w:cs="Calibri"/>
        </w:rPr>
        <w:t xml:space="preserve">Smlouvu </w:t>
      </w:r>
      <w:r w:rsidRPr="00E5642D">
        <w:rPr>
          <w:rFonts w:ascii="Calibri" w:hAnsi="Calibri" w:cs="Calibri"/>
        </w:rPr>
        <w:t>včetně jejích příloh a dodatků a další dokumenty v Registru smluv, a to v souladu se zákonem č. 340/2015 Sb., o registru smluv, ve znění pozdějších předpisů.</w:t>
      </w:r>
    </w:p>
    <w:p w14:paraId="4DE872B0" w14:textId="77777777" w:rsidR="00B547E6" w:rsidRPr="00E4498D" w:rsidRDefault="00B547E6" w:rsidP="008A3A0A">
      <w:pPr>
        <w:pStyle w:val="Nadpis1"/>
      </w:pPr>
      <w:r w:rsidRPr="00E4498D">
        <w:lastRenderedPageBreak/>
        <w:t>PŘÍLOHY ZADÁVACÍ DOKUMENTACE</w:t>
      </w:r>
    </w:p>
    <w:p w14:paraId="6984B1DC" w14:textId="7040C96E"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A353B1">
        <w:rPr>
          <w:rFonts w:cs="Calibri"/>
        </w:rPr>
        <w:t>Výzvy</w:t>
      </w:r>
      <w:r w:rsidRPr="008973B9">
        <w:rPr>
          <w:rFonts w:cs="Calibri"/>
        </w:rPr>
        <w:t xml:space="preserve"> </w:t>
      </w:r>
      <w:r>
        <w:rPr>
          <w:rFonts w:cs="Calibri"/>
        </w:rPr>
        <w:t>tvoří následující přílohy</w:t>
      </w:r>
      <w:r w:rsidRPr="008973B9">
        <w:rPr>
          <w:rFonts w:cs="Calibri"/>
        </w:rPr>
        <w:t>:</w:t>
      </w:r>
    </w:p>
    <w:p w14:paraId="368FB800" w14:textId="6630733F" w:rsidR="00A353B1" w:rsidRDefault="00F73357" w:rsidP="003128CA">
      <w:pPr>
        <w:pStyle w:val="slovn"/>
        <w:numPr>
          <w:ilvl w:val="0"/>
          <w:numId w:val="9"/>
        </w:numPr>
        <w:spacing w:after="0"/>
        <w:ind w:left="851"/>
      </w:pPr>
      <w:bookmarkStart w:id="12" w:name="_Ref380758048"/>
      <w:r>
        <w:t>Krycí list nabídky</w:t>
      </w:r>
      <w:r w:rsidR="006D5567">
        <w:t xml:space="preserve">: </w:t>
      </w:r>
    </w:p>
    <w:p w14:paraId="13EEC78A" w14:textId="0A4E8F6E" w:rsidR="006D5567" w:rsidRDefault="00F03C94" w:rsidP="006D5567">
      <w:pPr>
        <w:pStyle w:val="slovn"/>
        <w:numPr>
          <w:ilvl w:val="0"/>
          <w:numId w:val="0"/>
        </w:numPr>
        <w:spacing w:after="0"/>
        <w:ind w:left="851"/>
      </w:pPr>
      <w:r>
        <w:t>Příloha 1a – Krycí list pro část 1 – NN</w:t>
      </w:r>
    </w:p>
    <w:p w14:paraId="1655F5DB" w14:textId="4E15393A" w:rsidR="00F03C94" w:rsidRDefault="00F03C94" w:rsidP="006D5567">
      <w:pPr>
        <w:pStyle w:val="slovn"/>
        <w:numPr>
          <w:ilvl w:val="0"/>
          <w:numId w:val="0"/>
        </w:numPr>
        <w:spacing w:after="0"/>
        <w:ind w:left="851"/>
      </w:pPr>
      <w:r>
        <w:t>Příloha 1b – Krycí list pro část 2 - VN</w:t>
      </w:r>
    </w:p>
    <w:p w14:paraId="22A842A7" w14:textId="064D3F05" w:rsidR="00637BA7" w:rsidRPr="00760B83" w:rsidRDefault="00BD47D6" w:rsidP="003128CA">
      <w:pPr>
        <w:pStyle w:val="slovn"/>
        <w:numPr>
          <w:ilvl w:val="0"/>
          <w:numId w:val="9"/>
        </w:numPr>
        <w:spacing w:after="0"/>
        <w:ind w:left="851"/>
      </w:pPr>
      <w:r>
        <w:t>Seznam odběrných míst pro dodávky elektřiny v hladině NN</w:t>
      </w:r>
    </w:p>
    <w:bookmarkEnd w:id="12"/>
    <w:p w14:paraId="2AEDCA7D" w14:textId="19B4DB47" w:rsidR="00BD47D6" w:rsidRDefault="00BD47D6" w:rsidP="00CD4C14">
      <w:pPr>
        <w:pStyle w:val="slovn"/>
        <w:numPr>
          <w:ilvl w:val="0"/>
          <w:numId w:val="9"/>
        </w:numPr>
        <w:spacing w:after="0"/>
        <w:ind w:left="851"/>
      </w:pPr>
      <w:r>
        <w:t xml:space="preserve">Seznam odběrných míst pro dodávky elektřiny v hladině VN </w:t>
      </w:r>
    </w:p>
    <w:p w14:paraId="2526B086" w14:textId="672801B7" w:rsidR="00A353B1" w:rsidRPr="00A353B1" w:rsidRDefault="00BD47D6" w:rsidP="00CD4C14">
      <w:pPr>
        <w:pStyle w:val="slovn"/>
        <w:numPr>
          <w:ilvl w:val="0"/>
          <w:numId w:val="9"/>
        </w:numPr>
        <w:spacing w:after="0"/>
        <w:ind w:left="851"/>
      </w:pPr>
      <w:r>
        <w:t>Vzor čestného prohlášení o splnění kvalifikace</w:t>
      </w:r>
    </w:p>
    <w:p w14:paraId="06013E8A" w14:textId="68C33DCC" w:rsidR="00D50B0F" w:rsidRPr="00F50E0C" w:rsidRDefault="009B393E" w:rsidP="00CD4C14">
      <w:pPr>
        <w:pStyle w:val="slovn"/>
        <w:numPr>
          <w:ilvl w:val="0"/>
          <w:numId w:val="9"/>
        </w:numPr>
        <w:spacing w:after="0"/>
        <w:ind w:left="851"/>
      </w:pPr>
      <w:r w:rsidRPr="00F50E0C">
        <w:t xml:space="preserve">Vzor seznamu </w:t>
      </w:r>
      <w:r w:rsidR="0082623C" w:rsidRPr="00F50E0C">
        <w:t>poddodavatelského plnění</w:t>
      </w:r>
    </w:p>
    <w:p w14:paraId="5A947F8E" w14:textId="1773C330" w:rsidR="0011095A" w:rsidRDefault="0011095A" w:rsidP="00CD4C14">
      <w:pPr>
        <w:pStyle w:val="slovn"/>
        <w:numPr>
          <w:ilvl w:val="0"/>
          <w:numId w:val="9"/>
        </w:numPr>
        <w:spacing w:after="0"/>
        <w:ind w:left="851"/>
      </w:pPr>
      <w:r w:rsidRPr="00760B83">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5AF79DEC" w:rsidR="00823779" w:rsidRDefault="00823779" w:rsidP="00B547E6">
      <w:pPr>
        <w:spacing w:after="0" w:line="240" w:lineRule="auto"/>
        <w:rPr>
          <w:rFonts w:ascii="Calibri" w:eastAsia="Calibri" w:hAnsi="Calibri" w:cs="Arial"/>
        </w:rPr>
      </w:pPr>
      <w:bookmarkStart w:id="13" w:name="_Hlk51231334"/>
      <w:bookmarkStart w:id="14" w:name="_Hlk51233900"/>
      <w:r w:rsidRPr="000B0C22">
        <w:rPr>
          <w:rFonts w:ascii="Calibri" w:eastAsia="Calibri" w:hAnsi="Calibri" w:cs="Arial"/>
        </w:rPr>
        <w:t>V Jablonci nad Nisou</w:t>
      </w:r>
      <w:bookmarkEnd w:id="13"/>
      <w:r w:rsidR="00FE21A4" w:rsidRPr="000B0C22">
        <w:rPr>
          <w:rFonts w:ascii="Calibri" w:eastAsia="Calibri" w:hAnsi="Calibri" w:cs="Arial"/>
        </w:rPr>
        <w:t xml:space="preserve"> </w:t>
      </w:r>
    </w:p>
    <w:bookmarkEnd w:id="14"/>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C42535">
            <w:pPr>
              <w:pStyle w:val="Zkladntext"/>
              <w:keepNext/>
              <w:spacing w:after="200" w:line="288" w:lineRule="auto"/>
              <w:rPr>
                <w:rFonts w:ascii="Calibri" w:hAnsi="Calibri" w:cs="Calibri"/>
                <w:szCs w:val="22"/>
              </w:rPr>
            </w:pPr>
            <w:bookmarkStart w:id="15" w:name="_Hlk51233973"/>
            <w:r>
              <w:rPr>
                <w:rFonts w:ascii="Calibri" w:hAnsi="Calibri" w:cs="Calibri"/>
                <w:szCs w:val="22"/>
              </w:rPr>
              <w:t xml:space="preserve">za </w:t>
            </w:r>
            <w:r w:rsidRPr="00054A42">
              <w:rPr>
                <w:rFonts w:ascii="Calibri" w:hAnsi="Calibri" w:cs="Calibri"/>
                <w:b/>
                <w:szCs w:val="22"/>
              </w:rPr>
              <w:t>Silnice LK a.s.</w:t>
            </w:r>
            <w:bookmarkEnd w:id="15"/>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0A8BD48B"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31658EF8" w14:textId="77777777"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202A9BF5"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30AB0793" w14:textId="29FEA936" w:rsidR="008A1F89" w:rsidRDefault="008A1F89" w:rsidP="0042325A">
      <w:pPr>
        <w:tabs>
          <w:tab w:val="left" w:pos="1575"/>
        </w:tabs>
        <w:spacing w:after="0" w:line="240" w:lineRule="auto"/>
      </w:pPr>
    </w:p>
    <w:p w14:paraId="634BE047" w14:textId="70206526" w:rsidR="009A40A0" w:rsidRPr="009A40A0" w:rsidRDefault="008A1F89">
      <w:pPr>
        <w:spacing w:after="200"/>
        <w:jc w:val="left"/>
      </w:pPr>
      <w:r>
        <w:br w:type="page"/>
      </w:r>
    </w:p>
    <w:p w14:paraId="532BED44" w14:textId="522473C1" w:rsidR="009A40A0" w:rsidRDefault="00A95BAF" w:rsidP="009A40A0">
      <w:pPr>
        <w:pStyle w:val="slovn"/>
        <w:numPr>
          <w:ilvl w:val="0"/>
          <w:numId w:val="0"/>
        </w:numPr>
        <w:spacing w:after="0"/>
        <w:rPr>
          <w:rFonts w:cstheme="minorHAnsi"/>
          <w:b/>
          <w:bCs/>
        </w:rPr>
      </w:pPr>
      <w:r>
        <w:rPr>
          <w:rFonts w:cstheme="minorHAnsi"/>
          <w:b/>
          <w:bCs/>
        </w:rPr>
        <w:lastRenderedPageBreak/>
        <w:t xml:space="preserve">Příloha č. </w:t>
      </w:r>
      <w:r w:rsidR="000D3557">
        <w:rPr>
          <w:rFonts w:cstheme="minorHAnsi"/>
          <w:b/>
          <w:bCs/>
        </w:rPr>
        <w:t>1</w:t>
      </w:r>
      <w:r w:rsidR="003B573F">
        <w:rPr>
          <w:rFonts w:cstheme="minorHAnsi"/>
          <w:b/>
          <w:bCs/>
        </w:rPr>
        <w:t>a</w:t>
      </w:r>
    </w:p>
    <w:p w14:paraId="7D701C65" w14:textId="77777777" w:rsidR="009A40A0" w:rsidRPr="000D0AD3" w:rsidRDefault="009A40A0" w:rsidP="009A40A0">
      <w:pPr>
        <w:spacing w:before="360"/>
        <w:contextualSpacing/>
        <w:jc w:val="center"/>
        <w:rPr>
          <w:b/>
          <w:sz w:val="40"/>
        </w:rPr>
      </w:pPr>
      <w:r w:rsidRPr="000D0AD3">
        <w:rPr>
          <w:b/>
          <w:sz w:val="40"/>
        </w:rPr>
        <w:t>KRYCÍ LIST NABÍDKY</w:t>
      </w:r>
      <w:r>
        <w:rPr>
          <w:rStyle w:val="Znakapoznpodarou"/>
          <w:b/>
          <w:sz w:val="40"/>
        </w:rPr>
        <w:footnoteReference w:id="2"/>
      </w:r>
    </w:p>
    <w:p w14:paraId="50FE533D" w14:textId="292689FF" w:rsidR="009A40A0" w:rsidRPr="006E0B8E" w:rsidRDefault="00100E6B" w:rsidP="009A40A0">
      <w:pPr>
        <w:jc w:val="center"/>
        <w:rPr>
          <w:rFonts w:eastAsia="Times New Roman" w:cs="Arial"/>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w:t>
      </w:r>
      <w:r w:rsidR="009A40A0" w:rsidRPr="006E0B8E">
        <w:rPr>
          <w:rFonts w:eastAsia="Times New Roman" w:cs="Arial"/>
          <w:szCs w:val="24"/>
          <w:lang w:eastAsia="cs-CZ"/>
        </w:rPr>
        <w:t xml:space="preserve"> </w:t>
      </w:r>
    </w:p>
    <w:p w14:paraId="3C65687A" w14:textId="00D4D18D" w:rsidR="009A40A0" w:rsidRDefault="008A1DB2" w:rsidP="009A40A0">
      <w:pPr>
        <w:jc w:val="center"/>
        <w:rPr>
          <w:b/>
          <w:caps/>
          <w:color w:val="E36C0A" w:themeColor="accent6" w:themeShade="BF"/>
          <w:sz w:val="40"/>
        </w:rPr>
      </w:pPr>
      <w:bookmarkStart w:id="16" w:name="_Hlk135240010"/>
      <w:r>
        <w:rPr>
          <w:b/>
          <w:caps/>
          <w:color w:val="E36C0A" w:themeColor="accent6" w:themeShade="BF"/>
          <w:sz w:val="40"/>
        </w:rPr>
        <w:t xml:space="preserve">dodávka </w:t>
      </w:r>
      <w:r w:rsidR="000D3557">
        <w:rPr>
          <w:b/>
          <w:caps/>
          <w:color w:val="E36C0A" w:themeColor="accent6" w:themeShade="BF"/>
          <w:sz w:val="40"/>
        </w:rPr>
        <w:t>ELEKTRICKÉ ENERGIE NA ROK 2024</w:t>
      </w:r>
    </w:p>
    <w:p w14:paraId="080BC535" w14:textId="4CD18A73" w:rsidR="00947D72" w:rsidRDefault="00947D72" w:rsidP="009A40A0">
      <w:pPr>
        <w:jc w:val="center"/>
        <w:rPr>
          <w:b/>
          <w:caps/>
          <w:color w:val="E36C0A" w:themeColor="accent6" w:themeShade="BF"/>
          <w:sz w:val="40"/>
        </w:rPr>
      </w:pPr>
      <w:r>
        <w:rPr>
          <w:b/>
          <w:caps/>
          <w:color w:val="E36C0A" w:themeColor="accent6" w:themeShade="BF"/>
          <w:sz w:val="40"/>
        </w:rPr>
        <w:t>část 1 – nízké napětí - NN</w:t>
      </w:r>
    </w:p>
    <w:bookmarkEnd w:id="16"/>
    <w:p w14:paraId="7F916D33" w14:textId="77777777" w:rsidR="009A40A0" w:rsidRPr="005F305F" w:rsidRDefault="009A40A0" w:rsidP="009A40A0">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91743BA" w14:textId="77777777" w:rsidR="009A40A0" w:rsidRPr="005F305F" w:rsidRDefault="009A40A0" w:rsidP="009A40A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5C8DF655" w14:textId="77777777" w:rsidR="009A40A0" w:rsidRPr="00580784" w:rsidRDefault="009A40A0" w:rsidP="009A40A0">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D300AD2" w14:textId="77777777" w:rsidR="009A40A0" w:rsidRDefault="009A40A0" w:rsidP="009A40A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6FE52F02" w14:textId="77777777" w:rsidTr="00EC2183">
        <w:tc>
          <w:tcPr>
            <w:tcW w:w="2977" w:type="dxa"/>
            <w:shd w:val="clear" w:color="auto" w:fill="auto"/>
            <w:vAlign w:val="center"/>
          </w:tcPr>
          <w:p w14:paraId="471C025D" w14:textId="77777777" w:rsidR="009A40A0" w:rsidRPr="000E7D16" w:rsidRDefault="009A40A0" w:rsidP="00EC2183">
            <w:pPr>
              <w:spacing w:before="40" w:after="40" w:line="240" w:lineRule="auto"/>
              <w:rPr>
                <w:b/>
                <w:lang w:eastAsia="cs-CZ"/>
              </w:rPr>
            </w:pPr>
            <w:r w:rsidRPr="000E7D16">
              <w:rPr>
                <w:b/>
                <w:lang w:eastAsia="cs-CZ"/>
              </w:rPr>
              <w:t>Účastník:</w:t>
            </w:r>
          </w:p>
        </w:tc>
        <w:tc>
          <w:tcPr>
            <w:tcW w:w="6203" w:type="dxa"/>
            <w:shd w:val="clear" w:color="auto" w:fill="auto"/>
            <w:vAlign w:val="center"/>
          </w:tcPr>
          <w:p w14:paraId="18938F17" w14:textId="77777777" w:rsidR="009A40A0" w:rsidRPr="001A50E0" w:rsidRDefault="009A40A0" w:rsidP="00EC218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9A40A0" w14:paraId="44DE9B85" w14:textId="77777777" w:rsidTr="00EC2183">
        <w:tc>
          <w:tcPr>
            <w:tcW w:w="2977" w:type="dxa"/>
            <w:shd w:val="clear" w:color="auto" w:fill="auto"/>
            <w:vAlign w:val="center"/>
          </w:tcPr>
          <w:p w14:paraId="46494EC5" w14:textId="77777777" w:rsidR="009A40A0" w:rsidRDefault="009A40A0" w:rsidP="00EC2183">
            <w:pPr>
              <w:spacing w:before="40" w:after="40" w:line="240" w:lineRule="auto"/>
              <w:rPr>
                <w:lang w:eastAsia="cs-CZ"/>
              </w:rPr>
            </w:pPr>
            <w:r>
              <w:rPr>
                <w:lang w:eastAsia="cs-CZ"/>
              </w:rPr>
              <w:t>IČ:</w:t>
            </w:r>
          </w:p>
        </w:tc>
        <w:tc>
          <w:tcPr>
            <w:tcW w:w="6203" w:type="dxa"/>
            <w:shd w:val="clear" w:color="auto" w:fill="auto"/>
          </w:tcPr>
          <w:p w14:paraId="055FBCE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3D486181" w14:textId="77777777" w:rsidTr="00EC2183">
        <w:tc>
          <w:tcPr>
            <w:tcW w:w="2977" w:type="dxa"/>
            <w:shd w:val="clear" w:color="auto" w:fill="auto"/>
            <w:vAlign w:val="center"/>
          </w:tcPr>
          <w:p w14:paraId="2B012099" w14:textId="77777777" w:rsidR="009A40A0" w:rsidRDefault="009A40A0" w:rsidP="00EC2183">
            <w:pPr>
              <w:spacing w:before="40" w:after="40" w:line="240" w:lineRule="auto"/>
              <w:rPr>
                <w:lang w:eastAsia="cs-CZ"/>
              </w:rPr>
            </w:pPr>
            <w:r>
              <w:rPr>
                <w:lang w:eastAsia="cs-CZ"/>
              </w:rPr>
              <w:t>DIČ:</w:t>
            </w:r>
          </w:p>
        </w:tc>
        <w:tc>
          <w:tcPr>
            <w:tcW w:w="6203" w:type="dxa"/>
            <w:shd w:val="clear" w:color="auto" w:fill="auto"/>
          </w:tcPr>
          <w:p w14:paraId="654C5AE8"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01E4B340" w14:textId="77777777" w:rsidTr="00EC2183">
        <w:tc>
          <w:tcPr>
            <w:tcW w:w="2977" w:type="dxa"/>
            <w:shd w:val="clear" w:color="auto" w:fill="auto"/>
            <w:vAlign w:val="center"/>
          </w:tcPr>
          <w:p w14:paraId="1CD168EF" w14:textId="77777777" w:rsidR="009A40A0" w:rsidRDefault="009A40A0" w:rsidP="00EC2183">
            <w:pPr>
              <w:spacing w:before="40" w:after="40" w:line="240" w:lineRule="auto"/>
              <w:rPr>
                <w:lang w:eastAsia="cs-CZ"/>
              </w:rPr>
            </w:pPr>
            <w:r>
              <w:rPr>
                <w:lang w:eastAsia="cs-CZ"/>
              </w:rPr>
              <w:t>Sídlo:</w:t>
            </w:r>
          </w:p>
        </w:tc>
        <w:tc>
          <w:tcPr>
            <w:tcW w:w="6203" w:type="dxa"/>
            <w:shd w:val="clear" w:color="auto" w:fill="auto"/>
          </w:tcPr>
          <w:p w14:paraId="28B34ED9"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47E5461C" w14:textId="77777777" w:rsidTr="00EC2183">
        <w:tc>
          <w:tcPr>
            <w:tcW w:w="2977" w:type="dxa"/>
            <w:shd w:val="clear" w:color="auto" w:fill="auto"/>
            <w:vAlign w:val="center"/>
          </w:tcPr>
          <w:p w14:paraId="3DBD5E9D" w14:textId="77777777" w:rsidR="009A40A0" w:rsidRDefault="009A40A0" w:rsidP="00EC2183">
            <w:pPr>
              <w:spacing w:before="40" w:after="40" w:line="240" w:lineRule="auto"/>
              <w:rPr>
                <w:lang w:eastAsia="cs-CZ"/>
              </w:rPr>
            </w:pPr>
            <w:r>
              <w:rPr>
                <w:lang w:eastAsia="cs-CZ"/>
              </w:rPr>
              <w:t>Zastoupený:</w:t>
            </w:r>
          </w:p>
        </w:tc>
        <w:tc>
          <w:tcPr>
            <w:tcW w:w="6203" w:type="dxa"/>
            <w:shd w:val="clear" w:color="auto" w:fill="auto"/>
          </w:tcPr>
          <w:p w14:paraId="24E38801"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D4A585B" w14:textId="77777777" w:rsidTr="00EC2183">
        <w:tc>
          <w:tcPr>
            <w:tcW w:w="2977" w:type="dxa"/>
            <w:shd w:val="clear" w:color="auto" w:fill="auto"/>
            <w:vAlign w:val="center"/>
          </w:tcPr>
          <w:p w14:paraId="41BF7F68" w14:textId="77777777" w:rsidR="009A40A0" w:rsidRDefault="009A40A0" w:rsidP="00EC2183">
            <w:pPr>
              <w:spacing w:before="40" w:after="40" w:line="240" w:lineRule="auto"/>
              <w:rPr>
                <w:lang w:eastAsia="cs-CZ"/>
              </w:rPr>
            </w:pPr>
            <w:r>
              <w:rPr>
                <w:lang w:eastAsia="cs-CZ"/>
              </w:rPr>
              <w:t>Zapsaný:</w:t>
            </w:r>
          </w:p>
        </w:tc>
        <w:tc>
          <w:tcPr>
            <w:tcW w:w="6203" w:type="dxa"/>
            <w:shd w:val="clear" w:color="auto" w:fill="auto"/>
          </w:tcPr>
          <w:p w14:paraId="6A878D73"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6706EF0B" w14:textId="77777777" w:rsidTr="00EC2183">
        <w:tc>
          <w:tcPr>
            <w:tcW w:w="2977" w:type="dxa"/>
            <w:shd w:val="clear" w:color="auto" w:fill="auto"/>
            <w:vAlign w:val="center"/>
          </w:tcPr>
          <w:p w14:paraId="582C8442" w14:textId="77777777" w:rsidR="009A40A0" w:rsidRDefault="009A40A0" w:rsidP="00EC2183">
            <w:pPr>
              <w:spacing w:before="40" w:after="40" w:line="240" w:lineRule="auto"/>
              <w:rPr>
                <w:lang w:eastAsia="cs-CZ"/>
              </w:rPr>
            </w:pPr>
            <w:r>
              <w:rPr>
                <w:lang w:eastAsia="cs-CZ"/>
              </w:rPr>
              <w:t>Telefon:</w:t>
            </w:r>
          </w:p>
        </w:tc>
        <w:tc>
          <w:tcPr>
            <w:tcW w:w="6203" w:type="dxa"/>
            <w:shd w:val="clear" w:color="auto" w:fill="auto"/>
          </w:tcPr>
          <w:p w14:paraId="3EDAB2B7"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7894A9C0" w14:textId="77777777" w:rsidTr="00EC2183">
        <w:tc>
          <w:tcPr>
            <w:tcW w:w="2977" w:type="dxa"/>
            <w:shd w:val="clear" w:color="auto" w:fill="auto"/>
            <w:vAlign w:val="center"/>
          </w:tcPr>
          <w:p w14:paraId="100D6DAA" w14:textId="77777777" w:rsidR="009A40A0" w:rsidRDefault="009A40A0" w:rsidP="00EC2183">
            <w:pPr>
              <w:spacing w:before="40" w:after="40" w:line="240" w:lineRule="auto"/>
              <w:rPr>
                <w:lang w:eastAsia="cs-CZ"/>
              </w:rPr>
            </w:pPr>
            <w:r>
              <w:rPr>
                <w:lang w:eastAsia="cs-CZ"/>
              </w:rPr>
              <w:t xml:space="preserve">E-mail: </w:t>
            </w:r>
          </w:p>
        </w:tc>
        <w:tc>
          <w:tcPr>
            <w:tcW w:w="6203" w:type="dxa"/>
            <w:shd w:val="clear" w:color="auto" w:fill="auto"/>
          </w:tcPr>
          <w:p w14:paraId="6E34BF1D" w14:textId="77777777" w:rsidR="009A40A0" w:rsidRDefault="009A40A0" w:rsidP="00EC218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9A40A0" w14:paraId="5345A777" w14:textId="77777777" w:rsidTr="00EC2183">
        <w:tc>
          <w:tcPr>
            <w:tcW w:w="2977" w:type="dxa"/>
            <w:shd w:val="clear" w:color="auto" w:fill="auto"/>
            <w:vAlign w:val="center"/>
          </w:tcPr>
          <w:p w14:paraId="7A413271" w14:textId="77777777" w:rsidR="009A40A0" w:rsidRDefault="009A40A0" w:rsidP="00EC2183">
            <w:pPr>
              <w:spacing w:before="40" w:after="40" w:line="240" w:lineRule="auto"/>
              <w:rPr>
                <w:lang w:eastAsia="cs-CZ"/>
              </w:rPr>
            </w:pPr>
            <w:r>
              <w:rPr>
                <w:lang w:eastAsia="cs-CZ"/>
              </w:rPr>
              <w:t>Číslo bankovního účtu:</w:t>
            </w:r>
          </w:p>
        </w:tc>
        <w:tc>
          <w:tcPr>
            <w:tcW w:w="6203" w:type="dxa"/>
            <w:shd w:val="clear" w:color="auto" w:fill="auto"/>
          </w:tcPr>
          <w:p w14:paraId="32391775" w14:textId="77777777" w:rsidR="009A40A0" w:rsidRPr="000E7D16" w:rsidRDefault="009A40A0" w:rsidP="00EC218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2365068" w14:textId="4D1A4815"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32FCA3CC" w14:textId="77777777" w:rsidTr="00EC2183">
        <w:tc>
          <w:tcPr>
            <w:tcW w:w="2977" w:type="dxa"/>
            <w:shd w:val="clear" w:color="auto" w:fill="auto"/>
            <w:vAlign w:val="center"/>
          </w:tcPr>
          <w:p w14:paraId="68B766E4" w14:textId="77777777" w:rsidR="009A40A0" w:rsidRPr="000E7D16" w:rsidRDefault="009A40A0" w:rsidP="00EC218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5EF3331C"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A35A014" w14:textId="77777777" w:rsidTr="00EC2183">
        <w:tc>
          <w:tcPr>
            <w:tcW w:w="2977" w:type="dxa"/>
            <w:shd w:val="clear" w:color="auto" w:fill="auto"/>
            <w:vAlign w:val="center"/>
          </w:tcPr>
          <w:p w14:paraId="21248ECB"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1286D8BE"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9A40A0" w14:paraId="54A6F623" w14:textId="77777777" w:rsidTr="00EC2183">
        <w:tc>
          <w:tcPr>
            <w:tcW w:w="2977" w:type="dxa"/>
            <w:shd w:val="clear" w:color="auto" w:fill="auto"/>
            <w:vAlign w:val="center"/>
          </w:tcPr>
          <w:p w14:paraId="564AFBCD"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5AACDD4" w14:textId="77777777" w:rsidR="009A40A0" w:rsidRDefault="009A40A0" w:rsidP="00EC218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43D786E" w14:textId="2545EAC5" w:rsidR="009A40A0" w:rsidRPr="00BE5EAF" w:rsidRDefault="009A40A0" w:rsidP="009A40A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417D5171" w14:textId="77777777" w:rsidTr="00EC2183">
        <w:tc>
          <w:tcPr>
            <w:tcW w:w="2977" w:type="dxa"/>
            <w:shd w:val="clear" w:color="auto" w:fill="auto"/>
            <w:vAlign w:val="center"/>
          </w:tcPr>
          <w:p w14:paraId="6541D406" w14:textId="77777777" w:rsidR="009A40A0" w:rsidRPr="000E7D16" w:rsidRDefault="009A40A0" w:rsidP="00EC2183">
            <w:pPr>
              <w:spacing w:before="40" w:after="40" w:line="240" w:lineRule="auto"/>
              <w:rPr>
                <w:b/>
                <w:lang w:eastAsia="cs-CZ"/>
              </w:rPr>
            </w:pPr>
            <w:bookmarkStart w:id="17" w:name="_Hlk135239988"/>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6FCFA2"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bookmarkEnd w:id="17"/>
      <w:tr w:rsidR="009A40A0" w14:paraId="6AF3C00C" w14:textId="77777777" w:rsidTr="00EC2183">
        <w:tc>
          <w:tcPr>
            <w:tcW w:w="2977" w:type="dxa"/>
            <w:shd w:val="clear" w:color="auto" w:fill="auto"/>
            <w:vAlign w:val="center"/>
          </w:tcPr>
          <w:p w14:paraId="7FAA42D9" w14:textId="77777777" w:rsidR="009A40A0" w:rsidRDefault="009A40A0" w:rsidP="00EC218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1D38720"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9A40A0" w14:paraId="02E88FD8" w14:textId="77777777" w:rsidTr="00EC2183">
        <w:tc>
          <w:tcPr>
            <w:tcW w:w="2977" w:type="dxa"/>
            <w:shd w:val="clear" w:color="auto" w:fill="auto"/>
            <w:vAlign w:val="center"/>
          </w:tcPr>
          <w:p w14:paraId="241B7C01" w14:textId="77777777" w:rsidR="009A40A0" w:rsidRDefault="009A40A0" w:rsidP="00EC218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D70FEB7" w14:textId="77777777" w:rsidR="009A40A0" w:rsidRDefault="009A40A0" w:rsidP="00EC218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2EE31162" w14:textId="77777777" w:rsidR="009A40A0" w:rsidRDefault="009A40A0" w:rsidP="009A40A0">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9A40A0" w14:paraId="2EDDDE49" w14:textId="77777777" w:rsidTr="00EC2183">
        <w:tc>
          <w:tcPr>
            <w:tcW w:w="2977" w:type="dxa"/>
            <w:shd w:val="clear" w:color="auto" w:fill="auto"/>
            <w:vAlign w:val="center"/>
          </w:tcPr>
          <w:p w14:paraId="581EB41E" w14:textId="77777777" w:rsidR="009A40A0" w:rsidRPr="000E7D16" w:rsidRDefault="009A40A0" w:rsidP="00EC218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CF0D9BC" w14:textId="77777777" w:rsidR="009A40A0" w:rsidRDefault="009A40A0" w:rsidP="00EC218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1CE8569C" w14:textId="77777777" w:rsidR="00101056" w:rsidRPr="00F7128C" w:rsidRDefault="00101056" w:rsidP="00101056">
      <w:pPr>
        <w:keepNext/>
        <w:spacing w:before="240" w:after="60"/>
        <w:outlineLvl w:val="1"/>
        <w:rPr>
          <w:b/>
          <w:sz w:val="24"/>
          <w:lang w:eastAsia="cs-CZ"/>
        </w:rPr>
      </w:pPr>
      <w:r>
        <w:rPr>
          <w:b/>
          <w:sz w:val="24"/>
          <w:lang w:eastAsia="cs-CZ"/>
        </w:rPr>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101056" w:rsidRPr="00F7128C" w14:paraId="4C6CE2C8" w14:textId="77777777" w:rsidTr="008E07C7">
        <w:tc>
          <w:tcPr>
            <w:tcW w:w="5841" w:type="dxa"/>
            <w:shd w:val="clear" w:color="auto" w:fill="auto"/>
            <w:vAlign w:val="center"/>
          </w:tcPr>
          <w:p w14:paraId="184F6808" w14:textId="64939C11" w:rsidR="00101056" w:rsidRPr="00F7128C" w:rsidRDefault="00101056" w:rsidP="008E07C7">
            <w:pPr>
              <w:spacing w:before="60" w:after="60" w:line="240" w:lineRule="auto"/>
              <w:rPr>
                <w:b/>
                <w:lang w:eastAsia="cs-CZ"/>
              </w:rPr>
            </w:pPr>
            <w:r>
              <w:rPr>
                <w:rFonts w:ascii="Calibri" w:hAnsi="Calibri" w:cs="Calibri"/>
                <w:color w:val="000000"/>
              </w:rPr>
              <w:t>C</w:t>
            </w:r>
            <w:r w:rsidRPr="00326A38">
              <w:rPr>
                <w:rFonts w:ascii="Calibri" w:hAnsi="Calibri" w:cs="Calibri"/>
                <w:color w:val="000000"/>
              </w:rPr>
              <w:t>ena přičítacího koeficientu</w:t>
            </w:r>
            <w:r>
              <w:rPr>
                <w:rFonts w:ascii="Calibri" w:hAnsi="Calibri" w:cs="Calibri"/>
                <w:color w:val="000000"/>
              </w:rPr>
              <w:t xml:space="preserve"> </w:t>
            </w:r>
            <w:r w:rsidRPr="00326A38">
              <w:rPr>
                <w:rFonts w:ascii="Calibri" w:hAnsi="Calibri" w:cs="Calibri"/>
                <w:color w:val="000000"/>
              </w:rPr>
              <w:t>za dodávku 1</w:t>
            </w:r>
            <w:r>
              <w:rPr>
                <w:rFonts w:ascii="Calibri" w:hAnsi="Calibri" w:cs="Calibri"/>
                <w:color w:val="000000"/>
              </w:rPr>
              <w:t> </w:t>
            </w:r>
            <w:r w:rsidRPr="00326A38">
              <w:rPr>
                <w:rFonts w:ascii="Calibri" w:hAnsi="Calibri" w:cs="Calibri"/>
                <w:color w:val="000000"/>
              </w:rPr>
              <w:t>MWh silové elektřiny</w:t>
            </w:r>
            <w:r w:rsidR="00AB6D1E">
              <w:rPr>
                <w:rFonts w:ascii="Calibri" w:hAnsi="Calibri" w:cs="Calibri"/>
                <w:color w:val="000000"/>
              </w:rPr>
              <w:t>*</w:t>
            </w:r>
          </w:p>
        </w:tc>
        <w:tc>
          <w:tcPr>
            <w:tcW w:w="3339" w:type="dxa"/>
            <w:shd w:val="clear" w:color="auto" w:fill="auto"/>
            <w:vAlign w:val="center"/>
          </w:tcPr>
          <w:p w14:paraId="3956A7B7" w14:textId="77777777" w:rsidR="00101056" w:rsidRPr="00F7128C" w:rsidRDefault="00101056" w:rsidP="008E07C7">
            <w:pPr>
              <w:spacing w:before="60" w:after="60" w:line="240" w:lineRule="auto"/>
              <w:rPr>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Pr>
                <w:rFonts w:eastAsia="Times New Roman" w:cs="Arial"/>
                <w:lang w:eastAsia="cs-CZ"/>
              </w:rPr>
              <w:t>,-</w:t>
            </w:r>
            <w:r w:rsidRPr="00F7128C">
              <w:rPr>
                <w:rFonts w:eastAsia="Times New Roman" w:cs="Arial"/>
                <w:lang w:eastAsia="cs-CZ"/>
              </w:rPr>
              <w:t xml:space="preserve"> </w:t>
            </w:r>
            <w:r w:rsidRPr="00937059">
              <w:rPr>
                <w:rFonts w:eastAsia="Times New Roman" w:cs="Arial"/>
                <w:lang w:eastAsia="cs-CZ"/>
              </w:rPr>
              <w:t>Kč bez DPH</w:t>
            </w:r>
          </w:p>
        </w:tc>
      </w:tr>
      <w:tr w:rsidR="00CE2242" w:rsidRPr="00F7128C" w14:paraId="5BB521A2" w14:textId="77777777" w:rsidTr="00CE2242">
        <w:tc>
          <w:tcPr>
            <w:tcW w:w="5841"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3526AC8" w14:textId="7DD4A2F0" w:rsidR="00CE2242" w:rsidRPr="00CE2242" w:rsidRDefault="00AB6D1E" w:rsidP="008E07C7">
            <w:pPr>
              <w:spacing w:before="60" w:after="60" w:line="240" w:lineRule="auto"/>
              <w:rPr>
                <w:rFonts w:ascii="Calibri" w:hAnsi="Calibri" w:cs="Calibri"/>
                <w:color w:val="000000"/>
              </w:rPr>
            </w:pPr>
            <w:r>
              <w:rPr>
                <w:rFonts w:ascii="Calibri" w:hAnsi="Calibri" w:cs="Calibri"/>
                <w:color w:val="000000"/>
              </w:rPr>
              <w:t>Stálý měsíční plat v Kč bez DPH za 1 odběrné místo a 1 měsíc</w:t>
            </w:r>
          </w:p>
        </w:tc>
        <w:tc>
          <w:tcPr>
            <w:tcW w:w="3339"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BD73FBE" w14:textId="77777777" w:rsidR="00CE2242" w:rsidRPr="00CE2242" w:rsidRDefault="00CE2242" w:rsidP="008E07C7">
            <w:pPr>
              <w:spacing w:before="60" w:after="60" w:line="240" w:lineRule="auto"/>
              <w:rPr>
                <w:rFonts w:eastAsia="Times New Roman" w:cs="Arial"/>
                <w:highlight w:val="green"/>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sidRPr="00CE2242">
              <w:rPr>
                <w:rFonts w:eastAsia="Times New Roman" w:cs="Arial"/>
                <w:lang w:eastAsia="cs-CZ"/>
              </w:rPr>
              <w:t>,- Kč bez DPH</w:t>
            </w:r>
          </w:p>
        </w:tc>
      </w:tr>
      <w:tr w:rsidR="002A5052" w:rsidRPr="00F7128C" w14:paraId="47B29FEF" w14:textId="77777777" w:rsidTr="00CE2242">
        <w:tc>
          <w:tcPr>
            <w:tcW w:w="5841"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771B1A1" w14:textId="2FDBCEDD" w:rsidR="002A5052" w:rsidRPr="00AB6D1E" w:rsidRDefault="002A5052" w:rsidP="002A5052">
            <w:pPr>
              <w:spacing w:before="60" w:after="60" w:line="240" w:lineRule="auto"/>
              <w:rPr>
                <w:rFonts w:ascii="Calibri" w:hAnsi="Calibri" w:cs="Calibri"/>
                <w:color w:val="000000"/>
              </w:rPr>
            </w:pPr>
            <w:r w:rsidRPr="00AB6D1E">
              <w:t>Celková výše stálého měsíčního platu v Kč bez DPH</w:t>
            </w:r>
            <w:r>
              <w:t xml:space="preserve"> (za 20 odběrných míst a 12 měsíců trvání smlouvy)*</w:t>
            </w:r>
          </w:p>
        </w:tc>
        <w:tc>
          <w:tcPr>
            <w:tcW w:w="3339"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FB82D67" w14:textId="04B7EA05" w:rsidR="002A5052" w:rsidRPr="00F7128C" w:rsidRDefault="002A5052" w:rsidP="002A5052">
            <w:pPr>
              <w:spacing w:before="60" w:after="60" w:line="240" w:lineRule="auto"/>
              <w:rPr>
                <w:rFonts w:eastAsia="Times New Roman" w:cs="Arial"/>
                <w:highlight w:val="green"/>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Pr>
                <w:rFonts w:eastAsia="Times New Roman" w:cs="Arial"/>
                <w:lang w:eastAsia="cs-CZ"/>
              </w:rPr>
              <w:t>,-</w:t>
            </w:r>
            <w:r w:rsidRPr="00F7128C">
              <w:rPr>
                <w:rFonts w:eastAsia="Times New Roman" w:cs="Arial"/>
                <w:lang w:eastAsia="cs-CZ"/>
              </w:rPr>
              <w:t xml:space="preserve"> </w:t>
            </w:r>
            <w:r w:rsidRPr="00937059">
              <w:rPr>
                <w:rFonts w:eastAsia="Times New Roman" w:cs="Arial"/>
                <w:lang w:eastAsia="cs-CZ"/>
              </w:rPr>
              <w:t>Kč bez DPH</w:t>
            </w:r>
          </w:p>
        </w:tc>
      </w:tr>
    </w:tbl>
    <w:p w14:paraId="0ABA01EB" w14:textId="606FEB80" w:rsidR="00101056" w:rsidRPr="002A5052" w:rsidRDefault="00A76620" w:rsidP="009A40A0">
      <w:pPr>
        <w:widowControl w:val="0"/>
        <w:autoSpaceDE w:val="0"/>
        <w:autoSpaceDN w:val="0"/>
        <w:adjustRightInd w:val="0"/>
        <w:spacing w:before="120"/>
        <w:outlineLvl w:val="0"/>
        <w:rPr>
          <w:i/>
          <w:iCs/>
          <w:lang w:eastAsia="cs-CZ"/>
        </w:rPr>
      </w:pPr>
      <w:r w:rsidRPr="002A5052">
        <w:rPr>
          <w:i/>
          <w:iCs/>
          <w:lang w:eastAsia="cs-CZ"/>
        </w:rPr>
        <w:t>*</w:t>
      </w:r>
      <w:r w:rsidR="002A5052">
        <w:rPr>
          <w:i/>
          <w:iCs/>
          <w:lang w:eastAsia="cs-CZ"/>
        </w:rPr>
        <w:t>Údaje označeny * jsou předmětem hodnocení nabídek</w:t>
      </w:r>
    </w:p>
    <w:p w14:paraId="34541D07" w14:textId="4624BED6" w:rsidR="009A40A0" w:rsidRPr="00997F1E" w:rsidRDefault="009A40A0" w:rsidP="009A40A0">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537FED66" w14:textId="1D852026" w:rsidR="00D13B9F" w:rsidRPr="00F7128C" w:rsidRDefault="00D13B9F" w:rsidP="00D13B9F">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sidR="00354BAB">
        <w:rPr>
          <w:rFonts w:eastAsia="Times New Roman" w:cs="Arial"/>
          <w:lang w:eastAsia="cs-CZ"/>
        </w:rPr>
        <w:t xml:space="preserve">Výzvy </w:t>
      </w:r>
      <w:r w:rsidRPr="00F7128C">
        <w:rPr>
          <w:rFonts w:eastAsia="Times New Roman" w:cs="Arial"/>
          <w:lang w:eastAsia="cs-CZ"/>
        </w:rPr>
        <w:t xml:space="preserve">na zakázku s názvem </w:t>
      </w:r>
      <w:r w:rsidRPr="00F7128C">
        <w:rPr>
          <w:rFonts w:eastAsia="Times New Roman" w:cs="Arial"/>
          <w:i/>
          <w:iCs/>
          <w:lang w:eastAsia="cs-CZ"/>
        </w:rPr>
        <w:t>„</w:t>
      </w:r>
      <w:r>
        <w:rPr>
          <w:rFonts w:eastAsia="Times New Roman" w:cs="Arial"/>
          <w:b/>
          <w:i/>
          <w:iCs/>
          <w:lang w:eastAsia="cs-CZ"/>
        </w:rPr>
        <w:t>Dodávky elektrické energie na rok 202</w:t>
      </w:r>
      <w:r w:rsidR="00354BAB">
        <w:rPr>
          <w:rFonts w:eastAsia="Times New Roman" w:cs="Arial"/>
          <w:b/>
          <w:i/>
          <w:iCs/>
          <w:lang w:eastAsia="cs-CZ"/>
        </w:rPr>
        <w:t>4</w:t>
      </w:r>
      <w:r w:rsidRPr="00F7128C">
        <w:rPr>
          <w:rFonts w:eastAsia="Times New Roman" w:cs="Arial"/>
          <w:i/>
          <w:iCs/>
          <w:lang w:eastAsia="cs-CZ"/>
        </w:rPr>
        <w:t>“</w:t>
      </w:r>
      <w:r w:rsidRPr="00F7128C">
        <w:rPr>
          <w:rFonts w:eastAsia="Times New Roman" w:cs="Arial"/>
          <w:lang w:eastAsia="cs-CZ"/>
        </w:rPr>
        <w:t xml:space="preserve"> a podáním této nabídky akceptujeme všechny obchodní, technické a další podmínky uvedené v</w:t>
      </w:r>
      <w:r w:rsidR="00354BAB">
        <w:rPr>
          <w:rFonts w:eastAsia="Times New Roman" w:cs="Arial"/>
          <w:lang w:eastAsia="cs-CZ"/>
        </w:rPr>
        <w:t xml:space="preserve">e Výzvě </w:t>
      </w:r>
      <w:r w:rsidRPr="00F7128C">
        <w:rPr>
          <w:rFonts w:eastAsia="Times New Roman" w:cs="Arial"/>
          <w:lang w:eastAsia="cs-CZ"/>
        </w:rPr>
        <w:t xml:space="preserve">tohoto </w:t>
      </w:r>
      <w:r w:rsidR="00354BAB">
        <w:rPr>
          <w:rFonts w:eastAsia="Times New Roman" w:cs="Arial"/>
          <w:lang w:eastAsia="cs-CZ"/>
        </w:rPr>
        <w:t xml:space="preserve">výběrového </w:t>
      </w:r>
      <w:r w:rsidRPr="00F7128C">
        <w:rPr>
          <w:rFonts w:eastAsia="Times New Roman" w:cs="Arial"/>
          <w:lang w:eastAsia="cs-CZ"/>
        </w:rPr>
        <w:t xml:space="preserve">řízení. </w:t>
      </w:r>
    </w:p>
    <w:p w14:paraId="52B70927"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52E6ED6A" w14:textId="5F7C8C48" w:rsidR="009A40A0" w:rsidRDefault="009A40A0" w:rsidP="009A40A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002EE9F5"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22D20571"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6E2784AF" w14:textId="77777777" w:rsidR="009A40A0" w:rsidRDefault="009A40A0" w:rsidP="009A40A0">
      <w:pPr>
        <w:widowControl w:val="0"/>
        <w:autoSpaceDE w:val="0"/>
        <w:autoSpaceDN w:val="0"/>
        <w:adjustRightInd w:val="0"/>
        <w:spacing w:after="0"/>
        <w:outlineLvl w:val="0"/>
        <w:rPr>
          <w:rFonts w:eastAsia="Times New Roman" w:cs="Arial"/>
          <w:lang w:eastAsia="cs-CZ"/>
        </w:rPr>
      </w:pPr>
    </w:p>
    <w:p w14:paraId="7D1A247B" w14:textId="77777777" w:rsidR="009A40A0" w:rsidRPr="005F305F" w:rsidRDefault="009A40A0" w:rsidP="009A40A0">
      <w:pPr>
        <w:spacing w:after="0"/>
        <w:rPr>
          <w:rFonts w:cs="Arial"/>
          <w:szCs w:val="20"/>
        </w:rPr>
      </w:pPr>
      <w:r w:rsidRPr="005F305F">
        <w:rPr>
          <w:rFonts w:cs="Arial"/>
          <w:szCs w:val="20"/>
        </w:rPr>
        <w:t>_______________________________________</w:t>
      </w:r>
    </w:p>
    <w:p w14:paraId="6EF68D13" w14:textId="5521C629" w:rsidR="009A40A0" w:rsidRPr="00235F07" w:rsidRDefault="009A40A0" w:rsidP="009A40A0">
      <w:pPr>
        <w:spacing w:after="0"/>
        <w:rPr>
          <w:rFonts w:cs="Arial"/>
          <w:b/>
          <w:szCs w:val="20"/>
          <w:highlight w:val="green"/>
        </w:rPr>
      </w:pPr>
      <w:r w:rsidRPr="00235F07">
        <w:rPr>
          <w:rFonts w:cs="Arial"/>
          <w:szCs w:val="20"/>
          <w:highlight w:val="green"/>
        </w:rPr>
        <w:t>[</w:t>
      </w:r>
      <w:r w:rsidRPr="00235F07">
        <w:rPr>
          <w:rFonts w:cs="Arial"/>
          <w:b/>
          <w:szCs w:val="20"/>
          <w:highlight w:val="green"/>
        </w:rPr>
        <w:t xml:space="preserve">název </w:t>
      </w:r>
      <w:r w:rsidR="00235F07" w:rsidRPr="00235F07">
        <w:rPr>
          <w:rFonts w:cs="Arial"/>
          <w:b/>
          <w:szCs w:val="20"/>
          <w:highlight w:val="green"/>
        </w:rPr>
        <w:t>účastníka</w:t>
      </w:r>
      <w:r w:rsidR="00235F07"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038EFEA1" w14:textId="7241D99F" w:rsidR="009A40A0" w:rsidRPr="00235F07" w:rsidRDefault="009A40A0" w:rsidP="009A40A0">
      <w:pPr>
        <w:spacing w:after="0"/>
        <w:rPr>
          <w:rFonts w:cs="Arial"/>
          <w:szCs w:val="20"/>
          <w:highlight w:val="green"/>
        </w:rPr>
      </w:pPr>
      <w:r w:rsidRPr="00235F07">
        <w:rPr>
          <w:rFonts w:cs="Arial"/>
          <w:szCs w:val="20"/>
          <w:highlight w:val="green"/>
        </w:rPr>
        <w:t xml:space="preserve">[jméno a příjmení osoby oprávněné jednat jménem nebo za </w:t>
      </w:r>
      <w:r w:rsidR="00235F07" w:rsidRPr="00235F07">
        <w:rPr>
          <w:rFonts w:cs="Arial"/>
          <w:szCs w:val="20"/>
          <w:highlight w:val="green"/>
        </w:rPr>
        <w:t>účastníka – DOPLNÍ</w:t>
      </w:r>
      <w:r w:rsidRPr="00235F07">
        <w:rPr>
          <w:rFonts w:eastAsia="Times New Roman" w:cs="Arial"/>
          <w:highlight w:val="green"/>
          <w:lang w:eastAsia="cs-CZ"/>
        </w:rPr>
        <w:t xml:space="preserve"> DODAVATEL</w:t>
      </w:r>
      <w:r w:rsidRPr="00235F07">
        <w:rPr>
          <w:rFonts w:cs="Arial"/>
          <w:szCs w:val="20"/>
          <w:highlight w:val="green"/>
        </w:rPr>
        <w:t>]</w:t>
      </w:r>
    </w:p>
    <w:p w14:paraId="1FCB092F" w14:textId="1E26E5D9" w:rsidR="009A40A0" w:rsidRPr="005F305F" w:rsidRDefault="009A40A0" w:rsidP="009A40A0">
      <w:pPr>
        <w:widowControl w:val="0"/>
        <w:autoSpaceDE w:val="0"/>
        <w:autoSpaceDN w:val="0"/>
        <w:adjustRightInd w:val="0"/>
        <w:spacing w:after="0"/>
        <w:rPr>
          <w:rFonts w:cs="Arial"/>
        </w:rPr>
      </w:pPr>
      <w:r w:rsidRPr="00235F07">
        <w:rPr>
          <w:rFonts w:cs="Arial"/>
          <w:szCs w:val="20"/>
          <w:highlight w:val="green"/>
        </w:rPr>
        <w:t xml:space="preserve">[funkce nebo </w:t>
      </w:r>
      <w:r w:rsidR="00235F07" w:rsidRPr="00235F07">
        <w:rPr>
          <w:rFonts w:cs="Arial"/>
          <w:szCs w:val="20"/>
          <w:highlight w:val="green"/>
        </w:rPr>
        <w:t>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383A56BC" w14:textId="0898B93F" w:rsidR="003B573F" w:rsidRDefault="009A40A0">
      <w:pPr>
        <w:spacing w:after="200"/>
        <w:jc w:val="left"/>
      </w:pPr>
      <w:r>
        <w:br w:type="page"/>
      </w:r>
    </w:p>
    <w:p w14:paraId="061370CF" w14:textId="06EA4476" w:rsidR="003B573F" w:rsidRDefault="003B573F" w:rsidP="003B573F">
      <w:pPr>
        <w:pStyle w:val="slovn"/>
        <w:numPr>
          <w:ilvl w:val="0"/>
          <w:numId w:val="0"/>
        </w:numPr>
        <w:spacing w:after="0"/>
        <w:rPr>
          <w:rFonts w:cstheme="minorHAnsi"/>
          <w:b/>
          <w:bCs/>
        </w:rPr>
      </w:pPr>
      <w:r>
        <w:rPr>
          <w:rFonts w:cstheme="minorHAnsi"/>
          <w:b/>
          <w:bCs/>
        </w:rPr>
        <w:lastRenderedPageBreak/>
        <w:t>Příloha č. 1</w:t>
      </w:r>
      <w:r w:rsidR="00737042">
        <w:rPr>
          <w:rFonts w:cstheme="minorHAnsi"/>
          <w:b/>
          <w:bCs/>
        </w:rPr>
        <w:t>b</w:t>
      </w:r>
    </w:p>
    <w:p w14:paraId="32DB7B8F" w14:textId="77777777" w:rsidR="003B573F" w:rsidRPr="000D0AD3" w:rsidRDefault="003B573F" w:rsidP="003B573F">
      <w:pPr>
        <w:spacing w:before="360"/>
        <w:contextualSpacing/>
        <w:jc w:val="center"/>
        <w:rPr>
          <w:b/>
          <w:sz w:val="40"/>
        </w:rPr>
      </w:pPr>
      <w:r w:rsidRPr="000D0AD3">
        <w:rPr>
          <w:b/>
          <w:sz w:val="40"/>
        </w:rPr>
        <w:t>KRYCÍ LIST NABÍDKY</w:t>
      </w:r>
      <w:r>
        <w:rPr>
          <w:rStyle w:val="Znakapoznpodarou"/>
          <w:b/>
          <w:sz w:val="40"/>
        </w:rPr>
        <w:footnoteReference w:id="4"/>
      </w:r>
    </w:p>
    <w:p w14:paraId="291FE5EE" w14:textId="77777777" w:rsidR="003B573F" w:rsidRPr="006E0B8E" w:rsidRDefault="003B573F" w:rsidP="003B573F">
      <w:pPr>
        <w:jc w:val="center"/>
        <w:rPr>
          <w:rFonts w:eastAsia="Times New Roman" w:cs="Arial"/>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w:t>
      </w:r>
      <w:r w:rsidRPr="006E0B8E">
        <w:rPr>
          <w:rFonts w:eastAsia="Times New Roman" w:cs="Arial"/>
          <w:szCs w:val="24"/>
          <w:lang w:eastAsia="cs-CZ"/>
        </w:rPr>
        <w:t xml:space="preserve"> </w:t>
      </w:r>
    </w:p>
    <w:p w14:paraId="47C4B227" w14:textId="77777777" w:rsidR="003B573F" w:rsidRDefault="003B573F" w:rsidP="003B573F">
      <w:pPr>
        <w:jc w:val="center"/>
        <w:rPr>
          <w:b/>
          <w:caps/>
          <w:color w:val="E36C0A" w:themeColor="accent6" w:themeShade="BF"/>
          <w:sz w:val="40"/>
        </w:rPr>
      </w:pPr>
      <w:r>
        <w:rPr>
          <w:b/>
          <w:caps/>
          <w:color w:val="E36C0A" w:themeColor="accent6" w:themeShade="BF"/>
          <w:sz w:val="40"/>
        </w:rPr>
        <w:t>dodávka ELEKTRICKÉ ENERGIE NA ROK 2024</w:t>
      </w:r>
    </w:p>
    <w:p w14:paraId="1770ED05" w14:textId="63F7F995" w:rsidR="00737042" w:rsidRDefault="00737042" w:rsidP="003B573F">
      <w:pPr>
        <w:jc w:val="center"/>
        <w:rPr>
          <w:b/>
          <w:caps/>
          <w:color w:val="E36C0A" w:themeColor="accent6" w:themeShade="BF"/>
          <w:sz w:val="40"/>
        </w:rPr>
      </w:pPr>
      <w:r>
        <w:rPr>
          <w:b/>
          <w:caps/>
          <w:color w:val="E36C0A" w:themeColor="accent6" w:themeShade="BF"/>
          <w:sz w:val="40"/>
        </w:rPr>
        <w:t>část 2 – vysoké napětí - VN</w:t>
      </w:r>
    </w:p>
    <w:p w14:paraId="5FF36213" w14:textId="77777777" w:rsidR="003B573F" w:rsidRPr="005F305F" w:rsidRDefault="003B573F" w:rsidP="003B573F">
      <w:pPr>
        <w:tabs>
          <w:tab w:val="left" w:pos="1276"/>
        </w:tabs>
        <w:spacing w:before="36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17065FED" w14:textId="77777777" w:rsidR="003B573F" w:rsidRPr="005F305F" w:rsidRDefault="003B573F" w:rsidP="003B573F">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A9AC596" w14:textId="77777777" w:rsidR="003B573F" w:rsidRPr="00580784" w:rsidRDefault="003B573F" w:rsidP="003B573F">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4E9AF810" w14:textId="77777777" w:rsidR="003B573F" w:rsidRDefault="003B573F" w:rsidP="003B573F">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1BF370F4" w14:textId="77777777" w:rsidTr="007D4273">
        <w:tc>
          <w:tcPr>
            <w:tcW w:w="2977" w:type="dxa"/>
            <w:shd w:val="clear" w:color="auto" w:fill="auto"/>
            <w:vAlign w:val="center"/>
          </w:tcPr>
          <w:p w14:paraId="2A2B5F39" w14:textId="77777777" w:rsidR="003B573F" w:rsidRPr="000E7D16" w:rsidRDefault="003B573F" w:rsidP="007D4273">
            <w:pPr>
              <w:spacing w:before="40" w:after="40" w:line="240" w:lineRule="auto"/>
              <w:rPr>
                <w:b/>
                <w:lang w:eastAsia="cs-CZ"/>
              </w:rPr>
            </w:pPr>
            <w:r w:rsidRPr="000E7D16">
              <w:rPr>
                <w:b/>
                <w:lang w:eastAsia="cs-CZ"/>
              </w:rPr>
              <w:t>Účastník:</w:t>
            </w:r>
          </w:p>
        </w:tc>
        <w:tc>
          <w:tcPr>
            <w:tcW w:w="6203" w:type="dxa"/>
            <w:shd w:val="clear" w:color="auto" w:fill="auto"/>
            <w:vAlign w:val="center"/>
          </w:tcPr>
          <w:p w14:paraId="5CF0C647" w14:textId="77777777" w:rsidR="003B573F" w:rsidRPr="001A50E0" w:rsidRDefault="003B573F" w:rsidP="007D4273">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3B573F" w14:paraId="46B52429" w14:textId="77777777" w:rsidTr="007D4273">
        <w:tc>
          <w:tcPr>
            <w:tcW w:w="2977" w:type="dxa"/>
            <w:shd w:val="clear" w:color="auto" w:fill="auto"/>
            <w:vAlign w:val="center"/>
          </w:tcPr>
          <w:p w14:paraId="65410E57" w14:textId="77777777" w:rsidR="003B573F" w:rsidRDefault="003B573F" w:rsidP="007D4273">
            <w:pPr>
              <w:spacing w:before="40" w:after="40" w:line="240" w:lineRule="auto"/>
              <w:rPr>
                <w:lang w:eastAsia="cs-CZ"/>
              </w:rPr>
            </w:pPr>
            <w:r>
              <w:rPr>
                <w:lang w:eastAsia="cs-CZ"/>
              </w:rPr>
              <w:t>IČ:</w:t>
            </w:r>
          </w:p>
        </w:tc>
        <w:tc>
          <w:tcPr>
            <w:tcW w:w="6203" w:type="dxa"/>
            <w:shd w:val="clear" w:color="auto" w:fill="auto"/>
          </w:tcPr>
          <w:p w14:paraId="0BD0074F"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53F77608" w14:textId="77777777" w:rsidTr="007D4273">
        <w:tc>
          <w:tcPr>
            <w:tcW w:w="2977" w:type="dxa"/>
            <w:shd w:val="clear" w:color="auto" w:fill="auto"/>
            <w:vAlign w:val="center"/>
          </w:tcPr>
          <w:p w14:paraId="2E391728" w14:textId="77777777" w:rsidR="003B573F" w:rsidRDefault="003B573F" w:rsidP="007D4273">
            <w:pPr>
              <w:spacing w:before="40" w:after="40" w:line="240" w:lineRule="auto"/>
              <w:rPr>
                <w:lang w:eastAsia="cs-CZ"/>
              </w:rPr>
            </w:pPr>
            <w:r>
              <w:rPr>
                <w:lang w:eastAsia="cs-CZ"/>
              </w:rPr>
              <w:t>DIČ:</w:t>
            </w:r>
          </w:p>
        </w:tc>
        <w:tc>
          <w:tcPr>
            <w:tcW w:w="6203" w:type="dxa"/>
            <w:shd w:val="clear" w:color="auto" w:fill="auto"/>
          </w:tcPr>
          <w:p w14:paraId="5F3A2056"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394DC888" w14:textId="77777777" w:rsidTr="007D4273">
        <w:tc>
          <w:tcPr>
            <w:tcW w:w="2977" w:type="dxa"/>
            <w:shd w:val="clear" w:color="auto" w:fill="auto"/>
            <w:vAlign w:val="center"/>
          </w:tcPr>
          <w:p w14:paraId="5777F53C" w14:textId="77777777" w:rsidR="003B573F" w:rsidRDefault="003B573F" w:rsidP="007D4273">
            <w:pPr>
              <w:spacing w:before="40" w:after="40" w:line="240" w:lineRule="auto"/>
              <w:rPr>
                <w:lang w:eastAsia="cs-CZ"/>
              </w:rPr>
            </w:pPr>
            <w:r>
              <w:rPr>
                <w:lang w:eastAsia="cs-CZ"/>
              </w:rPr>
              <w:t>Sídlo:</w:t>
            </w:r>
          </w:p>
        </w:tc>
        <w:tc>
          <w:tcPr>
            <w:tcW w:w="6203" w:type="dxa"/>
            <w:shd w:val="clear" w:color="auto" w:fill="auto"/>
          </w:tcPr>
          <w:p w14:paraId="3007E0F4"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0C8322CF" w14:textId="77777777" w:rsidTr="007D4273">
        <w:tc>
          <w:tcPr>
            <w:tcW w:w="2977" w:type="dxa"/>
            <w:shd w:val="clear" w:color="auto" w:fill="auto"/>
            <w:vAlign w:val="center"/>
          </w:tcPr>
          <w:p w14:paraId="7812E5B7" w14:textId="77777777" w:rsidR="003B573F" w:rsidRDefault="003B573F" w:rsidP="007D4273">
            <w:pPr>
              <w:spacing w:before="40" w:after="40" w:line="240" w:lineRule="auto"/>
              <w:rPr>
                <w:lang w:eastAsia="cs-CZ"/>
              </w:rPr>
            </w:pPr>
            <w:r>
              <w:rPr>
                <w:lang w:eastAsia="cs-CZ"/>
              </w:rPr>
              <w:t>Zastoupený:</w:t>
            </w:r>
          </w:p>
        </w:tc>
        <w:tc>
          <w:tcPr>
            <w:tcW w:w="6203" w:type="dxa"/>
            <w:shd w:val="clear" w:color="auto" w:fill="auto"/>
          </w:tcPr>
          <w:p w14:paraId="0803954B"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32078A72" w14:textId="77777777" w:rsidTr="007D4273">
        <w:tc>
          <w:tcPr>
            <w:tcW w:w="2977" w:type="dxa"/>
            <w:shd w:val="clear" w:color="auto" w:fill="auto"/>
            <w:vAlign w:val="center"/>
          </w:tcPr>
          <w:p w14:paraId="1DDB1A65" w14:textId="77777777" w:rsidR="003B573F" w:rsidRDefault="003B573F" w:rsidP="007D4273">
            <w:pPr>
              <w:spacing w:before="40" w:after="40" w:line="240" w:lineRule="auto"/>
              <w:rPr>
                <w:lang w:eastAsia="cs-CZ"/>
              </w:rPr>
            </w:pPr>
            <w:r>
              <w:rPr>
                <w:lang w:eastAsia="cs-CZ"/>
              </w:rPr>
              <w:t>Zapsaný:</w:t>
            </w:r>
          </w:p>
        </w:tc>
        <w:tc>
          <w:tcPr>
            <w:tcW w:w="6203" w:type="dxa"/>
            <w:shd w:val="clear" w:color="auto" w:fill="auto"/>
          </w:tcPr>
          <w:p w14:paraId="79905B32"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229E3688" w14:textId="77777777" w:rsidTr="007D4273">
        <w:tc>
          <w:tcPr>
            <w:tcW w:w="2977" w:type="dxa"/>
            <w:shd w:val="clear" w:color="auto" w:fill="auto"/>
            <w:vAlign w:val="center"/>
          </w:tcPr>
          <w:p w14:paraId="665705DD" w14:textId="77777777" w:rsidR="003B573F" w:rsidRDefault="003B573F" w:rsidP="007D4273">
            <w:pPr>
              <w:spacing w:before="40" w:after="40" w:line="240" w:lineRule="auto"/>
              <w:rPr>
                <w:lang w:eastAsia="cs-CZ"/>
              </w:rPr>
            </w:pPr>
            <w:r>
              <w:rPr>
                <w:lang w:eastAsia="cs-CZ"/>
              </w:rPr>
              <w:t>Telefon:</w:t>
            </w:r>
          </w:p>
        </w:tc>
        <w:tc>
          <w:tcPr>
            <w:tcW w:w="6203" w:type="dxa"/>
            <w:shd w:val="clear" w:color="auto" w:fill="auto"/>
          </w:tcPr>
          <w:p w14:paraId="3388CFF2"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4B18F067" w14:textId="77777777" w:rsidTr="007D4273">
        <w:tc>
          <w:tcPr>
            <w:tcW w:w="2977" w:type="dxa"/>
            <w:shd w:val="clear" w:color="auto" w:fill="auto"/>
            <w:vAlign w:val="center"/>
          </w:tcPr>
          <w:p w14:paraId="2A9EBB0D" w14:textId="77777777" w:rsidR="003B573F" w:rsidRDefault="003B573F" w:rsidP="007D4273">
            <w:pPr>
              <w:spacing w:before="40" w:after="40" w:line="240" w:lineRule="auto"/>
              <w:rPr>
                <w:lang w:eastAsia="cs-CZ"/>
              </w:rPr>
            </w:pPr>
            <w:r>
              <w:rPr>
                <w:lang w:eastAsia="cs-CZ"/>
              </w:rPr>
              <w:t xml:space="preserve">E-mail: </w:t>
            </w:r>
          </w:p>
        </w:tc>
        <w:tc>
          <w:tcPr>
            <w:tcW w:w="6203" w:type="dxa"/>
            <w:shd w:val="clear" w:color="auto" w:fill="auto"/>
          </w:tcPr>
          <w:p w14:paraId="267AABAE" w14:textId="77777777" w:rsidR="003B573F" w:rsidRDefault="003B573F" w:rsidP="007D4273">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3B573F" w14:paraId="28CC0509" w14:textId="77777777" w:rsidTr="007D4273">
        <w:tc>
          <w:tcPr>
            <w:tcW w:w="2977" w:type="dxa"/>
            <w:shd w:val="clear" w:color="auto" w:fill="auto"/>
            <w:vAlign w:val="center"/>
          </w:tcPr>
          <w:p w14:paraId="16CB701E" w14:textId="77777777" w:rsidR="003B573F" w:rsidRDefault="003B573F" w:rsidP="007D4273">
            <w:pPr>
              <w:spacing w:before="40" w:after="40" w:line="240" w:lineRule="auto"/>
              <w:rPr>
                <w:lang w:eastAsia="cs-CZ"/>
              </w:rPr>
            </w:pPr>
            <w:r>
              <w:rPr>
                <w:lang w:eastAsia="cs-CZ"/>
              </w:rPr>
              <w:t>Číslo bankovního účtu:</w:t>
            </w:r>
          </w:p>
        </w:tc>
        <w:tc>
          <w:tcPr>
            <w:tcW w:w="6203" w:type="dxa"/>
            <w:shd w:val="clear" w:color="auto" w:fill="auto"/>
          </w:tcPr>
          <w:p w14:paraId="1598FA6E" w14:textId="77777777" w:rsidR="003B573F" w:rsidRPr="000E7D16" w:rsidRDefault="003B573F" w:rsidP="007D4273">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70941533" w14:textId="77777777" w:rsidR="003B573F" w:rsidRPr="00BE5EAF" w:rsidRDefault="003B573F" w:rsidP="003B573F">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58EC221A" w14:textId="77777777" w:rsidTr="007D4273">
        <w:tc>
          <w:tcPr>
            <w:tcW w:w="2977" w:type="dxa"/>
            <w:shd w:val="clear" w:color="auto" w:fill="auto"/>
            <w:vAlign w:val="center"/>
          </w:tcPr>
          <w:p w14:paraId="7BFE3398" w14:textId="77777777" w:rsidR="003B573F" w:rsidRPr="000E7D16" w:rsidRDefault="003B573F" w:rsidP="007D427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620E47FA"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3B573F" w14:paraId="5C53BF6A" w14:textId="77777777" w:rsidTr="007D4273">
        <w:tc>
          <w:tcPr>
            <w:tcW w:w="2977" w:type="dxa"/>
            <w:shd w:val="clear" w:color="auto" w:fill="auto"/>
            <w:vAlign w:val="center"/>
          </w:tcPr>
          <w:p w14:paraId="75E528F1" w14:textId="77777777" w:rsidR="003B573F" w:rsidRDefault="003B573F" w:rsidP="007D427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73609C29"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3B573F" w14:paraId="06B35321" w14:textId="77777777" w:rsidTr="007D4273">
        <w:tc>
          <w:tcPr>
            <w:tcW w:w="2977" w:type="dxa"/>
            <w:shd w:val="clear" w:color="auto" w:fill="auto"/>
            <w:vAlign w:val="center"/>
          </w:tcPr>
          <w:p w14:paraId="13E31C5A" w14:textId="77777777" w:rsidR="003B573F" w:rsidRDefault="003B573F" w:rsidP="007D427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0AC3702E" w14:textId="77777777" w:rsidR="003B573F" w:rsidRDefault="003B573F" w:rsidP="007D4273">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2888D83B" w14:textId="77777777" w:rsidR="003B573F" w:rsidRPr="00BE5EAF" w:rsidRDefault="003B573F" w:rsidP="003B573F">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207861C3" w14:textId="77777777" w:rsidTr="007D4273">
        <w:tc>
          <w:tcPr>
            <w:tcW w:w="2977" w:type="dxa"/>
            <w:shd w:val="clear" w:color="auto" w:fill="auto"/>
            <w:vAlign w:val="center"/>
          </w:tcPr>
          <w:p w14:paraId="24DC0E9A" w14:textId="77777777" w:rsidR="003B573F" w:rsidRPr="000E7D16" w:rsidRDefault="003B573F" w:rsidP="007D427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2928E225"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3B573F" w14:paraId="50DC881E" w14:textId="77777777" w:rsidTr="007D4273">
        <w:tc>
          <w:tcPr>
            <w:tcW w:w="2977" w:type="dxa"/>
            <w:shd w:val="clear" w:color="auto" w:fill="auto"/>
            <w:vAlign w:val="center"/>
          </w:tcPr>
          <w:p w14:paraId="454B31C8" w14:textId="77777777" w:rsidR="003B573F" w:rsidRDefault="003B573F" w:rsidP="007D427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70C1AB7B"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3B573F" w14:paraId="2E070D34" w14:textId="77777777" w:rsidTr="007D4273">
        <w:tc>
          <w:tcPr>
            <w:tcW w:w="2977" w:type="dxa"/>
            <w:shd w:val="clear" w:color="auto" w:fill="auto"/>
            <w:vAlign w:val="center"/>
          </w:tcPr>
          <w:p w14:paraId="375EB93F" w14:textId="77777777" w:rsidR="003B573F" w:rsidRDefault="003B573F" w:rsidP="007D427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47F57144" w14:textId="77777777" w:rsidR="003B573F" w:rsidRDefault="003B573F" w:rsidP="007D4273">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F925303" w14:textId="77777777" w:rsidR="003B573F" w:rsidRDefault="003B573F" w:rsidP="003B573F">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3B573F" w14:paraId="3AC35B42" w14:textId="77777777" w:rsidTr="007D4273">
        <w:tc>
          <w:tcPr>
            <w:tcW w:w="2977" w:type="dxa"/>
            <w:shd w:val="clear" w:color="auto" w:fill="auto"/>
            <w:vAlign w:val="center"/>
          </w:tcPr>
          <w:p w14:paraId="0B87931A" w14:textId="77777777" w:rsidR="003B573F" w:rsidRPr="000E7D16" w:rsidRDefault="003B573F" w:rsidP="007D427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5"/>
            </w:r>
          </w:p>
        </w:tc>
        <w:tc>
          <w:tcPr>
            <w:tcW w:w="6203" w:type="dxa"/>
            <w:shd w:val="clear" w:color="auto" w:fill="auto"/>
            <w:vAlign w:val="center"/>
          </w:tcPr>
          <w:p w14:paraId="6B230D55" w14:textId="77777777" w:rsidR="003B573F" w:rsidRDefault="003B573F" w:rsidP="007D4273">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390C3AC" w14:textId="77777777" w:rsidR="003B573F" w:rsidRPr="00F7128C" w:rsidRDefault="003B573F" w:rsidP="003B573F">
      <w:pPr>
        <w:keepNext/>
        <w:spacing w:before="240" w:after="60"/>
        <w:outlineLvl w:val="1"/>
        <w:rPr>
          <w:b/>
          <w:sz w:val="24"/>
          <w:lang w:eastAsia="cs-CZ"/>
        </w:rPr>
      </w:pPr>
      <w:r>
        <w:rPr>
          <w:b/>
          <w:sz w:val="24"/>
          <w:lang w:eastAsia="cs-CZ"/>
        </w:rPr>
        <w:t>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5841"/>
        <w:gridCol w:w="3339"/>
      </w:tblGrid>
      <w:tr w:rsidR="003B573F" w:rsidRPr="00F7128C" w14:paraId="41E94AF2" w14:textId="77777777" w:rsidTr="007D4273">
        <w:tc>
          <w:tcPr>
            <w:tcW w:w="5841" w:type="dxa"/>
            <w:shd w:val="clear" w:color="auto" w:fill="auto"/>
            <w:vAlign w:val="center"/>
          </w:tcPr>
          <w:p w14:paraId="13AF8F61" w14:textId="0431E317" w:rsidR="003B573F" w:rsidRPr="00F7128C" w:rsidRDefault="003B573F" w:rsidP="007D4273">
            <w:pPr>
              <w:spacing w:before="60" w:after="60" w:line="240" w:lineRule="auto"/>
              <w:rPr>
                <w:b/>
                <w:lang w:eastAsia="cs-CZ"/>
              </w:rPr>
            </w:pPr>
            <w:r>
              <w:rPr>
                <w:rFonts w:ascii="Calibri" w:hAnsi="Calibri" w:cs="Calibri"/>
                <w:color w:val="000000"/>
              </w:rPr>
              <w:t>C</w:t>
            </w:r>
            <w:r w:rsidRPr="00326A38">
              <w:rPr>
                <w:rFonts w:ascii="Calibri" w:hAnsi="Calibri" w:cs="Calibri"/>
                <w:color w:val="000000"/>
              </w:rPr>
              <w:t>ena přičítacího koeficientu</w:t>
            </w:r>
            <w:r>
              <w:rPr>
                <w:rFonts w:ascii="Calibri" w:hAnsi="Calibri" w:cs="Calibri"/>
                <w:color w:val="000000"/>
              </w:rPr>
              <w:t xml:space="preserve"> </w:t>
            </w:r>
            <w:r w:rsidRPr="00326A38">
              <w:rPr>
                <w:rFonts w:ascii="Calibri" w:hAnsi="Calibri" w:cs="Calibri"/>
                <w:color w:val="000000"/>
              </w:rPr>
              <w:t>za dodávku 1</w:t>
            </w:r>
            <w:r>
              <w:rPr>
                <w:rFonts w:ascii="Calibri" w:hAnsi="Calibri" w:cs="Calibri"/>
                <w:color w:val="000000"/>
              </w:rPr>
              <w:t> </w:t>
            </w:r>
            <w:r w:rsidRPr="00326A38">
              <w:rPr>
                <w:rFonts w:ascii="Calibri" w:hAnsi="Calibri" w:cs="Calibri"/>
                <w:color w:val="000000"/>
              </w:rPr>
              <w:t>MWh silové elektřiny</w:t>
            </w:r>
            <w:r w:rsidR="00AE0077">
              <w:rPr>
                <w:rFonts w:ascii="Calibri" w:hAnsi="Calibri" w:cs="Calibri"/>
                <w:color w:val="000000"/>
              </w:rPr>
              <w:t>*</w:t>
            </w:r>
          </w:p>
        </w:tc>
        <w:tc>
          <w:tcPr>
            <w:tcW w:w="3339" w:type="dxa"/>
            <w:shd w:val="clear" w:color="auto" w:fill="auto"/>
            <w:vAlign w:val="center"/>
          </w:tcPr>
          <w:p w14:paraId="511C334F" w14:textId="77777777" w:rsidR="003B573F" w:rsidRPr="00F7128C" w:rsidRDefault="003B573F" w:rsidP="007D4273">
            <w:pPr>
              <w:spacing w:before="60" w:after="60" w:line="240" w:lineRule="auto"/>
              <w:rPr>
                <w:lang w:eastAsia="cs-CZ"/>
              </w:rPr>
            </w:pPr>
            <w:r w:rsidRPr="00F7128C">
              <w:rPr>
                <w:rFonts w:eastAsia="Times New Roman" w:cs="Arial"/>
                <w:highlight w:val="green"/>
                <w:lang w:eastAsia="cs-CZ"/>
              </w:rPr>
              <w:t>[</w:t>
            </w:r>
            <w:r>
              <w:rPr>
                <w:rFonts w:eastAsia="Times New Roman" w:cs="Arial"/>
                <w:highlight w:val="green"/>
                <w:lang w:eastAsia="cs-CZ"/>
              </w:rPr>
              <w:t>DOPLNÍ DODAVATEL</w:t>
            </w:r>
            <w:r w:rsidRPr="00F7128C">
              <w:rPr>
                <w:rFonts w:eastAsia="Times New Roman" w:cs="Arial"/>
                <w:highlight w:val="green"/>
                <w:lang w:eastAsia="cs-CZ"/>
              </w:rPr>
              <w:t>]</w:t>
            </w:r>
            <w:r>
              <w:rPr>
                <w:rFonts w:eastAsia="Times New Roman" w:cs="Arial"/>
                <w:lang w:eastAsia="cs-CZ"/>
              </w:rPr>
              <w:t>,-</w:t>
            </w:r>
            <w:r w:rsidRPr="00F7128C">
              <w:rPr>
                <w:rFonts w:eastAsia="Times New Roman" w:cs="Arial"/>
                <w:lang w:eastAsia="cs-CZ"/>
              </w:rPr>
              <w:t xml:space="preserve"> </w:t>
            </w:r>
            <w:r w:rsidRPr="00937059">
              <w:rPr>
                <w:rFonts w:eastAsia="Times New Roman" w:cs="Arial"/>
                <w:lang w:eastAsia="cs-CZ"/>
              </w:rPr>
              <w:t>Kč bez DPH</w:t>
            </w:r>
          </w:p>
        </w:tc>
      </w:tr>
    </w:tbl>
    <w:p w14:paraId="3E6F1AA4" w14:textId="475DEAF5" w:rsidR="00AE0077" w:rsidRDefault="00AE0077" w:rsidP="003B573F">
      <w:pPr>
        <w:widowControl w:val="0"/>
        <w:autoSpaceDE w:val="0"/>
        <w:autoSpaceDN w:val="0"/>
        <w:adjustRightInd w:val="0"/>
        <w:spacing w:before="120"/>
        <w:outlineLvl w:val="0"/>
        <w:rPr>
          <w:b/>
          <w:bCs/>
          <w:sz w:val="24"/>
          <w:szCs w:val="24"/>
          <w:lang w:eastAsia="cs-CZ"/>
        </w:rPr>
      </w:pPr>
      <w:r w:rsidRPr="002A5052">
        <w:rPr>
          <w:i/>
          <w:iCs/>
          <w:lang w:eastAsia="cs-CZ"/>
        </w:rPr>
        <w:t>*</w:t>
      </w:r>
      <w:r>
        <w:rPr>
          <w:i/>
          <w:iCs/>
          <w:lang w:eastAsia="cs-CZ"/>
        </w:rPr>
        <w:t>Údaje označeny * jsou předmětem hodnocení nabídek</w:t>
      </w:r>
    </w:p>
    <w:p w14:paraId="30524867" w14:textId="3A3C82B5" w:rsidR="003B573F" w:rsidRPr="00997F1E" w:rsidRDefault="003B573F" w:rsidP="003B573F">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5FB0669E" w14:textId="77777777" w:rsidR="003B573F" w:rsidRPr="00F7128C" w:rsidRDefault="003B573F" w:rsidP="003B573F">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Pr>
          <w:rFonts w:eastAsia="Times New Roman" w:cs="Arial"/>
          <w:lang w:eastAsia="cs-CZ"/>
        </w:rPr>
        <w:t xml:space="preserve">Výzvy </w:t>
      </w:r>
      <w:r w:rsidRPr="00F7128C">
        <w:rPr>
          <w:rFonts w:eastAsia="Times New Roman" w:cs="Arial"/>
          <w:lang w:eastAsia="cs-CZ"/>
        </w:rPr>
        <w:t xml:space="preserve">na zakázku s názvem </w:t>
      </w:r>
      <w:r w:rsidRPr="00F7128C">
        <w:rPr>
          <w:rFonts w:eastAsia="Times New Roman" w:cs="Arial"/>
          <w:i/>
          <w:iCs/>
          <w:lang w:eastAsia="cs-CZ"/>
        </w:rPr>
        <w:t>„</w:t>
      </w:r>
      <w:r>
        <w:rPr>
          <w:rFonts w:eastAsia="Times New Roman" w:cs="Arial"/>
          <w:b/>
          <w:i/>
          <w:iCs/>
          <w:lang w:eastAsia="cs-CZ"/>
        </w:rPr>
        <w:t>Dodávky elektrické energie na rok 2024</w:t>
      </w:r>
      <w:r w:rsidRPr="00F7128C">
        <w:rPr>
          <w:rFonts w:eastAsia="Times New Roman" w:cs="Arial"/>
          <w:i/>
          <w:iCs/>
          <w:lang w:eastAsia="cs-CZ"/>
        </w:rPr>
        <w:t>“</w:t>
      </w:r>
      <w:r w:rsidRPr="00F7128C">
        <w:rPr>
          <w:rFonts w:eastAsia="Times New Roman" w:cs="Arial"/>
          <w:lang w:eastAsia="cs-CZ"/>
        </w:rPr>
        <w:t xml:space="preserve"> a podáním této nabídky akceptujeme všechny obchodní, technické a další podmínky uvedené v</w:t>
      </w:r>
      <w:r>
        <w:rPr>
          <w:rFonts w:eastAsia="Times New Roman" w:cs="Arial"/>
          <w:lang w:eastAsia="cs-CZ"/>
        </w:rPr>
        <w:t xml:space="preserve">e Výzvě </w:t>
      </w:r>
      <w:r w:rsidRPr="00F7128C">
        <w:rPr>
          <w:rFonts w:eastAsia="Times New Roman" w:cs="Arial"/>
          <w:lang w:eastAsia="cs-CZ"/>
        </w:rPr>
        <w:t xml:space="preserve">tohoto </w:t>
      </w:r>
      <w:r>
        <w:rPr>
          <w:rFonts w:eastAsia="Times New Roman" w:cs="Arial"/>
          <w:lang w:eastAsia="cs-CZ"/>
        </w:rPr>
        <w:t xml:space="preserve">výběrového </w:t>
      </w:r>
      <w:r w:rsidRPr="00F7128C">
        <w:rPr>
          <w:rFonts w:eastAsia="Times New Roman" w:cs="Arial"/>
          <w:lang w:eastAsia="cs-CZ"/>
        </w:rPr>
        <w:t xml:space="preserve">řízení. </w:t>
      </w:r>
    </w:p>
    <w:p w14:paraId="0D5D9504"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5A2A7738" w14:textId="77777777" w:rsidR="003B573F" w:rsidRDefault="003B573F" w:rsidP="003B573F">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9A40A0">
        <w:rPr>
          <w:rFonts w:eastAsia="Times New Roman" w:cs="Arial"/>
          <w:highlight w:val="green"/>
          <w:lang w:eastAsia="cs-CZ"/>
        </w:rPr>
        <w:t>[DOPLNÍ DODAVATEL]</w:t>
      </w:r>
      <w:r>
        <w:rPr>
          <w:rFonts w:eastAsia="Times New Roman" w:cs="Arial"/>
          <w:lang w:eastAsia="cs-CZ"/>
        </w:rPr>
        <w:t xml:space="preserve"> </w:t>
      </w:r>
      <w:r w:rsidRPr="005F305F">
        <w:rPr>
          <w:rFonts w:eastAsia="Times New Roman" w:cs="Arial"/>
          <w:lang w:eastAsia="cs-CZ"/>
        </w:rPr>
        <w:t xml:space="preserve">dne </w:t>
      </w:r>
      <w:r w:rsidRPr="009A40A0">
        <w:rPr>
          <w:rFonts w:eastAsia="Times New Roman" w:cs="Arial"/>
          <w:highlight w:val="green"/>
          <w:lang w:eastAsia="cs-CZ"/>
        </w:rPr>
        <w:t>[DOPLNÍ DODAVATEL]</w:t>
      </w:r>
      <w:r w:rsidRPr="005F305F">
        <w:rPr>
          <w:rFonts w:eastAsia="Times New Roman" w:cs="Arial"/>
          <w:lang w:eastAsia="cs-CZ"/>
        </w:rPr>
        <w:tab/>
      </w:r>
    </w:p>
    <w:p w14:paraId="2A2C8519"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08FADD30"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1B042A65" w14:textId="77777777" w:rsidR="003B573F" w:rsidRDefault="003B573F" w:rsidP="003B573F">
      <w:pPr>
        <w:widowControl w:val="0"/>
        <w:autoSpaceDE w:val="0"/>
        <w:autoSpaceDN w:val="0"/>
        <w:adjustRightInd w:val="0"/>
        <w:spacing w:after="0"/>
        <w:outlineLvl w:val="0"/>
        <w:rPr>
          <w:rFonts w:eastAsia="Times New Roman" w:cs="Arial"/>
          <w:lang w:eastAsia="cs-CZ"/>
        </w:rPr>
      </w:pPr>
    </w:p>
    <w:p w14:paraId="09DB21C3" w14:textId="77777777" w:rsidR="003B573F" w:rsidRPr="005F305F" w:rsidRDefault="003B573F" w:rsidP="003B573F">
      <w:pPr>
        <w:spacing w:after="0"/>
        <w:rPr>
          <w:rFonts w:cs="Arial"/>
          <w:szCs w:val="20"/>
        </w:rPr>
      </w:pPr>
      <w:r w:rsidRPr="005F305F">
        <w:rPr>
          <w:rFonts w:cs="Arial"/>
          <w:szCs w:val="20"/>
        </w:rPr>
        <w:t>_______________________________________</w:t>
      </w:r>
    </w:p>
    <w:p w14:paraId="36AAEABD" w14:textId="77777777" w:rsidR="003B573F" w:rsidRPr="00235F07" w:rsidRDefault="003B573F" w:rsidP="003B573F">
      <w:pPr>
        <w:spacing w:after="0"/>
        <w:rPr>
          <w:rFonts w:cs="Arial"/>
          <w:b/>
          <w:szCs w:val="20"/>
          <w:highlight w:val="green"/>
        </w:rPr>
      </w:pPr>
      <w:r w:rsidRPr="00235F07">
        <w:rPr>
          <w:rFonts w:cs="Arial"/>
          <w:szCs w:val="20"/>
          <w:highlight w:val="green"/>
        </w:rPr>
        <w:t>[</w:t>
      </w:r>
      <w:r w:rsidRPr="00235F07">
        <w:rPr>
          <w:rFonts w:cs="Arial"/>
          <w:b/>
          <w:szCs w:val="20"/>
          <w:highlight w:val="green"/>
        </w:rPr>
        <w:t>název účastníka</w:t>
      </w:r>
      <w:r w:rsidRPr="00235F07">
        <w:rPr>
          <w:rFonts w:cs="Arial"/>
          <w:szCs w:val="20"/>
          <w:highlight w:val="green"/>
        </w:rPr>
        <w:t xml:space="preserve"> – DOPLNÍ</w:t>
      </w:r>
      <w:r w:rsidRPr="00235F07">
        <w:rPr>
          <w:rFonts w:eastAsia="Times New Roman" w:cs="Arial"/>
          <w:highlight w:val="green"/>
          <w:lang w:eastAsia="cs-CZ"/>
        </w:rPr>
        <w:t xml:space="preserve"> DODAVATEL</w:t>
      </w:r>
      <w:r w:rsidRPr="00235F07">
        <w:rPr>
          <w:rFonts w:cs="Arial"/>
          <w:szCs w:val="20"/>
          <w:highlight w:val="green"/>
        </w:rPr>
        <w:t>]</w:t>
      </w:r>
    </w:p>
    <w:p w14:paraId="55FC37A4" w14:textId="77777777" w:rsidR="003B573F" w:rsidRPr="00235F07" w:rsidRDefault="003B573F" w:rsidP="003B573F">
      <w:pPr>
        <w:spacing w:after="0"/>
        <w:rPr>
          <w:rFonts w:cs="Arial"/>
          <w:szCs w:val="20"/>
          <w:highlight w:val="green"/>
        </w:rPr>
      </w:pPr>
      <w:r w:rsidRPr="00235F07">
        <w:rPr>
          <w:rFonts w:cs="Arial"/>
          <w:szCs w:val="20"/>
          <w:highlight w:val="green"/>
        </w:rPr>
        <w:t>[jméno a příjmení osoby oprávněné jednat jménem nebo za účastníka – DOPLNÍ</w:t>
      </w:r>
      <w:r w:rsidRPr="00235F07">
        <w:rPr>
          <w:rFonts w:eastAsia="Times New Roman" w:cs="Arial"/>
          <w:highlight w:val="green"/>
          <w:lang w:eastAsia="cs-CZ"/>
        </w:rPr>
        <w:t xml:space="preserve"> DODAVATEL</w:t>
      </w:r>
      <w:r w:rsidRPr="00235F07">
        <w:rPr>
          <w:rFonts w:cs="Arial"/>
          <w:szCs w:val="20"/>
          <w:highlight w:val="green"/>
        </w:rPr>
        <w:t>]</w:t>
      </w:r>
    </w:p>
    <w:p w14:paraId="47EF6665" w14:textId="77777777" w:rsidR="003B573F" w:rsidRPr="005F305F" w:rsidRDefault="003B573F" w:rsidP="003B573F">
      <w:pPr>
        <w:widowControl w:val="0"/>
        <w:autoSpaceDE w:val="0"/>
        <w:autoSpaceDN w:val="0"/>
        <w:adjustRightInd w:val="0"/>
        <w:spacing w:after="0"/>
        <w:rPr>
          <w:rFonts w:cs="Arial"/>
        </w:rPr>
      </w:pPr>
      <w:r w:rsidRPr="00235F07">
        <w:rPr>
          <w:rFonts w:cs="Arial"/>
          <w:szCs w:val="20"/>
          <w:highlight w:val="green"/>
        </w:rPr>
        <w:t>[funkce nebo oprávnění – DOPLNÍ</w:t>
      </w:r>
      <w:r w:rsidRPr="00235F07">
        <w:rPr>
          <w:rFonts w:eastAsia="Times New Roman" w:cs="Arial"/>
          <w:highlight w:val="green"/>
          <w:lang w:eastAsia="cs-CZ"/>
        </w:rPr>
        <w:t xml:space="preserve"> DODAVATEL</w:t>
      </w:r>
      <w:r w:rsidRPr="00235F07">
        <w:rPr>
          <w:rFonts w:cs="Arial"/>
          <w:szCs w:val="20"/>
          <w:highlight w:val="green"/>
        </w:rPr>
        <w:t>]</w:t>
      </w:r>
      <w:r w:rsidRPr="005F305F">
        <w:rPr>
          <w:rFonts w:eastAsia="Times New Roman" w:cs="Arial"/>
          <w:sz w:val="24"/>
          <w:lang w:eastAsia="cs-CZ"/>
        </w:rPr>
        <w:t xml:space="preserve">          </w:t>
      </w:r>
    </w:p>
    <w:p w14:paraId="77DD7661" w14:textId="47A20576" w:rsidR="003B573F" w:rsidRDefault="003B573F">
      <w:pPr>
        <w:spacing w:after="200"/>
        <w:jc w:val="left"/>
      </w:pPr>
      <w:r>
        <w:br w:type="page"/>
      </w:r>
    </w:p>
    <w:p w14:paraId="53537299" w14:textId="77777777" w:rsidR="002C47CC" w:rsidRDefault="002C47CC" w:rsidP="002C47CC">
      <w:pPr>
        <w:spacing w:after="200"/>
        <w:jc w:val="left"/>
        <w:rPr>
          <w:rFonts w:cstheme="minorHAnsi"/>
          <w:b/>
          <w:bCs/>
        </w:rPr>
      </w:pPr>
      <w:r w:rsidRPr="000E7EEE">
        <w:rPr>
          <w:rFonts w:cstheme="minorHAnsi"/>
          <w:b/>
          <w:bCs/>
        </w:rPr>
        <w:lastRenderedPageBreak/>
        <w:t xml:space="preserve">Příloha č. </w:t>
      </w:r>
      <w:r>
        <w:rPr>
          <w:rFonts w:cstheme="minorHAnsi"/>
          <w:b/>
          <w:bCs/>
        </w:rPr>
        <w:t>2 – Seznam odběrných míst pro dodávky elektřiny v hladině NN</w:t>
      </w:r>
    </w:p>
    <w:p w14:paraId="436035C4" w14:textId="77777777" w:rsidR="002C47CC" w:rsidRPr="002C47CC" w:rsidRDefault="002C47CC" w:rsidP="002C47CC">
      <w:pPr>
        <w:spacing w:after="200"/>
        <w:jc w:val="left"/>
        <w:rPr>
          <w:rFonts w:cstheme="minorHAnsi"/>
        </w:rPr>
      </w:pPr>
      <w:r>
        <w:rPr>
          <w:rFonts w:cstheme="minorHAnsi"/>
        </w:rPr>
        <w:t>(</w:t>
      </w:r>
      <w:r w:rsidRPr="002C47CC">
        <w:rPr>
          <w:rFonts w:cstheme="minorHAnsi"/>
          <w:i/>
          <w:iCs/>
        </w:rPr>
        <w:t>samostatný dokument</w:t>
      </w:r>
      <w:r>
        <w:rPr>
          <w:rFonts w:cstheme="minorHAnsi"/>
        </w:rPr>
        <w:t>)</w:t>
      </w:r>
    </w:p>
    <w:p w14:paraId="5CFB8667" w14:textId="3BC33E7D" w:rsidR="002C47CC" w:rsidRDefault="002C47CC" w:rsidP="002C47CC">
      <w:pPr>
        <w:spacing w:after="200"/>
        <w:jc w:val="left"/>
        <w:rPr>
          <w:rFonts w:cstheme="minorHAnsi"/>
          <w:b/>
          <w:bCs/>
        </w:rPr>
      </w:pPr>
      <w:r w:rsidRPr="000E7EEE">
        <w:rPr>
          <w:rFonts w:cstheme="minorHAnsi"/>
          <w:b/>
          <w:bCs/>
        </w:rPr>
        <w:t xml:space="preserve">Příloha č. </w:t>
      </w:r>
      <w:r>
        <w:rPr>
          <w:rFonts w:cstheme="minorHAnsi"/>
          <w:b/>
          <w:bCs/>
        </w:rPr>
        <w:t>3 – Seznam odběrných míst pro dodávky elektřiny v hladině VN</w:t>
      </w:r>
    </w:p>
    <w:p w14:paraId="38601454" w14:textId="77777777" w:rsidR="002C47CC" w:rsidRPr="002C47CC" w:rsidRDefault="002C47CC" w:rsidP="002C47CC">
      <w:pPr>
        <w:spacing w:after="200"/>
        <w:jc w:val="left"/>
        <w:rPr>
          <w:rFonts w:cstheme="minorHAnsi"/>
        </w:rPr>
      </w:pPr>
      <w:r>
        <w:rPr>
          <w:rFonts w:cstheme="minorHAnsi"/>
        </w:rPr>
        <w:t>(</w:t>
      </w:r>
      <w:r w:rsidRPr="002C47CC">
        <w:rPr>
          <w:rFonts w:cstheme="minorHAnsi"/>
          <w:i/>
          <w:iCs/>
        </w:rPr>
        <w:t>samostatný dokument</w:t>
      </w:r>
      <w:r>
        <w:rPr>
          <w:rFonts w:cstheme="minorHAnsi"/>
        </w:rPr>
        <w:t>)</w:t>
      </w:r>
    </w:p>
    <w:p w14:paraId="082F24C1" w14:textId="77777777" w:rsidR="002C47CC" w:rsidRDefault="002C47CC">
      <w:pPr>
        <w:spacing w:after="200"/>
        <w:jc w:val="left"/>
        <w:rPr>
          <w:rFonts w:cstheme="minorHAnsi"/>
          <w:b/>
          <w:bCs/>
        </w:rPr>
      </w:pPr>
      <w:r>
        <w:rPr>
          <w:rFonts w:cstheme="minorHAnsi"/>
          <w:b/>
          <w:bCs/>
        </w:rPr>
        <w:br w:type="page"/>
      </w:r>
    </w:p>
    <w:p w14:paraId="59AFE745" w14:textId="4E2A5046" w:rsidR="002C47CC" w:rsidRPr="002C47CC" w:rsidRDefault="002C47CC" w:rsidP="00003B32">
      <w:pPr>
        <w:spacing w:after="200"/>
        <w:jc w:val="left"/>
        <w:rPr>
          <w:rFonts w:cstheme="minorHAnsi"/>
        </w:rPr>
      </w:pPr>
      <w:r w:rsidRPr="000E7EEE">
        <w:rPr>
          <w:rFonts w:cstheme="minorHAnsi"/>
          <w:b/>
          <w:bCs/>
        </w:rPr>
        <w:lastRenderedPageBreak/>
        <w:t xml:space="preserve">Příloha č. </w:t>
      </w:r>
      <w:r>
        <w:rPr>
          <w:rFonts w:cstheme="minorHAnsi"/>
          <w:b/>
          <w:bCs/>
        </w:rPr>
        <w:t xml:space="preserve">4 – </w:t>
      </w:r>
      <w:r w:rsidR="00003B32">
        <w:rPr>
          <w:rFonts w:cstheme="minorHAnsi"/>
          <w:b/>
          <w:bCs/>
        </w:rPr>
        <w:t>Vzor čestného prohlášení o splnění kvalifikace</w:t>
      </w:r>
    </w:p>
    <w:p w14:paraId="2E93EAB6" w14:textId="77777777" w:rsidR="009C4B0C" w:rsidRPr="00F87288" w:rsidRDefault="009C4B0C" w:rsidP="002709E6">
      <w:pPr>
        <w:tabs>
          <w:tab w:val="left" w:pos="6096"/>
        </w:tabs>
        <w:spacing w:before="360"/>
        <w:jc w:val="center"/>
        <w:rPr>
          <w:b/>
          <w:color w:val="000000" w:themeColor="text1"/>
          <w:sz w:val="40"/>
          <w:szCs w:val="36"/>
        </w:rPr>
      </w:pPr>
      <w:r>
        <w:rPr>
          <w:b/>
          <w:color w:val="000000" w:themeColor="text1"/>
          <w:sz w:val="40"/>
          <w:szCs w:val="36"/>
        </w:rPr>
        <w:t>ČESTNÉ PROHLÁŠENÍ O SPLNĚNÍ KVALIFIKACE</w:t>
      </w:r>
    </w:p>
    <w:p w14:paraId="7BA0172A" w14:textId="2E88F8AD" w:rsidR="009C4B0C" w:rsidRDefault="00646FB2" w:rsidP="009C4B0C">
      <w:pPr>
        <w:tabs>
          <w:tab w:val="left" w:pos="6096"/>
        </w:tabs>
        <w:spacing w:before="240" w:after="360"/>
        <w:jc w:val="cente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w:t>
      </w:r>
      <w:r w:rsidR="009C4B0C" w:rsidRPr="003B0A65">
        <w:t xml:space="preserve"> </w:t>
      </w:r>
    </w:p>
    <w:p w14:paraId="47A5984C" w14:textId="0FCE8032" w:rsidR="009C4B0C" w:rsidRPr="009A40A0" w:rsidRDefault="00646FB2" w:rsidP="009A40A0">
      <w:pPr>
        <w:jc w:val="center"/>
        <w:rPr>
          <w:b/>
          <w:caps/>
          <w:color w:val="E36C0A" w:themeColor="accent6" w:themeShade="BF"/>
          <w:sz w:val="40"/>
        </w:rPr>
      </w:pPr>
      <w:r>
        <w:rPr>
          <w:b/>
          <w:caps/>
          <w:color w:val="E36C0A" w:themeColor="accent6" w:themeShade="BF"/>
          <w:sz w:val="40"/>
        </w:rPr>
        <w:t xml:space="preserve">dodávka </w:t>
      </w:r>
      <w:r w:rsidR="002C47CC">
        <w:rPr>
          <w:b/>
          <w:caps/>
          <w:color w:val="E36C0A" w:themeColor="accent6" w:themeShade="BF"/>
          <w:sz w:val="40"/>
        </w:rPr>
        <w:t>Elektrické energie na rok 2024</w:t>
      </w:r>
      <w:r w:rsidR="009A40A0">
        <w:rPr>
          <w:b/>
          <w:caps/>
          <w:color w:val="E36C0A" w:themeColor="accent6" w:themeShade="BF"/>
          <w:sz w:val="40"/>
        </w:rPr>
        <w:t xml:space="preserve"> </w:t>
      </w:r>
    </w:p>
    <w:tbl>
      <w:tblPr>
        <w:tblStyle w:val="Mkatabulky"/>
        <w:tblW w:w="5000" w:type="pct"/>
        <w:tblLook w:val="04A0" w:firstRow="1" w:lastRow="0" w:firstColumn="1" w:lastColumn="0" w:noHBand="0" w:noVBand="1"/>
      </w:tblPr>
      <w:tblGrid>
        <w:gridCol w:w="2938"/>
        <w:gridCol w:w="6642"/>
        <w:gridCol w:w="343"/>
      </w:tblGrid>
      <w:tr w:rsidR="009C4B0C" w:rsidRPr="00A324F6" w14:paraId="78DCEFED" w14:textId="77777777" w:rsidTr="00E23B6E">
        <w:trPr>
          <w:gridAfter w:val="1"/>
          <w:wAfter w:w="173" w:type="pct"/>
        </w:trPr>
        <w:tc>
          <w:tcPr>
            <w:tcW w:w="4827" w:type="pct"/>
            <w:gridSpan w:val="2"/>
            <w:tcBorders>
              <w:top w:val="nil"/>
              <w:left w:val="nil"/>
              <w:right w:val="nil"/>
            </w:tcBorders>
          </w:tcPr>
          <w:p w14:paraId="36D08722" w14:textId="77777777" w:rsidR="009C4B0C" w:rsidRPr="00A324F6" w:rsidRDefault="009C4B0C" w:rsidP="00E23B6E">
            <w:pPr>
              <w:spacing w:after="0" w:line="276" w:lineRule="auto"/>
              <w:rPr>
                <w:rFonts w:cstheme="minorHAnsi"/>
                <w:b/>
              </w:rPr>
            </w:pPr>
            <w:bookmarkStart w:id="18" w:name="_Hlk135217112"/>
            <w:r w:rsidRPr="00A324F6">
              <w:rPr>
                <w:rFonts w:cstheme="minorHAnsi"/>
                <w:b/>
              </w:rPr>
              <w:t>Prohlašující dodavatel:</w:t>
            </w:r>
          </w:p>
        </w:tc>
      </w:tr>
      <w:tr w:rsidR="009C4B0C" w:rsidRPr="00A324F6" w14:paraId="0BEEE18B" w14:textId="77777777" w:rsidTr="00E23B6E">
        <w:trPr>
          <w:trHeight w:val="510"/>
        </w:trPr>
        <w:tc>
          <w:tcPr>
            <w:tcW w:w="1480" w:type="pct"/>
            <w:vAlign w:val="center"/>
          </w:tcPr>
          <w:p w14:paraId="4EED495D" w14:textId="77777777" w:rsidR="009C4B0C" w:rsidRPr="00A324F6" w:rsidRDefault="009C4B0C" w:rsidP="00E23B6E">
            <w:pPr>
              <w:spacing w:after="0" w:line="276" w:lineRule="auto"/>
              <w:rPr>
                <w:rFonts w:cstheme="minorHAnsi"/>
              </w:rPr>
            </w:pPr>
            <w:r w:rsidRPr="00A324F6">
              <w:rPr>
                <w:rFonts w:cstheme="minorHAnsi"/>
              </w:rPr>
              <w:t>Název dodavatele:</w:t>
            </w:r>
          </w:p>
        </w:tc>
        <w:tc>
          <w:tcPr>
            <w:tcW w:w="3520" w:type="pct"/>
            <w:gridSpan w:val="2"/>
            <w:vAlign w:val="center"/>
          </w:tcPr>
          <w:p w14:paraId="00244EC7" w14:textId="77777777" w:rsidR="009C4B0C" w:rsidRPr="00A324F6" w:rsidRDefault="009C4B0C" w:rsidP="00E23B6E">
            <w:pPr>
              <w:spacing w:after="0" w:line="276" w:lineRule="auto"/>
              <w:rPr>
                <w:rFonts w:cstheme="minorHAnsi"/>
                <w:b/>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0D041939" w14:textId="77777777" w:rsidTr="00E23B6E">
        <w:trPr>
          <w:trHeight w:val="510"/>
        </w:trPr>
        <w:tc>
          <w:tcPr>
            <w:tcW w:w="1480" w:type="pct"/>
            <w:vAlign w:val="center"/>
          </w:tcPr>
          <w:p w14:paraId="664F3C48" w14:textId="77777777" w:rsidR="009C4B0C" w:rsidRPr="00A324F6" w:rsidRDefault="009C4B0C" w:rsidP="00E23B6E">
            <w:pPr>
              <w:spacing w:after="0" w:line="276" w:lineRule="auto"/>
              <w:rPr>
                <w:rFonts w:cstheme="minorHAnsi"/>
              </w:rPr>
            </w:pPr>
            <w:r w:rsidRPr="00A324F6">
              <w:rPr>
                <w:rFonts w:cstheme="minorHAnsi"/>
              </w:rPr>
              <w:t>Sídlo:</w:t>
            </w:r>
          </w:p>
        </w:tc>
        <w:tc>
          <w:tcPr>
            <w:tcW w:w="3520" w:type="pct"/>
            <w:gridSpan w:val="2"/>
            <w:vAlign w:val="center"/>
          </w:tcPr>
          <w:p w14:paraId="08C87383"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3DDE284D" w14:textId="77777777" w:rsidTr="00E23B6E">
        <w:trPr>
          <w:trHeight w:val="510"/>
        </w:trPr>
        <w:tc>
          <w:tcPr>
            <w:tcW w:w="1480" w:type="pct"/>
            <w:vAlign w:val="center"/>
          </w:tcPr>
          <w:p w14:paraId="71484EC2" w14:textId="77777777" w:rsidR="009C4B0C" w:rsidRPr="00A324F6" w:rsidRDefault="009C4B0C" w:rsidP="00E23B6E">
            <w:pPr>
              <w:spacing w:after="0" w:line="276" w:lineRule="auto"/>
              <w:rPr>
                <w:rFonts w:cstheme="minorHAnsi"/>
              </w:rPr>
            </w:pPr>
            <w:r w:rsidRPr="00A324F6">
              <w:rPr>
                <w:rFonts w:cstheme="minorHAnsi"/>
              </w:rPr>
              <w:t>IČO (u subjektu se sídlem v ČR):</w:t>
            </w:r>
          </w:p>
        </w:tc>
        <w:tc>
          <w:tcPr>
            <w:tcW w:w="3520" w:type="pct"/>
            <w:gridSpan w:val="2"/>
            <w:vAlign w:val="center"/>
          </w:tcPr>
          <w:p w14:paraId="7E026B5F"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9C4B0C" w:rsidRPr="00A324F6" w14:paraId="155ACA22" w14:textId="77777777" w:rsidTr="00E23B6E">
        <w:trPr>
          <w:trHeight w:val="510"/>
        </w:trPr>
        <w:tc>
          <w:tcPr>
            <w:tcW w:w="1480" w:type="pct"/>
            <w:vAlign w:val="center"/>
          </w:tcPr>
          <w:p w14:paraId="0EBCF781" w14:textId="77777777" w:rsidR="009C4B0C" w:rsidRPr="00A324F6" w:rsidRDefault="009C4B0C" w:rsidP="00E23B6E">
            <w:pPr>
              <w:spacing w:after="0" w:line="276" w:lineRule="auto"/>
              <w:rPr>
                <w:rFonts w:cstheme="minorHAnsi"/>
              </w:rPr>
            </w:pPr>
            <w:r w:rsidRPr="00A324F6">
              <w:rPr>
                <w:rFonts w:cstheme="minorHAnsi"/>
              </w:rPr>
              <w:t>Jednající/zastoupen:</w:t>
            </w:r>
          </w:p>
        </w:tc>
        <w:tc>
          <w:tcPr>
            <w:tcW w:w="3520" w:type="pct"/>
            <w:gridSpan w:val="2"/>
            <w:vAlign w:val="center"/>
          </w:tcPr>
          <w:p w14:paraId="026FC810" w14:textId="77777777" w:rsidR="009C4B0C" w:rsidRPr="00A324F6" w:rsidRDefault="009C4B0C" w:rsidP="00E23B6E">
            <w:pPr>
              <w:spacing w:after="0" w:line="276" w:lineRule="auto"/>
              <w:rPr>
                <w:rFonts w:cstheme="minorHAnsi"/>
              </w:rPr>
            </w:pPr>
            <w:r>
              <w:rPr>
                <w:rFonts w:eastAsia="Times New Roman" w:cs="Arial"/>
                <w:b/>
                <w:lang w:eastAsia="cs-CZ"/>
              </w:rPr>
              <w:t>[</w:t>
            </w:r>
            <w:r w:rsidRPr="00484793">
              <w:rPr>
                <w:b/>
                <w:highlight w:val="green"/>
              </w:rPr>
              <w:t>DOPLNÍ DODAVATEL</w:t>
            </w:r>
            <w:r>
              <w:rPr>
                <w:rFonts w:eastAsia="Times New Roman" w:cs="Arial"/>
                <w:b/>
                <w:lang w:eastAsia="cs-CZ"/>
              </w:rPr>
              <w:t>]</w:t>
            </w:r>
          </w:p>
        </w:tc>
      </w:tr>
      <w:tr w:rsidR="00AC21ED" w:rsidRPr="00A324F6" w14:paraId="6853478C" w14:textId="77777777" w:rsidTr="00E23B6E">
        <w:trPr>
          <w:trHeight w:val="510"/>
        </w:trPr>
        <w:tc>
          <w:tcPr>
            <w:tcW w:w="1480" w:type="pct"/>
            <w:vAlign w:val="center"/>
          </w:tcPr>
          <w:p w14:paraId="0C2D20AB" w14:textId="1573AA7B" w:rsidR="00AC21ED" w:rsidRPr="00A324F6" w:rsidRDefault="00AC21ED" w:rsidP="00E23B6E">
            <w:pPr>
              <w:spacing w:after="0"/>
              <w:rPr>
                <w:rFonts w:cstheme="minorHAnsi"/>
              </w:rPr>
            </w:pPr>
            <w:r>
              <w:rPr>
                <w:rFonts w:cstheme="minorHAnsi"/>
              </w:rPr>
              <w:t>Část zakázky</w:t>
            </w:r>
          </w:p>
        </w:tc>
        <w:tc>
          <w:tcPr>
            <w:tcW w:w="3520" w:type="pct"/>
            <w:gridSpan w:val="2"/>
            <w:vAlign w:val="center"/>
          </w:tcPr>
          <w:p w14:paraId="3A4AF2D9" w14:textId="0C633055" w:rsidR="00AC21ED" w:rsidRPr="00AC21ED" w:rsidRDefault="00AC21ED" w:rsidP="00E23B6E">
            <w:pPr>
              <w:spacing w:after="0"/>
              <w:rPr>
                <w:rFonts w:eastAsia="Times New Roman" w:cs="Arial"/>
                <w:b/>
                <w:bCs/>
                <w:lang w:eastAsia="cs-CZ"/>
              </w:rPr>
            </w:pPr>
            <w:r w:rsidRPr="00AC21ED">
              <w:rPr>
                <w:rFonts w:cstheme="minorHAnsi"/>
                <w:b/>
                <w:bCs/>
              </w:rPr>
              <w:t>[</w:t>
            </w:r>
            <w:r w:rsidRPr="00AC21ED">
              <w:rPr>
                <w:rFonts w:cstheme="minorHAnsi"/>
                <w:b/>
                <w:bCs/>
                <w:highlight w:val="green"/>
              </w:rPr>
              <w:t>DOPLNÍ DODAVATEL – všechny části (1 až 2), ne které podává účastník nabídku</w:t>
            </w:r>
            <w:r w:rsidRPr="00AC21ED">
              <w:rPr>
                <w:rFonts w:cstheme="minorHAnsi"/>
                <w:b/>
                <w:bCs/>
              </w:rPr>
              <w:t>]</w:t>
            </w:r>
          </w:p>
        </w:tc>
      </w:tr>
    </w:tbl>
    <w:bookmarkEnd w:id="18"/>
    <w:p w14:paraId="5709364C" w14:textId="77777777" w:rsidR="009C4B0C" w:rsidRPr="00A324F6" w:rsidRDefault="009C4B0C" w:rsidP="009C4B0C">
      <w:pPr>
        <w:spacing w:after="0"/>
        <w:rPr>
          <w:rFonts w:cstheme="minorHAnsi"/>
        </w:rPr>
      </w:pPr>
      <w:r w:rsidRPr="00A324F6">
        <w:rPr>
          <w:rFonts w:cstheme="minorHAnsi"/>
        </w:rPr>
        <w:t>(dále jen „Dodavatel“)</w:t>
      </w:r>
    </w:p>
    <w:p w14:paraId="1774D814" w14:textId="77777777" w:rsidR="009C4B0C" w:rsidRPr="00A324F6" w:rsidRDefault="009C4B0C" w:rsidP="009C4B0C">
      <w:pPr>
        <w:spacing w:after="0"/>
        <w:jc w:val="center"/>
        <w:rPr>
          <w:rFonts w:cstheme="minorHAnsi"/>
          <w:b/>
        </w:rPr>
      </w:pPr>
    </w:p>
    <w:p w14:paraId="511DDF14" w14:textId="77777777" w:rsidR="005A0956" w:rsidRPr="00E5642D" w:rsidRDefault="005A0956" w:rsidP="005A0956">
      <w:pPr>
        <w:spacing w:before="120"/>
        <w:rPr>
          <w:rFonts w:ascii="Calibri" w:hAnsi="Calibri" w:cs="Calibri"/>
          <w:b/>
          <w:bCs/>
        </w:rPr>
      </w:pPr>
      <w:r w:rsidRPr="00E5642D">
        <w:rPr>
          <w:rFonts w:ascii="Calibri" w:hAnsi="Calibri" w:cs="Calibri"/>
          <w:b/>
          <w:bCs/>
        </w:rPr>
        <w:t>Dodavatel tímto čestně prohlašuje, že:</w:t>
      </w:r>
    </w:p>
    <w:p w14:paraId="0203F582" w14:textId="77777777" w:rsidR="005A0956" w:rsidRPr="00E5642D" w:rsidRDefault="005A0956" w:rsidP="00B0127C">
      <w:pPr>
        <w:pStyle w:val="Odstavecseseznamem"/>
        <w:numPr>
          <w:ilvl w:val="3"/>
          <w:numId w:val="13"/>
        </w:numPr>
        <w:spacing w:before="120"/>
        <w:ind w:left="284" w:hanging="284"/>
        <w:rPr>
          <w:rFonts w:ascii="Calibri" w:hAnsi="Calibri" w:cs="Calibri"/>
        </w:rPr>
      </w:pPr>
      <w:r w:rsidRPr="00E5642D">
        <w:rPr>
          <w:rFonts w:ascii="Calibri" w:hAnsi="Calibri" w:cs="Calibri"/>
        </w:rPr>
        <w:t xml:space="preserve">Splňuje požadavky Zadavatele na </w:t>
      </w:r>
      <w:r w:rsidRPr="00E5642D">
        <w:rPr>
          <w:rFonts w:ascii="Calibri" w:hAnsi="Calibri" w:cs="Calibri"/>
          <w:u w:val="single"/>
        </w:rPr>
        <w:t>základní způsobilost</w:t>
      </w:r>
      <w:r w:rsidRPr="00E5642D">
        <w:rPr>
          <w:rFonts w:ascii="Calibri" w:hAnsi="Calibri" w:cs="Calibri"/>
        </w:rPr>
        <w:t>, neboť:</w:t>
      </w:r>
    </w:p>
    <w:p w14:paraId="6CEE3DA3"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 xml:space="preserve">nebyl v posledních 5 letech před zahájením výběrového řízení pravomocně odsouzen pro trestný čin uvedený v příloze č. 3 k ZZVZ nebo obdobný trestný čin podle právního řadu země sídla dodavatele; k zahlazeným odsouzením se nepřihlíží; </w:t>
      </w:r>
    </w:p>
    <w:p w14:paraId="0ABF8604"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7084EBF1"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365C6800"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120E8DC3" w14:textId="77777777" w:rsidR="005A0956" w:rsidRPr="00E5642D" w:rsidRDefault="005A0956" w:rsidP="00B0127C">
      <w:pPr>
        <w:numPr>
          <w:ilvl w:val="0"/>
          <w:numId w:val="10"/>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53612970" w14:textId="77777777" w:rsidR="005A0956" w:rsidRPr="00E5642D" w:rsidRDefault="005A0956" w:rsidP="005A0956">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517F7EFC" w14:textId="77777777" w:rsidR="005A0956" w:rsidRPr="00E5642D" w:rsidRDefault="005A0956" w:rsidP="005A0956">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4EABD6EF" w14:textId="4F40F994" w:rsidR="00F95D26" w:rsidRPr="00F95D26" w:rsidRDefault="005A0956" w:rsidP="00B0127C">
      <w:pPr>
        <w:pStyle w:val="Odstavecseseznamem"/>
        <w:numPr>
          <w:ilvl w:val="3"/>
          <w:numId w:val="13"/>
        </w:numPr>
        <w:spacing w:before="120"/>
        <w:ind w:left="284" w:hanging="284"/>
        <w:contextualSpacing w:val="0"/>
        <w:rPr>
          <w:rFonts w:cstheme="minorHAnsi"/>
          <w:bCs/>
        </w:rPr>
      </w:pPr>
      <w:r w:rsidRPr="00AF42EC">
        <w:rPr>
          <w:rFonts w:ascii="Calibri" w:hAnsi="Calibri" w:cs="Calibri"/>
        </w:rPr>
        <w:t xml:space="preserve">Splňuje požadavky Zadavatele na </w:t>
      </w:r>
      <w:r w:rsidRPr="00AF42EC">
        <w:rPr>
          <w:rFonts w:ascii="Calibri" w:hAnsi="Calibri" w:cs="Calibri"/>
          <w:u w:val="single"/>
        </w:rPr>
        <w:t>profesní způsobilost</w:t>
      </w:r>
      <w:r w:rsidRPr="00AF42EC">
        <w:rPr>
          <w:rFonts w:ascii="Calibri" w:hAnsi="Calibri" w:cs="Calibri"/>
        </w:rPr>
        <w:t xml:space="preserve">, neboť </w:t>
      </w:r>
    </w:p>
    <w:p w14:paraId="056E74B7" w14:textId="0493BF33" w:rsidR="005A0956" w:rsidRPr="00F25AC7" w:rsidRDefault="00F25AC7" w:rsidP="00B0127C">
      <w:pPr>
        <w:pStyle w:val="Odstavecseseznamem"/>
        <w:numPr>
          <w:ilvl w:val="0"/>
          <w:numId w:val="10"/>
        </w:numPr>
        <w:spacing w:before="120"/>
        <w:contextualSpacing w:val="0"/>
        <w:rPr>
          <w:rFonts w:cstheme="minorHAnsi"/>
          <w:bCs/>
        </w:rPr>
      </w:pPr>
      <w:r>
        <w:rPr>
          <w:rFonts w:ascii="Calibri" w:hAnsi="Calibri" w:cs="Calibri"/>
        </w:rPr>
        <w:t xml:space="preserve">je zapsán </w:t>
      </w:r>
      <w:r w:rsidR="005A0956" w:rsidRPr="00AF42EC">
        <w:rPr>
          <w:rFonts w:ascii="Calibri" w:hAnsi="Calibri" w:cs="Calibri"/>
        </w:rPr>
        <w:t>v obchodním rejstříku nebo jiné obdobné evidenci, pokud jiný právní předpis zápis do takové evidence vyžaduje</w:t>
      </w:r>
      <w:r>
        <w:rPr>
          <w:rFonts w:ascii="Calibri" w:hAnsi="Calibri" w:cs="Calibri"/>
        </w:rPr>
        <w:t>;</w:t>
      </w:r>
    </w:p>
    <w:p w14:paraId="25FA6AB7" w14:textId="56DFBF36" w:rsidR="00F25AC7" w:rsidRPr="005A0956" w:rsidRDefault="006C42A1" w:rsidP="00B0127C">
      <w:pPr>
        <w:pStyle w:val="Odstavecseseznamem"/>
        <w:numPr>
          <w:ilvl w:val="0"/>
          <w:numId w:val="10"/>
        </w:numPr>
        <w:spacing w:before="120"/>
        <w:contextualSpacing w:val="0"/>
        <w:rPr>
          <w:rFonts w:cstheme="minorHAnsi"/>
          <w:bCs/>
        </w:rPr>
      </w:pPr>
      <w:r>
        <w:rPr>
          <w:rFonts w:cstheme="minorHAnsi"/>
        </w:rPr>
        <w:t xml:space="preserve">disponuje příslušným dokladem dokladu o oprávnění k podnikání, a to platnou licencí na obchod s elektřinou dle </w:t>
      </w:r>
      <w:r w:rsidRPr="001316E3">
        <w:rPr>
          <w:rFonts w:cstheme="minorHAnsi"/>
        </w:rPr>
        <w:t>energetického zákona</w:t>
      </w:r>
      <w:r>
        <w:rPr>
          <w:rFonts w:cstheme="minorHAnsi"/>
        </w:rPr>
        <w:t xml:space="preserve"> </w:t>
      </w:r>
      <w:r w:rsidRPr="001316E3">
        <w:rPr>
          <w:rFonts w:cstheme="minorHAnsi"/>
        </w:rPr>
        <w:t>a prováděcí vyhlášky ERÚ č. 8/2016 Sb., o podrobnostech udělování licencí</w:t>
      </w:r>
      <w:r>
        <w:rPr>
          <w:rFonts w:cstheme="minorHAnsi"/>
        </w:rPr>
        <w:t xml:space="preserve"> </w:t>
      </w:r>
      <w:r w:rsidRPr="001316E3">
        <w:rPr>
          <w:rFonts w:cstheme="minorHAnsi"/>
        </w:rPr>
        <w:t>pro podnikání v energetických odvětvích, ve znění pozdějších předpisů</w:t>
      </w:r>
    </w:p>
    <w:p w14:paraId="064ED388" w14:textId="77777777" w:rsidR="00FE6AD2" w:rsidRDefault="00FE6AD2" w:rsidP="009C4B0C">
      <w:pPr>
        <w:spacing w:before="120"/>
        <w:rPr>
          <w:rFonts w:cstheme="minorHAnsi"/>
        </w:rPr>
      </w:pPr>
    </w:p>
    <w:p w14:paraId="791AB1E2" w14:textId="63EC8B2C" w:rsidR="009C4B0C" w:rsidRPr="00A324F6" w:rsidRDefault="00634DA1" w:rsidP="009C4B0C">
      <w:pPr>
        <w:spacing w:before="120"/>
        <w:rPr>
          <w:rFonts w:cstheme="minorHAnsi"/>
        </w:rPr>
      </w:pPr>
      <w:r w:rsidRPr="00E5642D">
        <w:rPr>
          <w:rFonts w:ascii="Calibri" w:hAnsi="Calibri" w:cs="Calibri"/>
        </w:rPr>
        <w:t>Toto čestné prohlášení činí Dodavatel na základě své vážné a svobodné vůle a je si vědom všech následků plynoucích z uvedení nepravdivých údajů.</w:t>
      </w:r>
    </w:p>
    <w:p w14:paraId="102720D1" w14:textId="77777777" w:rsidR="009C4B0C" w:rsidRPr="00A324F6" w:rsidRDefault="009C4B0C" w:rsidP="009C4B0C">
      <w:pPr>
        <w:rPr>
          <w:rFonts w:cstheme="minorHAnsi"/>
        </w:rPr>
      </w:pPr>
    </w:p>
    <w:p w14:paraId="4822B330" w14:textId="77777777" w:rsidR="009C4B0C" w:rsidRDefault="009C4B0C" w:rsidP="009C4B0C">
      <w:pPr>
        <w:spacing w:after="240" w:line="254" w:lineRule="auto"/>
        <w:rPr>
          <w:rFonts w:eastAsia="Calibri" w:cstheme="minorHAnsi"/>
        </w:rPr>
      </w:pPr>
      <w:r>
        <w:rPr>
          <w:rFonts w:eastAsia="Calibri" w:cstheme="minorHAnsi"/>
        </w:rPr>
        <w:t xml:space="preserve">V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dne </w:t>
      </w:r>
      <w:r>
        <w:rPr>
          <w:rFonts w:eastAsia="Times New Roman" w:cs="Arial"/>
          <w:b/>
          <w:lang w:eastAsia="cs-CZ"/>
        </w:rPr>
        <w:t>[</w:t>
      </w:r>
      <w:r w:rsidRPr="00484793">
        <w:rPr>
          <w:b/>
          <w:highlight w:val="green"/>
        </w:rPr>
        <w:t>DOPLNÍ DODAVATEL</w:t>
      </w:r>
      <w:r>
        <w:rPr>
          <w:rFonts w:eastAsia="Times New Roman" w:cs="Arial"/>
          <w:b/>
          <w:lang w:eastAsia="cs-CZ"/>
        </w:rPr>
        <w:t>]</w:t>
      </w:r>
    </w:p>
    <w:p w14:paraId="76411A4A" w14:textId="77777777" w:rsidR="009C4B0C" w:rsidRDefault="009C4B0C" w:rsidP="009C4B0C">
      <w:pPr>
        <w:spacing w:after="160" w:line="254" w:lineRule="auto"/>
        <w:rPr>
          <w:rFonts w:eastAsia="Calibri" w:cstheme="minorHAnsi"/>
        </w:rPr>
      </w:pPr>
      <w:r>
        <w:rPr>
          <w:rFonts w:eastAsia="Calibri" w:cstheme="minorHAnsi"/>
        </w:rPr>
        <w:t>Podpis:</w:t>
      </w:r>
    </w:p>
    <w:p w14:paraId="3A9A91A1" w14:textId="77777777" w:rsidR="009C4B0C" w:rsidRDefault="009C4B0C" w:rsidP="009C4B0C">
      <w:pPr>
        <w:spacing w:after="160" w:line="254" w:lineRule="auto"/>
        <w:rPr>
          <w:rFonts w:eastAsia="Calibri" w:cstheme="minorHAnsi"/>
        </w:rPr>
      </w:pPr>
      <w:r>
        <w:rPr>
          <w:rFonts w:eastAsia="Calibri" w:cstheme="minorHAnsi"/>
        </w:rPr>
        <w:t>_______________________________</w:t>
      </w:r>
    </w:p>
    <w:p w14:paraId="56D193FF" w14:textId="77777777" w:rsidR="009C4B0C" w:rsidRDefault="009C4B0C" w:rsidP="009C4B0C">
      <w:pPr>
        <w:spacing w:after="160" w:line="254" w:lineRule="auto"/>
        <w:rPr>
          <w:rFonts w:eastAsia="Times New Roman" w:cs="Arial"/>
          <w:b/>
          <w:lang w:eastAsia="cs-CZ"/>
        </w:rPr>
      </w:pPr>
      <w:r>
        <w:rPr>
          <w:rFonts w:eastAsia="Calibri" w:cstheme="minorHAnsi"/>
        </w:rPr>
        <w:t xml:space="preserve">Jméno: </w:t>
      </w:r>
      <w:r>
        <w:rPr>
          <w:rFonts w:eastAsia="Times New Roman" w:cs="Arial"/>
          <w:b/>
          <w:lang w:eastAsia="cs-CZ"/>
        </w:rPr>
        <w:t>[</w:t>
      </w:r>
      <w:r w:rsidRPr="00484793">
        <w:rPr>
          <w:b/>
          <w:highlight w:val="green"/>
        </w:rPr>
        <w:t>DOPLNÍ DODAVATEL</w:t>
      </w:r>
      <w:r>
        <w:rPr>
          <w:rFonts w:eastAsia="Times New Roman" w:cs="Arial"/>
          <w:b/>
          <w:lang w:eastAsia="cs-CZ"/>
        </w:rPr>
        <w:t>]</w:t>
      </w:r>
      <w:r>
        <w:rPr>
          <w:rFonts w:eastAsia="Calibri" w:cstheme="minorHAnsi"/>
        </w:rPr>
        <w:t xml:space="preserve">, Funkce: </w:t>
      </w:r>
      <w:r>
        <w:rPr>
          <w:rFonts w:eastAsia="Times New Roman" w:cs="Arial"/>
          <w:b/>
          <w:lang w:eastAsia="cs-CZ"/>
        </w:rPr>
        <w:t>[</w:t>
      </w:r>
      <w:r w:rsidRPr="00484793">
        <w:rPr>
          <w:b/>
          <w:highlight w:val="green"/>
        </w:rPr>
        <w:t>DOPLNÍ DODAVATEL</w:t>
      </w:r>
      <w:r>
        <w:rPr>
          <w:rFonts w:eastAsia="Times New Roman" w:cs="Arial"/>
          <w:b/>
          <w:lang w:eastAsia="cs-CZ"/>
        </w:rPr>
        <w:t>]</w:t>
      </w:r>
    </w:p>
    <w:p w14:paraId="4127748E" w14:textId="77777777" w:rsidR="009C4B0C" w:rsidRDefault="009C4B0C" w:rsidP="009C4B0C">
      <w:pPr>
        <w:spacing w:after="200"/>
        <w:jc w:val="left"/>
        <w:rPr>
          <w:rFonts w:eastAsia="Times New Roman" w:cs="Arial"/>
          <w:b/>
          <w:lang w:eastAsia="cs-CZ"/>
        </w:rPr>
      </w:pPr>
      <w:r>
        <w:rPr>
          <w:rFonts w:eastAsia="Times New Roman" w:cs="Arial"/>
          <w:b/>
          <w:lang w:eastAsia="cs-CZ"/>
        </w:rPr>
        <w:br w:type="page"/>
      </w:r>
    </w:p>
    <w:p w14:paraId="2CFA77A7" w14:textId="67277256" w:rsidR="003908C5" w:rsidRPr="002709E6" w:rsidRDefault="002709E6" w:rsidP="003908C5">
      <w:pPr>
        <w:tabs>
          <w:tab w:val="left" w:pos="6096"/>
        </w:tabs>
        <w:spacing w:before="480"/>
        <w:jc w:val="left"/>
        <w:rPr>
          <w:rFonts w:cstheme="minorHAnsi"/>
          <w:b/>
          <w:bCs/>
        </w:rPr>
      </w:pPr>
      <w:r w:rsidRPr="002709E6">
        <w:rPr>
          <w:rFonts w:cstheme="minorHAnsi"/>
          <w:b/>
          <w:bCs/>
        </w:rPr>
        <w:lastRenderedPageBreak/>
        <w:t>Příloha č. 5</w:t>
      </w:r>
    </w:p>
    <w:p w14:paraId="614B267D" w14:textId="686559E3" w:rsidR="003908C5" w:rsidRDefault="003908C5" w:rsidP="002709E6">
      <w:pPr>
        <w:tabs>
          <w:tab w:val="left" w:pos="6096"/>
        </w:tabs>
        <w:spacing w:before="360"/>
        <w:jc w:val="center"/>
        <w:rPr>
          <w:b/>
          <w:color w:val="000000" w:themeColor="text1"/>
          <w:sz w:val="40"/>
          <w:szCs w:val="36"/>
        </w:rPr>
      </w:pPr>
      <w:r>
        <w:rPr>
          <w:b/>
          <w:color w:val="000000" w:themeColor="text1"/>
          <w:sz w:val="40"/>
          <w:szCs w:val="36"/>
        </w:rPr>
        <w:t>SEZNAM PODDODAVATELSKÉHO PLNĚNÍ</w:t>
      </w:r>
    </w:p>
    <w:p w14:paraId="1B1075D5" w14:textId="272C57F4" w:rsidR="003908C5" w:rsidRDefault="003908C5" w:rsidP="003908C5">
      <w:pPr>
        <w:tabs>
          <w:tab w:val="left" w:pos="6096"/>
        </w:tabs>
        <w:spacing w:before="240" w:after="360"/>
        <w:jc w:val="center"/>
      </w:pPr>
      <w:r>
        <w:rPr>
          <w:color w:val="000000"/>
        </w:rPr>
        <w:t>Níže podepsaný účastník předkládá seznam poddodavatelského plnění pro plnění</w:t>
      </w:r>
      <w:r>
        <w:t xml:space="preserve"> zakázky s názvem </w:t>
      </w:r>
    </w:p>
    <w:p w14:paraId="176651F1" w14:textId="4281373D" w:rsidR="009A40A0" w:rsidRDefault="00515E5C" w:rsidP="009A40A0">
      <w:pPr>
        <w:jc w:val="center"/>
        <w:rPr>
          <w:b/>
          <w:caps/>
          <w:color w:val="E36C0A" w:themeColor="accent6" w:themeShade="BF"/>
          <w:sz w:val="40"/>
        </w:rPr>
      </w:pPr>
      <w:r>
        <w:rPr>
          <w:b/>
          <w:caps/>
          <w:color w:val="E36C0A" w:themeColor="accent6" w:themeShade="BF"/>
          <w:sz w:val="40"/>
        </w:rPr>
        <w:t xml:space="preserve">dodávka </w:t>
      </w:r>
      <w:r w:rsidR="006B1940">
        <w:rPr>
          <w:b/>
          <w:caps/>
          <w:color w:val="E36C0A" w:themeColor="accent6" w:themeShade="BF"/>
          <w:sz w:val="40"/>
        </w:rPr>
        <w:t>elektrické energie na rok 2024</w:t>
      </w:r>
      <w:r w:rsidR="009A40A0">
        <w:rPr>
          <w:b/>
          <w:caps/>
          <w:color w:val="E36C0A" w:themeColor="accent6" w:themeShade="BF"/>
          <w:sz w:val="40"/>
        </w:rPr>
        <w:t xml:space="preserve"> </w:t>
      </w:r>
    </w:p>
    <w:p w14:paraId="4FEF4F02" w14:textId="77777777" w:rsidR="003908C5" w:rsidRDefault="003908C5" w:rsidP="00EA510F">
      <w:pPr>
        <w:spacing w:before="240" w:after="0" w:line="240" w:lineRule="auto"/>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17"/>
        <w:gridCol w:w="2961"/>
        <w:gridCol w:w="2761"/>
        <w:gridCol w:w="2166"/>
      </w:tblGrid>
      <w:tr w:rsidR="007C60C2" w14:paraId="38189696" w14:textId="105C3EC2" w:rsidTr="00A06CF1">
        <w:trPr>
          <w:trHeight w:val="1365"/>
        </w:trPr>
        <w:tc>
          <w:tcPr>
            <w:tcW w:w="1917" w:type="dxa"/>
            <w:tcBorders>
              <w:top w:val="dotted" w:sz="4" w:space="0" w:color="BFBFBF"/>
              <w:left w:val="dotted" w:sz="4" w:space="0" w:color="BFBFBF"/>
              <w:bottom w:val="dotted" w:sz="4" w:space="0" w:color="BFBFBF"/>
              <w:right w:val="dotted" w:sz="4" w:space="0" w:color="BFBFBF"/>
            </w:tcBorders>
            <w:vAlign w:val="center"/>
            <w:hideMark/>
          </w:tcPr>
          <w:p w14:paraId="2AB6DE23" w14:textId="77777777" w:rsidR="007C60C2" w:rsidRDefault="007C60C2">
            <w:pPr>
              <w:spacing w:before="40" w:after="40" w:line="240" w:lineRule="auto"/>
              <w:jc w:val="center"/>
              <w:rPr>
                <w:b/>
                <w:lang w:eastAsia="cs-CZ"/>
              </w:rPr>
            </w:pPr>
            <w:r>
              <w:rPr>
                <w:b/>
                <w:color w:val="000000"/>
              </w:rPr>
              <w:t>Slovní popis plnění poddodavatele</w:t>
            </w:r>
          </w:p>
        </w:tc>
        <w:tc>
          <w:tcPr>
            <w:tcW w:w="2961" w:type="dxa"/>
            <w:tcBorders>
              <w:top w:val="dotted" w:sz="4" w:space="0" w:color="BFBFBF"/>
              <w:left w:val="dotted" w:sz="4" w:space="0" w:color="BFBFBF"/>
              <w:bottom w:val="dotted" w:sz="4" w:space="0" w:color="BFBFBF"/>
              <w:right w:val="dotted" w:sz="4" w:space="0" w:color="BFBFBF"/>
            </w:tcBorders>
            <w:vAlign w:val="center"/>
            <w:hideMark/>
          </w:tcPr>
          <w:p w14:paraId="4474B975" w14:textId="77777777" w:rsidR="007C60C2" w:rsidRDefault="007C60C2">
            <w:pPr>
              <w:spacing w:before="40" w:after="40" w:line="240" w:lineRule="auto"/>
              <w:jc w:val="center"/>
              <w:rPr>
                <w:lang w:eastAsia="cs-CZ"/>
              </w:rPr>
            </w:pPr>
            <w:r>
              <w:rPr>
                <w:b/>
                <w:color w:val="000000"/>
              </w:rPr>
              <w:t>Poměr finančního objemu plnění poddodavatele k finančnímu objemu celkového plnění dle smlouvy (v %)</w:t>
            </w:r>
          </w:p>
        </w:tc>
        <w:tc>
          <w:tcPr>
            <w:tcW w:w="2761" w:type="dxa"/>
            <w:tcBorders>
              <w:top w:val="dotted" w:sz="4" w:space="0" w:color="BFBFBF"/>
              <w:left w:val="dotted" w:sz="4" w:space="0" w:color="BFBFBF"/>
              <w:bottom w:val="dotted" w:sz="4" w:space="0" w:color="BFBFBF"/>
              <w:right w:val="dotted" w:sz="4" w:space="0" w:color="BFBFBF"/>
            </w:tcBorders>
            <w:vAlign w:val="center"/>
            <w:hideMark/>
          </w:tcPr>
          <w:p w14:paraId="4CFBA80D" w14:textId="77777777" w:rsidR="007C60C2" w:rsidRDefault="007C60C2">
            <w:pPr>
              <w:tabs>
                <w:tab w:val="left" w:pos="5865"/>
                <w:tab w:val="left" w:pos="6096"/>
              </w:tabs>
              <w:spacing w:before="120" w:after="0"/>
              <w:jc w:val="center"/>
              <w:rPr>
                <w:b/>
                <w:color w:val="000000"/>
              </w:rPr>
            </w:pPr>
            <w:r>
              <w:rPr>
                <w:b/>
                <w:color w:val="000000"/>
              </w:rPr>
              <w:t>Název a identifikace poddodavatele</w:t>
            </w:r>
          </w:p>
          <w:p w14:paraId="6D6ADFCC" w14:textId="77777777" w:rsidR="007C60C2" w:rsidRDefault="007C60C2">
            <w:pPr>
              <w:spacing w:before="40" w:after="40" w:line="240" w:lineRule="auto"/>
              <w:jc w:val="center"/>
              <w:rPr>
                <w:rFonts w:eastAsia="Times New Roman" w:cs="Arial"/>
                <w:lang w:eastAsia="cs-CZ"/>
              </w:rPr>
            </w:pPr>
            <w:r>
              <w:rPr>
                <w:b/>
              </w:rPr>
              <w:t>(Obchodní název, sídlo, IČ)</w:t>
            </w:r>
          </w:p>
        </w:tc>
        <w:tc>
          <w:tcPr>
            <w:tcW w:w="2166" w:type="dxa"/>
            <w:tcBorders>
              <w:top w:val="dotted" w:sz="4" w:space="0" w:color="BFBFBF"/>
              <w:left w:val="dotted" w:sz="4" w:space="0" w:color="BFBFBF"/>
              <w:bottom w:val="dotted" w:sz="4" w:space="0" w:color="BFBFBF"/>
              <w:right w:val="dotted" w:sz="4" w:space="0" w:color="BFBFBF"/>
            </w:tcBorders>
            <w:vAlign w:val="center"/>
          </w:tcPr>
          <w:p w14:paraId="3DE03FAA" w14:textId="382732CE" w:rsidR="007C60C2" w:rsidRDefault="007C60C2" w:rsidP="00A06CF1">
            <w:pPr>
              <w:tabs>
                <w:tab w:val="left" w:pos="5865"/>
                <w:tab w:val="left" w:pos="6096"/>
              </w:tabs>
              <w:spacing w:before="120" w:after="0"/>
              <w:jc w:val="center"/>
              <w:rPr>
                <w:b/>
                <w:color w:val="000000"/>
              </w:rPr>
            </w:pPr>
            <w:r>
              <w:rPr>
                <w:b/>
                <w:color w:val="000000"/>
              </w:rPr>
              <w:t>Část zakázky</w:t>
            </w:r>
          </w:p>
        </w:tc>
      </w:tr>
      <w:tr w:rsidR="007C60C2" w14:paraId="1327B249" w14:textId="341DF61D" w:rsidTr="007C60C2">
        <w:trPr>
          <w:trHeight w:val="549"/>
        </w:trPr>
        <w:tc>
          <w:tcPr>
            <w:tcW w:w="1917" w:type="dxa"/>
            <w:tcBorders>
              <w:top w:val="dotted" w:sz="4" w:space="0" w:color="BFBFBF"/>
              <w:left w:val="dotted" w:sz="4" w:space="0" w:color="BFBFBF"/>
              <w:bottom w:val="dotted" w:sz="4" w:space="0" w:color="BFBFBF"/>
              <w:right w:val="dotted" w:sz="4" w:space="0" w:color="BFBFBF"/>
            </w:tcBorders>
            <w:vAlign w:val="center"/>
            <w:hideMark/>
          </w:tcPr>
          <w:p w14:paraId="2255CD8A" w14:textId="68A919F2" w:rsidR="007C60C2" w:rsidRDefault="007C60C2">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961" w:type="dxa"/>
            <w:tcBorders>
              <w:top w:val="dotted" w:sz="4" w:space="0" w:color="BFBFBF"/>
              <w:left w:val="dotted" w:sz="4" w:space="0" w:color="BFBFBF"/>
              <w:bottom w:val="dotted" w:sz="4" w:space="0" w:color="BFBFBF"/>
              <w:right w:val="dotted" w:sz="4" w:space="0" w:color="BFBFBF"/>
            </w:tcBorders>
            <w:vAlign w:val="center"/>
            <w:hideMark/>
          </w:tcPr>
          <w:p w14:paraId="50BAE0D4" w14:textId="7B0BC06C" w:rsidR="007C60C2" w:rsidRDefault="007C60C2">
            <w:pPr>
              <w:spacing w:before="40" w:after="40" w:line="240" w:lineRule="auto"/>
              <w:rPr>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761" w:type="dxa"/>
            <w:tcBorders>
              <w:top w:val="dotted" w:sz="4" w:space="0" w:color="BFBFBF"/>
              <w:left w:val="dotted" w:sz="4" w:space="0" w:color="BFBFBF"/>
              <w:bottom w:val="dotted" w:sz="4" w:space="0" w:color="BFBFBF"/>
              <w:right w:val="dotted" w:sz="4" w:space="0" w:color="BFBFBF"/>
            </w:tcBorders>
            <w:hideMark/>
          </w:tcPr>
          <w:p w14:paraId="2C4FF99C" w14:textId="506107D1" w:rsidR="007C60C2" w:rsidRDefault="007C60C2">
            <w:pPr>
              <w:spacing w:before="40" w:after="40" w:line="240" w:lineRule="auto"/>
              <w:rPr>
                <w:rFonts w:eastAsia="Times New Roman" w:cs="Arial"/>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c>
          <w:tcPr>
            <w:tcW w:w="2166" w:type="dxa"/>
            <w:tcBorders>
              <w:top w:val="dotted" w:sz="4" w:space="0" w:color="BFBFBF"/>
              <w:left w:val="dotted" w:sz="4" w:space="0" w:color="BFBFBF"/>
              <w:bottom w:val="dotted" w:sz="4" w:space="0" w:color="BFBFBF"/>
              <w:right w:val="dotted" w:sz="4" w:space="0" w:color="BFBFBF"/>
            </w:tcBorders>
          </w:tcPr>
          <w:p w14:paraId="7C778462" w14:textId="752B2688" w:rsidR="007C60C2" w:rsidRDefault="007C60C2">
            <w:pPr>
              <w:spacing w:before="40" w:after="40" w:line="240" w:lineRule="auto"/>
              <w:rPr>
                <w:rFonts w:eastAsia="Times New Roman" w:cs="Arial"/>
                <w:b/>
                <w:lang w:eastAsia="cs-CZ"/>
              </w:rPr>
            </w:pPr>
            <w:r>
              <w:rPr>
                <w:rFonts w:eastAsia="Times New Roman" w:cs="Arial"/>
                <w:b/>
                <w:lang w:eastAsia="cs-CZ"/>
              </w:rPr>
              <w:t>[</w:t>
            </w:r>
            <w:r w:rsidRPr="00484793">
              <w:rPr>
                <w:b/>
                <w:highlight w:val="green"/>
              </w:rPr>
              <w:t>DOPLNÍ DODAVATEL</w:t>
            </w:r>
            <w:r>
              <w:rPr>
                <w:rFonts w:eastAsia="Times New Roman" w:cs="Arial"/>
                <w:b/>
                <w:lang w:eastAsia="cs-CZ"/>
              </w:rPr>
              <w:t>]</w:t>
            </w:r>
          </w:p>
        </w:tc>
      </w:tr>
    </w:tbl>
    <w:p w14:paraId="74EF6179" w14:textId="77777777" w:rsidR="003908C5" w:rsidRDefault="003908C5" w:rsidP="003908C5">
      <w:pPr>
        <w:tabs>
          <w:tab w:val="left" w:pos="1575"/>
        </w:tabs>
        <w:spacing w:after="0" w:line="240" w:lineRule="auto"/>
        <w:rPr>
          <w:i/>
          <w:iCs/>
        </w:rPr>
      </w:pPr>
      <w:r>
        <w:rPr>
          <w:i/>
          <w:iCs/>
        </w:rPr>
        <w:t>Lze doplnit další řádky.</w:t>
      </w:r>
    </w:p>
    <w:p w14:paraId="1E7B5FB0" w14:textId="77777777" w:rsidR="003908C5" w:rsidRDefault="003908C5" w:rsidP="003908C5">
      <w:pPr>
        <w:tabs>
          <w:tab w:val="left" w:pos="1575"/>
        </w:tabs>
        <w:spacing w:after="0" w:line="240" w:lineRule="auto"/>
      </w:pPr>
    </w:p>
    <w:p w14:paraId="7E1298CF" w14:textId="77777777" w:rsidR="003908C5" w:rsidRDefault="003908C5" w:rsidP="003908C5">
      <w:pPr>
        <w:tabs>
          <w:tab w:val="left" w:pos="1575"/>
        </w:tabs>
        <w:spacing w:after="0" w:line="240" w:lineRule="auto"/>
      </w:pPr>
    </w:p>
    <w:p w14:paraId="2A7D2E0B" w14:textId="77777777" w:rsidR="003908C5" w:rsidRDefault="003908C5" w:rsidP="003908C5">
      <w:pPr>
        <w:tabs>
          <w:tab w:val="left" w:pos="1575"/>
        </w:tabs>
        <w:spacing w:after="0" w:line="240" w:lineRule="auto"/>
      </w:pPr>
    </w:p>
    <w:p w14:paraId="1F5C24C1" w14:textId="39A06626" w:rsidR="003908C5" w:rsidRDefault="003908C5" w:rsidP="003908C5">
      <w:pPr>
        <w:spacing w:after="240" w:line="254" w:lineRule="auto"/>
        <w:rPr>
          <w:rFonts w:eastAsia="Calibri" w:cstheme="minorHAnsi"/>
        </w:rPr>
      </w:pPr>
      <w:r>
        <w:rPr>
          <w:rFonts w:eastAsia="Calibri" w:cstheme="minorHAnsi"/>
        </w:rPr>
        <w:t xml:space="preserve">V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dne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2CFAC1E7" w14:textId="77777777" w:rsidR="003908C5" w:rsidRDefault="003908C5" w:rsidP="003908C5">
      <w:pPr>
        <w:spacing w:after="160" w:line="254" w:lineRule="auto"/>
        <w:rPr>
          <w:rFonts w:eastAsia="Calibri" w:cstheme="minorHAnsi"/>
        </w:rPr>
      </w:pPr>
      <w:r>
        <w:rPr>
          <w:rFonts w:eastAsia="Calibri" w:cstheme="minorHAnsi"/>
        </w:rPr>
        <w:t>Podpis:</w:t>
      </w:r>
    </w:p>
    <w:p w14:paraId="2AED80D4" w14:textId="77777777" w:rsidR="003908C5" w:rsidRDefault="003908C5" w:rsidP="003908C5">
      <w:pPr>
        <w:spacing w:after="160" w:line="254" w:lineRule="auto"/>
        <w:rPr>
          <w:rFonts w:eastAsia="Calibri" w:cstheme="minorHAnsi"/>
        </w:rPr>
      </w:pPr>
      <w:r>
        <w:rPr>
          <w:rFonts w:eastAsia="Calibri" w:cstheme="minorHAnsi"/>
        </w:rPr>
        <w:t>_______________________________</w:t>
      </w:r>
    </w:p>
    <w:p w14:paraId="74740A8C" w14:textId="00CD0B37" w:rsidR="004935CC" w:rsidRDefault="003908C5" w:rsidP="003908C5">
      <w:pPr>
        <w:spacing w:after="160" w:line="254" w:lineRule="auto"/>
        <w:rPr>
          <w:rFonts w:eastAsia="Times New Roman" w:cs="Arial"/>
          <w:b/>
          <w:lang w:eastAsia="cs-CZ"/>
        </w:rPr>
      </w:pPr>
      <w:r>
        <w:rPr>
          <w:rFonts w:eastAsia="Calibri" w:cstheme="minorHAnsi"/>
        </w:rPr>
        <w:t xml:space="preserve">Jméno: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r>
        <w:rPr>
          <w:rFonts w:eastAsia="Calibri" w:cstheme="minorHAnsi"/>
        </w:rPr>
        <w:t xml:space="preserve">, Funkce: </w:t>
      </w:r>
      <w:r w:rsidR="00484793">
        <w:rPr>
          <w:rFonts w:eastAsia="Times New Roman" w:cs="Arial"/>
          <w:b/>
          <w:lang w:eastAsia="cs-CZ"/>
        </w:rPr>
        <w:t>[</w:t>
      </w:r>
      <w:r w:rsidR="00484793" w:rsidRPr="00484793">
        <w:rPr>
          <w:b/>
          <w:highlight w:val="green"/>
        </w:rPr>
        <w:t>DOPLNÍ DODAVATEL</w:t>
      </w:r>
      <w:r w:rsidR="00484793">
        <w:rPr>
          <w:rFonts w:eastAsia="Times New Roman" w:cs="Arial"/>
          <w:b/>
          <w:lang w:eastAsia="cs-CZ"/>
        </w:rPr>
        <w:t>]</w:t>
      </w:r>
    </w:p>
    <w:p w14:paraId="5533F567" w14:textId="77777777" w:rsidR="004935CC" w:rsidRDefault="004935CC">
      <w:pPr>
        <w:spacing w:after="200"/>
        <w:jc w:val="left"/>
        <w:rPr>
          <w:rFonts w:eastAsia="Times New Roman" w:cs="Arial"/>
          <w:b/>
          <w:lang w:eastAsia="cs-CZ"/>
        </w:rPr>
      </w:pPr>
      <w:r>
        <w:rPr>
          <w:rFonts w:eastAsia="Times New Roman" w:cs="Arial"/>
          <w:b/>
          <w:lang w:eastAsia="cs-CZ"/>
        </w:rPr>
        <w:br w:type="page"/>
      </w:r>
    </w:p>
    <w:p w14:paraId="6633B8D2" w14:textId="64ACA834" w:rsidR="00013E3B" w:rsidRDefault="00013E3B" w:rsidP="00013E3B">
      <w:pPr>
        <w:spacing w:before="120" w:after="0" w:line="254" w:lineRule="auto"/>
        <w:jc w:val="center"/>
        <w:rPr>
          <w:rFonts w:cstheme="minorHAnsi"/>
          <w:b/>
          <w:bCs/>
        </w:rPr>
      </w:pPr>
      <w:r w:rsidRPr="000E7EEE">
        <w:rPr>
          <w:rFonts w:cstheme="minorHAnsi"/>
          <w:b/>
          <w:bCs/>
        </w:rPr>
        <w:lastRenderedPageBreak/>
        <w:t xml:space="preserve">Příloha č. </w:t>
      </w:r>
      <w:r w:rsidR="006B1940">
        <w:rPr>
          <w:rFonts w:cstheme="minorHAnsi"/>
          <w:b/>
          <w:bCs/>
        </w:rPr>
        <w:t>6</w:t>
      </w:r>
    </w:p>
    <w:p w14:paraId="69463E0F" w14:textId="77777777" w:rsidR="00013E3B" w:rsidRDefault="00013E3B" w:rsidP="00013E3B">
      <w:pPr>
        <w:spacing w:line="254" w:lineRule="auto"/>
        <w:jc w:val="center"/>
        <w:rPr>
          <w:rFonts w:cstheme="minorHAnsi"/>
          <w:b/>
          <w:bCs/>
        </w:rPr>
      </w:pPr>
      <w:r>
        <w:rPr>
          <w:rFonts w:cstheme="minorHAnsi"/>
          <w:b/>
          <w:bCs/>
        </w:rPr>
        <w:t>Požadavky na elektronickou komunikaci JOSEPHINE</w:t>
      </w:r>
    </w:p>
    <w:p w14:paraId="46C7A342" w14:textId="77777777" w:rsidR="00013E3B" w:rsidRPr="00235F07" w:rsidRDefault="00013E3B" w:rsidP="00013E3B">
      <w:pPr>
        <w:spacing w:after="160" w:line="254" w:lineRule="auto"/>
        <w:jc w:val="center"/>
        <w:rPr>
          <w:rFonts w:cstheme="minorHAnsi"/>
        </w:rPr>
      </w:pPr>
      <w:r>
        <w:rPr>
          <w:rFonts w:cstheme="minorHAnsi"/>
        </w:rPr>
        <w:t>(Příloha tvoří samostatný dokument)</w:t>
      </w:r>
    </w:p>
    <w:p w14:paraId="58BD0348" w14:textId="77777777" w:rsidR="000245BB" w:rsidRPr="00285DA5" w:rsidRDefault="000245BB">
      <w:pPr>
        <w:spacing w:after="200"/>
        <w:jc w:val="left"/>
        <w:rPr>
          <w:rFonts w:cstheme="minorHAnsi"/>
          <w:b/>
          <w:bCs/>
        </w:rPr>
      </w:pPr>
    </w:p>
    <w:sectPr w:rsidR="000245BB" w:rsidRPr="00285DA5" w:rsidSect="0063369F">
      <w:footerReference w:type="default" r:id="rId14"/>
      <w:headerReference w:type="first" r:id="rId15"/>
      <w:footerReference w:type="first" r:id="rId16"/>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FA68" w14:textId="77777777" w:rsidR="005E6C1F" w:rsidRDefault="005E6C1F" w:rsidP="00AB5244">
      <w:r>
        <w:separator/>
      </w:r>
    </w:p>
  </w:endnote>
  <w:endnote w:type="continuationSeparator" w:id="0">
    <w:p w14:paraId="62DB7521" w14:textId="77777777" w:rsidR="005E6C1F" w:rsidRDefault="005E6C1F" w:rsidP="00AB5244">
      <w:r>
        <w:continuationSeparator/>
      </w:r>
    </w:p>
  </w:endnote>
  <w:endnote w:type="continuationNotice" w:id="1">
    <w:p w14:paraId="0404EC3A" w14:textId="77777777" w:rsidR="005E6C1F" w:rsidRDefault="005E6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065B" w14:textId="77777777" w:rsidR="00241A1A" w:rsidRPr="00A26900" w:rsidRDefault="00241A1A"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p w14:paraId="3A2BC14B" w14:textId="77777777" w:rsidR="00241A1A" w:rsidRDefault="00241A1A"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42D4" w14:textId="77777777" w:rsidR="005E6C1F" w:rsidRDefault="005E6C1F" w:rsidP="00AB5244">
      <w:r>
        <w:separator/>
      </w:r>
    </w:p>
  </w:footnote>
  <w:footnote w:type="continuationSeparator" w:id="0">
    <w:p w14:paraId="42B02D14" w14:textId="77777777" w:rsidR="005E6C1F" w:rsidRDefault="005E6C1F" w:rsidP="00AB5244">
      <w:r>
        <w:continuationSeparator/>
      </w:r>
    </w:p>
  </w:footnote>
  <w:footnote w:type="continuationNotice" w:id="1">
    <w:p w14:paraId="498113E5" w14:textId="77777777" w:rsidR="005E6C1F" w:rsidRDefault="005E6C1F">
      <w:pPr>
        <w:spacing w:after="0" w:line="240" w:lineRule="auto"/>
      </w:pPr>
    </w:p>
  </w:footnote>
  <w:footnote w:id="2">
    <w:p w14:paraId="10A559F5" w14:textId="77777777" w:rsidR="009A40A0" w:rsidRPr="003F1294" w:rsidRDefault="009A40A0" w:rsidP="009A40A0">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3">
    <w:p w14:paraId="3278D1C3" w14:textId="77777777" w:rsidR="009A40A0" w:rsidRPr="003F1294" w:rsidRDefault="009A40A0" w:rsidP="009A40A0">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601403CC" w14:textId="77777777" w:rsidR="009A40A0" w:rsidRPr="003F1294" w:rsidRDefault="009A40A0" w:rsidP="00B0127C">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7AE2A0C4" w14:textId="77777777" w:rsidR="009A40A0" w:rsidRPr="003F1294" w:rsidRDefault="009A40A0" w:rsidP="00B0127C">
      <w:pPr>
        <w:numPr>
          <w:ilvl w:val="0"/>
          <w:numId w:val="11"/>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46380609" w14:textId="77777777" w:rsidR="003B573F" w:rsidRPr="003F1294" w:rsidRDefault="003B573F" w:rsidP="003B573F">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barevně zvýrazněné</w:t>
      </w:r>
      <w:r w:rsidRPr="003F1294">
        <w:rPr>
          <w:sz w:val="16"/>
          <w:szCs w:val="16"/>
        </w:rPr>
        <w:t xml:space="preserve"> údaje. Za přesnost, úplnost a kompletnost krycího listu odpovídá dodavatel.</w:t>
      </w:r>
    </w:p>
  </w:footnote>
  <w:footnote w:id="5">
    <w:p w14:paraId="6E4C5CD6" w14:textId="77777777" w:rsidR="003B573F" w:rsidRPr="003F1294" w:rsidRDefault="003B573F" w:rsidP="003B573F">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zadávacího řízení: </w:t>
      </w:r>
    </w:p>
    <w:p w14:paraId="02926838" w14:textId="77777777" w:rsidR="003B573F" w:rsidRPr="003F1294" w:rsidRDefault="003B573F" w:rsidP="003B573F">
      <w:pPr>
        <w:numPr>
          <w:ilvl w:val="0"/>
          <w:numId w:val="11"/>
        </w:numPr>
        <w:spacing w:after="0"/>
        <w:ind w:left="714" w:hanging="357"/>
        <w:rPr>
          <w:sz w:val="16"/>
          <w:szCs w:val="16"/>
        </w:rPr>
      </w:pPr>
      <w:r w:rsidRPr="003F1294">
        <w:rPr>
          <w:sz w:val="16"/>
          <w:szCs w:val="16"/>
        </w:rPr>
        <w:t xml:space="preserve">malý podnik – méně než 50 zaměstnanců a roční obrat nebo rozvaha do 10 mil. EUR; </w:t>
      </w:r>
    </w:p>
    <w:p w14:paraId="45B4E42A" w14:textId="77777777" w:rsidR="003B573F" w:rsidRPr="003F1294" w:rsidRDefault="003B573F" w:rsidP="003B573F">
      <w:pPr>
        <w:numPr>
          <w:ilvl w:val="0"/>
          <w:numId w:val="11"/>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AD76DBD"/>
    <w:multiLevelType w:val="hybridMultilevel"/>
    <w:tmpl w:val="1F66E0B4"/>
    <w:lvl w:ilvl="0" w:tplc="6068D202">
      <w:start w:val="1"/>
      <w:numFmt w:val="decimal"/>
      <w:lvlText w:val="%1)"/>
      <w:lvlJc w:val="left"/>
      <w:pPr>
        <w:ind w:left="720" w:hanging="360"/>
      </w:pPr>
      <w:rPr>
        <w:rFonts w:ascii="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7B457D"/>
    <w:multiLevelType w:val="hybridMultilevel"/>
    <w:tmpl w:val="05469D8E"/>
    <w:lvl w:ilvl="0" w:tplc="1F00879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8" w15:restartNumberingAfterBreak="0">
    <w:nsid w:val="473D33AD"/>
    <w:multiLevelType w:val="hybridMultilevel"/>
    <w:tmpl w:val="6EF8B3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DA6D36"/>
    <w:multiLevelType w:val="hybridMultilevel"/>
    <w:tmpl w:val="DCB6B542"/>
    <w:lvl w:ilvl="0" w:tplc="90A2FB1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7398249">
    <w:abstractNumId w:val="3"/>
  </w:num>
  <w:num w:numId="2" w16cid:durableId="726802495">
    <w:abstractNumId w:val="4"/>
  </w:num>
  <w:num w:numId="3" w16cid:durableId="206069747">
    <w:abstractNumId w:val="7"/>
  </w:num>
  <w:num w:numId="4" w16cid:durableId="185487911">
    <w:abstractNumId w:val="13"/>
  </w:num>
  <w:num w:numId="5" w16cid:durableId="1384136285">
    <w:abstractNumId w:val="1"/>
  </w:num>
  <w:num w:numId="6" w16cid:durableId="1753970392">
    <w:abstractNumId w:val="10"/>
  </w:num>
  <w:num w:numId="7" w16cid:durableId="1558977440">
    <w:abstractNumId w:val="10"/>
    <w:lvlOverride w:ilvl="0">
      <w:startOverride w:val="1"/>
    </w:lvlOverride>
  </w:num>
  <w:num w:numId="8" w16cid:durableId="241570121">
    <w:abstractNumId w:val="5"/>
  </w:num>
  <w:num w:numId="9" w16cid:durableId="10133377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6099707">
    <w:abstractNumId w:val="14"/>
  </w:num>
  <w:num w:numId="11" w16cid:durableId="423458708">
    <w:abstractNumId w:val="9"/>
  </w:num>
  <w:num w:numId="12" w16cid:durableId="1693728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288361">
    <w:abstractNumId w:val="12"/>
  </w:num>
  <w:num w:numId="14" w16cid:durableId="830482622">
    <w:abstractNumId w:val="2"/>
  </w:num>
  <w:num w:numId="15" w16cid:durableId="1190945957">
    <w:abstractNumId w:val="11"/>
  </w:num>
  <w:num w:numId="16" w16cid:durableId="851797111">
    <w:abstractNumId w:val="6"/>
  </w:num>
  <w:num w:numId="17" w16cid:durableId="204636966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03"/>
    <w:rsid w:val="00000309"/>
    <w:rsid w:val="00003B32"/>
    <w:rsid w:val="00007C8E"/>
    <w:rsid w:val="0001060F"/>
    <w:rsid w:val="00011DCB"/>
    <w:rsid w:val="00011F56"/>
    <w:rsid w:val="000127E1"/>
    <w:rsid w:val="0001297A"/>
    <w:rsid w:val="000132B6"/>
    <w:rsid w:val="00013E3B"/>
    <w:rsid w:val="0001496D"/>
    <w:rsid w:val="00015510"/>
    <w:rsid w:val="00015BD8"/>
    <w:rsid w:val="00017EDD"/>
    <w:rsid w:val="00021D28"/>
    <w:rsid w:val="0002220A"/>
    <w:rsid w:val="0002251A"/>
    <w:rsid w:val="000228FC"/>
    <w:rsid w:val="000231D4"/>
    <w:rsid w:val="00024255"/>
    <w:rsid w:val="000244A7"/>
    <w:rsid w:val="000245BB"/>
    <w:rsid w:val="00024EF1"/>
    <w:rsid w:val="00025569"/>
    <w:rsid w:val="0003078C"/>
    <w:rsid w:val="000327B2"/>
    <w:rsid w:val="000339D4"/>
    <w:rsid w:val="00035368"/>
    <w:rsid w:val="00036E5B"/>
    <w:rsid w:val="000371AD"/>
    <w:rsid w:val="00042FCF"/>
    <w:rsid w:val="00044303"/>
    <w:rsid w:val="00047555"/>
    <w:rsid w:val="0005220A"/>
    <w:rsid w:val="00052C3D"/>
    <w:rsid w:val="00053AD6"/>
    <w:rsid w:val="00054374"/>
    <w:rsid w:val="00057563"/>
    <w:rsid w:val="000620F1"/>
    <w:rsid w:val="00064997"/>
    <w:rsid w:val="00066607"/>
    <w:rsid w:val="0007122F"/>
    <w:rsid w:val="0007315F"/>
    <w:rsid w:val="00077196"/>
    <w:rsid w:val="00081B96"/>
    <w:rsid w:val="00081C3A"/>
    <w:rsid w:val="00082987"/>
    <w:rsid w:val="00084803"/>
    <w:rsid w:val="0008512B"/>
    <w:rsid w:val="0008689C"/>
    <w:rsid w:val="00087BA0"/>
    <w:rsid w:val="00090C3D"/>
    <w:rsid w:val="000915CA"/>
    <w:rsid w:val="00094953"/>
    <w:rsid w:val="00094DEB"/>
    <w:rsid w:val="00095360"/>
    <w:rsid w:val="000A0FAA"/>
    <w:rsid w:val="000A2D4F"/>
    <w:rsid w:val="000A31A0"/>
    <w:rsid w:val="000A40D8"/>
    <w:rsid w:val="000A4B68"/>
    <w:rsid w:val="000A68A6"/>
    <w:rsid w:val="000A694B"/>
    <w:rsid w:val="000A70B0"/>
    <w:rsid w:val="000A74E2"/>
    <w:rsid w:val="000B008A"/>
    <w:rsid w:val="000B0C22"/>
    <w:rsid w:val="000B3151"/>
    <w:rsid w:val="000B3257"/>
    <w:rsid w:val="000B4AF8"/>
    <w:rsid w:val="000B7669"/>
    <w:rsid w:val="000B7C25"/>
    <w:rsid w:val="000C4AE5"/>
    <w:rsid w:val="000C696D"/>
    <w:rsid w:val="000D08C0"/>
    <w:rsid w:val="000D3232"/>
    <w:rsid w:val="000D3557"/>
    <w:rsid w:val="000D4060"/>
    <w:rsid w:val="000D5150"/>
    <w:rsid w:val="000D5DFE"/>
    <w:rsid w:val="000D69B3"/>
    <w:rsid w:val="000E6266"/>
    <w:rsid w:val="000E718A"/>
    <w:rsid w:val="000E7B15"/>
    <w:rsid w:val="00100726"/>
    <w:rsid w:val="00100E6B"/>
    <w:rsid w:val="00101056"/>
    <w:rsid w:val="001019D4"/>
    <w:rsid w:val="00102AEF"/>
    <w:rsid w:val="00102B54"/>
    <w:rsid w:val="00105996"/>
    <w:rsid w:val="00106972"/>
    <w:rsid w:val="0011095A"/>
    <w:rsid w:val="00111263"/>
    <w:rsid w:val="00112B9B"/>
    <w:rsid w:val="00113050"/>
    <w:rsid w:val="001130AE"/>
    <w:rsid w:val="001178DD"/>
    <w:rsid w:val="00122DA3"/>
    <w:rsid w:val="00123ABC"/>
    <w:rsid w:val="00123C25"/>
    <w:rsid w:val="00125C85"/>
    <w:rsid w:val="0013095D"/>
    <w:rsid w:val="0013651C"/>
    <w:rsid w:val="001374FB"/>
    <w:rsid w:val="00137DA0"/>
    <w:rsid w:val="001411EB"/>
    <w:rsid w:val="00141B0A"/>
    <w:rsid w:val="001431E4"/>
    <w:rsid w:val="0014464A"/>
    <w:rsid w:val="001459D1"/>
    <w:rsid w:val="00147AE9"/>
    <w:rsid w:val="00150000"/>
    <w:rsid w:val="00150611"/>
    <w:rsid w:val="00151EB7"/>
    <w:rsid w:val="001526DB"/>
    <w:rsid w:val="00152DFB"/>
    <w:rsid w:val="00153136"/>
    <w:rsid w:val="00153842"/>
    <w:rsid w:val="00153D90"/>
    <w:rsid w:val="0015657F"/>
    <w:rsid w:val="00160A84"/>
    <w:rsid w:val="001618B2"/>
    <w:rsid w:val="00161C07"/>
    <w:rsid w:val="00163000"/>
    <w:rsid w:val="001631B5"/>
    <w:rsid w:val="00165FDA"/>
    <w:rsid w:val="00167C49"/>
    <w:rsid w:val="00170978"/>
    <w:rsid w:val="001720AF"/>
    <w:rsid w:val="00175B01"/>
    <w:rsid w:val="00176138"/>
    <w:rsid w:val="00177D5F"/>
    <w:rsid w:val="001800C1"/>
    <w:rsid w:val="001801AA"/>
    <w:rsid w:val="001809D1"/>
    <w:rsid w:val="00182AE9"/>
    <w:rsid w:val="0018496A"/>
    <w:rsid w:val="0018673C"/>
    <w:rsid w:val="00187B83"/>
    <w:rsid w:val="00190229"/>
    <w:rsid w:val="00193B7A"/>
    <w:rsid w:val="00194E21"/>
    <w:rsid w:val="00195C39"/>
    <w:rsid w:val="00196655"/>
    <w:rsid w:val="00197873"/>
    <w:rsid w:val="001A088F"/>
    <w:rsid w:val="001A0CC3"/>
    <w:rsid w:val="001A2F55"/>
    <w:rsid w:val="001A2F56"/>
    <w:rsid w:val="001A4069"/>
    <w:rsid w:val="001A4C44"/>
    <w:rsid w:val="001A5832"/>
    <w:rsid w:val="001A6119"/>
    <w:rsid w:val="001A6587"/>
    <w:rsid w:val="001A7A97"/>
    <w:rsid w:val="001B1DE5"/>
    <w:rsid w:val="001B2067"/>
    <w:rsid w:val="001B2847"/>
    <w:rsid w:val="001B2BE2"/>
    <w:rsid w:val="001B3053"/>
    <w:rsid w:val="001B4531"/>
    <w:rsid w:val="001B7C8D"/>
    <w:rsid w:val="001C1023"/>
    <w:rsid w:val="001C2710"/>
    <w:rsid w:val="001C2AD0"/>
    <w:rsid w:val="001C2CA7"/>
    <w:rsid w:val="001C310E"/>
    <w:rsid w:val="001C6329"/>
    <w:rsid w:val="001D300D"/>
    <w:rsid w:val="001D3348"/>
    <w:rsid w:val="001D367D"/>
    <w:rsid w:val="001D7366"/>
    <w:rsid w:val="001D7DD9"/>
    <w:rsid w:val="001E01CD"/>
    <w:rsid w:val="001E06DA"/>
    <w:rsid w:val="001E2190"/>
    <w:rsid w:val="001E53BD"/>
    <w:rsid w:val="001E567F"/>
    <w:rsid w:val="001E7F7E"/>
    <w:rsid w:val="001F0B86"/>
    <w:rsid w:val="001F20D1"/>
    <w:rsid w:val="001F270B"/>
    <w:rsid w:val="001F3782"/>
    <w:rsid w:val="001F42B4"/>
    <w:rsid w:val="001F4B6F"/>
    <w:rsid w:val="001F4EF0"/>
    <w:rsid w:val="001F512B"/>
    <w:rsid w:val="001F5DD0"/>
    <w:rsid w:val="001F637B"/>
    <w:rsid w:val="001F75C5"/>
    <w:rsid w:val="001F773C"/>
    <w:rsid w:val="00201797"/>
    <w:rsid w:val="002052C2"/>
    <w:rsid w:val="0020694C"/>
    <w:rsid w:val="00207CCB"/>
    <w:rsid w:val="002100C5"/>
    <w:rsid w:val="00210258"/>
    <w:rsid w:val="00212CCC"/>
    <w:rsid w:val="00213D5A"/>
    <w:rsid w:val="00214456"/>
    <w:rsid w:val="00216B51"/>
    <w:rsid w:val="0022071E"/>
    <w:rsid w:val="00220A48"/>
    <w:rsid w:val="00221812"/>
    <w:rsid w:val="00222D77"/>
    <w:rsid w:val="00225C14"/>
    <w:rsid w:val="00227682"/>
    <w:rsid w:val="00231886"/>
    <w:rsid w:val="00233190"/>
    <w:rsid w:val="00234234"/>
    <w:rsid w:val="00234240"/>
    <w:rsid w:val="00235F07"/>
    <w:rsid w:val="00236592"/>
    <w:rsid w:val="0024184E"/>
    <w:rsid w:val="00241A1A"/>
    <w:rsid w:val="00243425"/>
    <w:rsid w:val="0024402F"/>
    <w:rsid w:val="002450D4"/>
    <w:rsid w:val="00247E2D"/>
    <w:rsid w:val="00250160"/>
    <w:rsid w:val="002506EB"/>
    <w:rsid w:val="00250738"/>
    <w:rsid w:val="00253100"/>
    <w:rsid w:val="00256BF9"/>
    <w:rsid w:val="002570CF"/>
    <w:rsid w:val="00257F9A"/>
    <w:rsid w:val="00264440"/>
    <w:rsid w:val="00264773"/>
    <w:rsid w:val="00266EB1"/>
    <w:rsid w:val="00267422"/>
    <w:rsid w:val="00267A7E"/>
    <w:rsid w:val="002709E6"/>
    <w:rsid w:val="0027158F"/>
    <w:rsid w:val="00272402"/>
    <w:rsid w:val="0027394C"/>
    <w:rsid w:val="00274E96"/>
    <w:rsid w:val="002779C1"/>
    <w:rsid w:val="00280823"/>
    <w:rsid w:val="00280901"/>
    <w:rsid w:val="002816C1"/>
    <w:rsid w:val="0028184F"/>
    <w:rsid w:val="002825F4"/>
    <w:rsid w:val="00283D75"/>
    <w:rsid w:val="002857AD"/>
    <w:rsid w:val="00285C05"/>
    <w:rsid w:val="00285DA5"/>
    <w:rsid w:val="0029457F"/>
    <w:rsid w:val="0029705B"/>
    <w:rsid w:val="00297805"/>
    <w:rsid w:val="002A0E2A"/>
    <w:rsid w:val="002A3F31"/>
    <w:rsid w:val="002A5052"/>
    <w:rsid w:val="002A70F1"/>
    <w:rsid w:val="002B1C53"/>
    <w:rsid w:val="002B2BD0"/>
    <w:rsid w:val="002B49C0"/>
    <w:rsid w:val="002B4FA7"/>
    <w:rsid w:val="002B5AFC"/>
    <w:rsid w:val="002C19D9"/>
    <w:rsid w:val="002C3598"/>
    <w:rsid w:val="002C47CC"/>
    <w:rsid w:val="002C4E5F"/>
    <w:rsid w:val="002C53EC"/>
    <w:rsid w:val="002D0384"/>
    <w:rsid w:val="002D0C74"/>
    <w:rsid w:val="002D1508"/>
    <w:rsid w:val="002D5149"/>
    <w:rsid w:val="002D7185"/>
    <w:rsid w:val="002D74BC"/>
    <w:rsid w:val="002E0615"/>
    <w:rsid w:val="002E4517"/>
    <w:rsid w:val="002E52BB"/>
    <w:rsid w:val="002E5800"/>
    <w:rsid w:val="002E70D5"/>
    <w:rsid w:val="002F2145"/>
    <w:rsid w:val="002F441A"/>
    <w:rsid w:val="002F4B3C"/>
    <w:rsid w:val="002F5426"/>
    <w:rsid w:val="002F6C39"/>
    <w:rsid w:val="002F7267"/>
    <w:rsid w:val="003000B6"/>
    <w:rsid w:val="00302321"/>
    <w:rsid w:val="00302FC1"/>
    <w:rsid w:val="00303008"/>
    <w:rsid w:val="00303595"/>
    <w:rsid w:val="003037D6"/>
    <w:rsid w:val="00305BA2"/>
    <w:rsid w:val="00306271"/>
    <w:rsid w:val="0030687D"/>
    <w:rsid w:val="003128CA"/>
    <w:rsid w:val="0031294B"/>
    <w:rsid w:val="0031345B"/>
    <w:rsid w:val="003160D4"/>
    <w:rsid w:val="003165E9"/>
    <w:rsid w:val="00316A19"/>
    <w:rsid w:val="00317CFB"/>
    <w:rsid w:val="00326EAB"/>
    <w:rsid w:val="0033490B"/>
    <w:rsid w:val="0033557B"/>
    <w:rsid w:val="003402C1"/>
    <w:rsid w:val="0034090B"/>
    <w:rsid w:val="00344474"/>
    <w:rsid w:val="003456AD"/>
    <w:rsid w:val="003459AE"/>
    <w:rsid w:val="003463C6"/>
    <w:rsid w:val="00346872"/>
    <w:rsid w:val="003479FB"/>
    <w:rsid w:val="0035000E"/>
    <w:rsid w:val="00350CE1"/>
    <w:rsid w:val="00351071"/>
    <w:rsid w:val="003515C6"/>
    <w:rsid w:val="00353C2F"/>
    <w:rsid w:val="00354BAB"/>
    <w:rsid w:val="0036118C"/>
    <w:rsid w:val="003632E2"/>
    <w:rsid w:val="0036416E"/>
    <w:rsid w:val="00366CA1"/>
    <w:rsid w:val="0036750D"/>
    <w:rsid w:val="0037150D"/>
    <w:rsid w:val="00371E27"/>
    <w:rsid w:val="003736A6"/>
    <w:rsid w:val="00373844"/>
    <w:rsid w:val="00375AC6"/>
    <w:rsid w:val="00375C21"/>
    <w:rsid w:val="00375D49"/>
    <w:rsid w:val="003812A5"/>
    <w:rsid w:val="003821C2"/>
    <w:rsid w:val="003824D7"/>
    <w:rsid w:val="00382541"/>
    <w:rsid w:val="0038265B"/>
    <w:rsid w:val="0038283D"/>
    <w:rsid w:val="003832CE"/>
    <w:rsid w:val="00383D35"/>
    <w:rsid w:val="003843B5"/>
    <w:rsid w:val="00384734"/>
    <w:rsid w:val="003848D2"/>
    <w:rsid w:val="00385740"/>
    <w:rsid w:val="00386AD5"/>
    <w:rsid w:val="00387542"/>
    <w:rsid w:val="003908C5"/>
    <w:rsid w:val="0039200D"/>
    <w:rsid w:val="003933C2"/>
    <w:rsid w:val="003953AD"/>
    <w:rsid w:val="00395540"/>
    <w:rsid w:val="00396FFB"/>
    <w:rsid w:val="003A0AD8"/>
    <w:rsid w:val="003A4FE4"/>
    <w:rsid w:val="003A7C87"/>
    <w:rsid w:val="003B0915"/>
    <w:rsid w:val="003B354A"/>
    <w:rsid w:val="003B4A0E"/>
    <w:rsid w:val="003B573F"/>
    <w:rsid w:val="003C3EBD"/>
    <w:rsid w:val="003C6748"/>
    <w:rsid w:val="003C6C84"/>
    <w:rsid w:val="003C7389"/>
    <w:rsid w:val="003C73AF"/>
    <w:rsid w:val="003D2553"/>
    <w:rsid w:val="003D2B0B"/>
    <w:rsid w:val="003D2BC0"/>
    <w:rsid w:val="003D2D6D"/>
    <w:rsid w:val="003D6B4C"/>
    <w:rsid w:val="003E1B72"/>
    <w:rsid w:val="003E2E89"/>
    <w:rsid w:val="003E4F38"/>
    <w:rsid w:val="003E679A"/>
    <w:rsid w:val="003E688C"/>
    <w:rsid w:val="003E6B46"/>
    <w:rsid w:val="003F0A70"/>
    <w:rsid w:val="003F2EE5"/>
    <w:rsid w:val="003F5BF3"/>
    <w:rsid w:val="003F7863"/>
    <w:rsid w:val="00400118"/>
    <w:rsid w:val="004044F0"/>
    <w:rsid w:val="00405EC3"/>
    <w:rsid w:val="004062F8"/>
    <w:rsid w:val="00406856"/>
    <w:rsid w:val="00407629"/>
    <w:rsid w:val="0041365E"/>
    <w:rsid w:val="004162EA"/>
    <w:rsid w:val="004204A9"/>
    <w:rsid w:val="004214BB"/>
    <w:rsid w:val="004227F2"/>
    <w:rsid w:val="0042301F"/>
    <w:rsid w:val="0042325A"/>
    <w:rsid w:val="0042449F"/>
    <w:rsid w:val="00424849"/>
    <w:rsid w:val="00424AC5"/>
    <w:rsid w:val="00426107"/>
    <w:rsid w:val="00426FFE"/>
    <w:rsid w:val="00427054"/>
    <w:rsid w:val="00430D4E"/>
    <w:rsid w:val="00431704"/>
    <w:rsid w:val="00431790"/>
    <w:rsid w:val="00433944"/>
    <w:rsid w:val="00434FA1"/>
    <w:rsid w:val="004352A1"/>
    <w:rsid w:val="004355A7"/>
    <w:rsid w:val="00436F97"/>
    <w:rsid w:val="00440012"/>
    <w:rsid w:val="00440107"/>
    <w:rsid w:val="00441CFF"/>
    <w:rsid w:val="00442DDA"/>
    <w:rsid w:val="00443AD9"/>
    <w:rsid w:val="0044573D"/>
    <w:rsid w:val="00446A17"/>
    <w:rsid w:val="00447CC7"/>
    <w:rsid w:val="004503F6"/>
    <w:rsid w:val="00451B08"/>
    <w:rsid w:val="0045218B"/>
    <w:rsid w:val="00453D8C"/>
    <w:rsid w:val="004560C7"/>
    <w:rsid w:val="00457A39"/>
    <w:rsid w:val="00463219"/>
    <w:rsid w:val="00465B6B"/>
    <w:rsid w:val="0046749C"/>
    <w:rsid w:val="00467E00"/>
    <w:rsid w:val="00470A4C"/>
    <w:rsid w:val="00473ED2"/>
    <w:rsid w:val="004749E2"/>
    <w:rsid w:val="00474B20"/>
    <w:rsid w:val="00474C6D"/>
    <w:rsid w:val="00475E33"/>
    <w:rsid w:val="0048183C"/>
    <w:rsid w:val="00482308"/>
    <w:rsid w:val="00483FE4"/>
    <w:rsid w:val="004846E3"/>
    <w:rsid w:val="00484793"/>
    <w:rsid w:val="00485773"/>
    <w:rsid w:val="00486F1C"/>
    <w:rsid w:val="00492845"/>
    <w:rsid w:val="00492981"/>
    <w:rsid w:val="004935CC"/>
    <w:rsid w:val="004936B1"/>
    <w:rsid w:val="004A01D0"/>
    <w:rsid w:val="004A02BA"/>
    <w:rsid w:val="004A0F74"/>
    <w:rsid w:val="004A14C1"/>
    <w:rsid w:val="004A2D12"/>
    <w:rsid w:val="004A6180"/>
    <w:rsid w:val="004A61C0"/>
    <w:rsid w:val="004B0A04"/>
    <w:rsid w:val="004B226D"/>
    <w:rsid w:val="004B55B6"/>
    <w:rsid w:val="004B7198"/>
    <w:rsid w:val="004C1EF7"/>
    <w:rsid w:val="004C2DE9"/>
    <w:rsid w:val="004C51F1"/>
    <w:rsid w:val="004C5653"/>
    <w:rsid w:val="004C6337"/>
    <w:rsid w:val="004C74C1"/>
    <w:rsid w:val="004C79BD"/>
    <w:rsid w:val="004C7DC9"/>
    <w:rsid w:val="004D3C77"/>
    <w:rsid w:val="004D3FA3"/>
    <w:rsid w:val="004D49C4"/>
    <w:rsid w:val="004D51B4"/>
    <w:rsid w:val="004D7CFA"/>
    <w:rsid w:val="004E24C7"/>
    <w:rsid w:val="004E293C"/>
    <w:rsid w:val="004E2A75"/>
    <w:rsid w:val="004E67EC"/>
    <w:rsid w:val="004E7BFF"/>
    <w:rsid w:val="004F0024"/>
    <w:rsid w:val="004F0BD3"/>
    <w:rsid w:val="004F3A7C"/>
    <w:rsid w:val="004F6A58"/>
    <w:rsid w:val="005023E3"/>
    <w:rsid w:val="00505D51"/>
    <w:rsid w:val="00505EDB"/>
    <w:rsid w:val="00511B41"/>
    <w:rsid w:val="00512D4D"/>
    <w:rsid w:val="005134BF"/>
    <w:rsid w:val="00514E39"/>
    <w:rsid w:val="00515E5C"/>
    <w:rsid w:val="00516DF4"/>
    <w:rsid w:val="00517526"/>
    <w:rsid w:val="00520EBB"/>
    <w:rsid w:val="0052438B"/>
    <w:rsid w:val="0052523A"/>
    <w:rsid w:val="00526824"/>
    <w:rsid w:val="0053092F"/>
    <w:rsid w:val="00531061"/>
    <w:rsid w:val="0053169A"/>
    <w:rsid w:val="00532231"/>
    <w:rsid w:val="00533008"/>
    <w:rsid w:val="00536B64"/>
    <w:rsid w:val="00540BAD"/>
    <w:rsid w:val="005436F1"/>
    <w:rsid w:val="005444BB"/>
    <w:rsid w:val="00545C6D"/>
    <w:rsid w:val="0054645C"/>
    <w:rsid w:val="00546B3C"/>
    <w:rsid w:val="00551EE8"/>
    <w:rsid w:val="00552953"/>
    <w:rsid w:val="00553F1F"/>
    <w:rsid w:val="00554568"/>
    <w:rsid w:val="00555B43"/>
    <w:rsid w:val="00557552"/>
    <w:rsid w:val="00557C90"/>
    <w:rsid w:val="0056218E"/>
    <w:rsid w:val="00562396"/>
    <w:rsid w:val="00564549"/>
    <w:rsid w:val="00567A97"/>
    <w:rsid w:val="00567F35"/>
    <w:rsid w:val="00571DAF"/>
    <w:rsid w:val="00571EFA"/>
    <w:rsid w:val="00573597"/>
    <w:rsid w:val="00573A13"/>
    <w:rsid w:val="00575F65"/>
    <w:rsid w:val="005764E8"/>
    <w:rsid w:val="00577B65"/>
    <w:rsid w:val="00580C99"/>
    <w:rsid w:val="00581A5D"/>
    <w:rsid w:val="00584791"/>
    <w:rsid w:val="00585652"/>
    <w:rsid w:val="00586195"/>
    <w:rsid w:val="00590F2C"/>
    <w:rsid w:val="005918D2"/>
    <w:rsid w:val="00593165"/>
    <w:rsid w:val="00593863"/>
    <w:rsid w:val="00596B5C"/>
    <w:rsid w:val="0059721C"/>
    <w:rsid w:val="00597BE8"/>
    <w:rsid w:val="005A0818"/>
    <w:rsid w:val="005A0956"/>
    <w:rsid w:val="005A138F"/>
    <w:rsid w:val="005A21F9"/>
    <w:rsid w:val="005A3423"/>
    <w:rsid w:val="005A38E9"/>
    <w:rsid w:val="005A3E3C"/>
    <w:rsid w:val="005A41E9"/>
    <w:rsid w:val="005A64AB"/>
    <w:rsid w:val="005A66F7"/>
    <w:rsid w:val="005B0AD5"/>
    <w:rsid w:val="005B17B0"/>
    <w:rsid w:val="005B231D"/>
    <w:rsid w:val="005B2435"/>
    <w:rsid w:val="005B2B43"/>
    <w:rsid w:val="005B45D7"/>
    <w:rsid w:val="005B58D7"/>
    <w:rsid w:val="005C34D6"/>
    <w:rsid w:val="005C3664"/>
    <w:rsid w:val="005C3D05"/>
    <w:rsid w:val="005C5FB4"/>
    <w:rsid w:val="005C67BD"/>
    <w:rsid w:val="005C6C30"/>
    <w:rsid w:val="005D0DB9"/>
    <w:rsid w:val="005D50C9"/>
    <w:rsid w:val="005E018C"/>
    <w:rsid w:val="005E3AE7"/>
    <w:rsid w:val="005E6A8D"/>
    <w:rsid w:val="005E6C1F"/>
    <w:rsid w:val="005F026A"/>
    <w:rsid w:val="005F131A"/>
    <w:rsid w:val="005F16EB"/>
    <w:rsid w:val="005F36A0"/>
    <w:rsid w:val="005F3C32"/>
    <w:rsid w:val="005F4164"/>
    <w:rsid w:val="005F44EB"/>
    <w:rsid w:val="005F466E"/>
    <w:rsid w:val="005F51FD"/>
    <w:rsid w:val="005F711D"/>
    <w:rsid w:val="006006C0"/>
    <w:rsid w:val="006007E2"/>
    <w:rsid w:val="006009F5"/>
    <w:rsid w:val="00600CE9"/>
    <w:rsid w:val="006033AF"/>
    <w:rsid w:val="006045AE"/>
    <w:rsid w:val="00604BF6"/>
    <w:rsid w:val="00611254"/>
    <w:rsid w:val="006125EF"/>
    <w:rsid w:val="0061684C"/>
    <w:rsid w:val="00616E4C"/>
    <w:rsid w:val="00617518"/>
    <w:rsid w:val="00617E6B"/>
    <w:rsid w:val="006213E1"/>
    <w:rsid w:val="0062219F"/>
    <w:rsid w:val="00626807"/>
    <w:rsid w:val="006269CE"/>
    <w:rsid w:val="006274FD"/>
    <w:rsid w:val="0063089B"/>
    <w:rsid w:val="00630B45"/>
    <w:rsid w:val="0063369F"/>
    <w:rsid w:val="00633F51"/>
    <w:rsid w:val="00634DA1"/>
    <w:rsid w:val="00637BA7"/>
    <w:rsid w:val="00637BDC"/>
    <w:rsid w:val="00641415"/>
    <w:rsid w:val="00641FB9"/>
    <w:rsid w:val="00642511"/>
    <w:rsid w:val="00644945"/>
    <w:rsid w:val="00646D52"/>
    <w:rsid w:val="00646FB2"/>
    <w:rsid w:val="0065247C"/>
    <w:rsid w:val="00653F96"/>
    <w:rsid w:val="0065426A"/>
    <w:rsid w:val="00655D9A"/>
    <w:rsid w:val="006562F4"/>
    <w:rsid w:val="006572CF"/>
    <w:rsid w:val="00657EED"/>
    <w:rsid w:val="006607B6"/>
    <w:rsid w:val="006625CB"/>
    <w:rsid w:val="00663F58"/>
    <w:rsid w:val="006640FC"/>
    <w:rsid w:val="00665A35"/>
    <w:rsid w:val="006703DD"/>
    <w:rsid w:val="0067255A"/>
    <w:rsid w:val="00672C31"/>
    <w:rsid w:val="00675449"/>
    <w:rsid w:val="00675EE0"/>
    <w:rsid w:val="006772DE"/>
    <w:rsid w:val="006835C3"/>
    <w:rsid w:val="006846D2"/>
    <w:rsid w:val="00685E7F"/>
    <w:rsid w:val="00686EEB"/>
    <w:rsid w:val="0069138B"/>
    <w:rsid w:val="0069186A"/>
    <w:rsid w:val="00693375"/>
    <w:rsid w:val="006961FE"/>
    <w:rsid w:val="00697439"/>
    <w:rsid w:val="00697972"/>
    <w:rsid w:val="006A7B90"/>
    <w:rsid w:val="006B1357"/>
    <w:rsid w:val="006B16B6"/>
    <w:rsid w:val="006B1940"/>
    <w:rsid w:val="006B5B25"/>
    <w:rsid w:val="006B6CBD"/>
    <w:rsid w:val="006C2036"/>
    <w:rsid w:val="006C390E"/>
    <w:rsid w:val="006C42A1"/>
    <w:rsid w:val="006C4548"/>
    <w:rsid w:val="006C52E5"/>
    <w:rsid w:val="006C5417"/>
    <w:rsid w:val="006C54B5"/>
    <w:rsid w:val="006C5785"/>
    <w:rsid w:val="006C5831"/>
    <w:rsid w:val="006C5E45"/>
    <w:rsid w:val="006C7297"/>
    <w:rsid w:val="006D14B7"/>
    <w:rsid w:val="006D19E5"/>
    <w:rsid w:val="006D25A4"/>
    <w:rsid w:val="006D3BA3"/>
    <w:rsid w:val="006D4A3B"/>
    <w:rsid w:val="006D5567"/>
    <w:rsid w:val="006D5E16"/>
    <w:rsid w:val="006D67BD"/>
    <w:rsid w:val="006E18A1"/>
    <w:rsid w:val="006E1E27"/>
    <w:rsid w:val="006E255F"/>
    <w:rsid w:val="006E2B43"/>
    <w:rsid w:val="006E30CF"/>
    <w:rsid w:val="006E7FF2"/>
    <w:rsid w:val="006F1450"/>
    <w:rsid w:val="006F28F8"/>
    <w:rsid w:val="006F2B3A"/>
    <w:rsid w:val="006F4FB5"/>
    <w:rsid w:val="006F7953"/>
    <w:rsid w:val="007001E9"/>
    <w:rsid w:val="0070025E"/>
    <w:rsid w:val="00700873"/>
    <w:rsid w:val="007049D4"/>
    <w:rsid w:val="00705276"/>
    <w:rsid w:val="0070569C"/>
    <w:rsid w:val="007074AB"/>
    <w:rsid w:val="00710428"/>
    <w:rsid w:val="00710FB1"/>
    <w:rsid w:val="007131A3"/>
    <w:rsid w:val="00713C77"/>
    <w:rsid w:val="00714699"/>
    <w:rsid w:val="00716EAF"/>
    <w:rsid w:val="00717C6C"/>
    <w:rsid w:val="007217B0"/>
    <w:rsid w:val="00721A68"/>
    <w:rsid w:val="00721D71"/>
    <w:rsid w:val="00725778"/>
    <w:rsid w:val="007307FF"/>
    <w:rsid w:val="0073264C"/>
    <w:rsid w:val="007345DD"/>
    <w:rsid w:val="00734CC7"/>
    <w:rsid w:val="007352A0"/>
    <w:rsid w:val="00737042"/>
    <w:rsid w:val="0074152A"/>
    <w:rsid w:val="00746FE6"/>
    <w:rsid w:val="007526FF"/>
    <w:rsid w:val="00752A33"/>
    <w:rsid w:val="0075373F"/>
    <w:rsid w:val="00755D2E"/>
    <w:rsid w:val="007575FE"/>
    <w:rsid w:val="00760B83"/>
    <w:rsid w:val="00761978"/>
    <w:rsid w:val="00762AE6"/>
    <w:rsid w:val="00763C41"/>
    <w:rsid w:val="00765404"/>
    <w:rsid w:val="00771C5D"/>
    <w:rsid w:val="00772CFB"/>
    <w:rsid w:val="007730EB"/>
    <w:rsid w:val="00775F0E"/>
    <w:rsid w:val="0078287B"/>
    <w:rsid w:val="007845AF"/>
    <w:rsid w:val="0078468A"/>
    <w:rsid w:val="00790AC9"/>
    <w:rsid w:val="007914E7"/>
    <w:rsid w:val="00792187"/>
    <w:rsid w:val="007932FB"/>
    <w:rsid w:val="00797257"/>
    <w:rsid w:val="007975CB"/>
    <w:rsid w:val="007A228E"/>
    <w:rsid w:val="007A447D"/>
    <w:rsid w:val="007B0880"/>
    <w:rsid w:val="007B498F"/>
    <w:rsid w:val="007B4BFD"/>
    <w:rsid w:val="007B5503"/>
    <w:rsid w:val="007B6266"/>
    <w:rsid w:val="007C034D"/>
    <w:rsid w:val="007C117E"/>
    <w:rsid w:val="007C16D0"/>
    <w:rsid w:val="007C433C"/>
    <w:rsid w:val="007C4BDB"/>
    <w:rsid w:val="007C567D"/>
    <w:rsid w:val="007C60C2"/>
    <w:rsid w:val="007D0B16"/>
    <w:rsid w:val="007D169C"/>
    <w:rsid w:val="007D1B79"/>
    <w:rsid w:val="007D2FF7"/>
    <w:rsid w:val="007D359F"/>
    <w:rsid w:val="007D5B70"/>
    <w:rsid w:val="007E3D2C"/>
    <w:rsid w:val="007E61F2"/>
    <w:rsid w:val="007E6714"/>
    <w:rsid w:val="007E76CF"/>
    <w:rsid w:val="007E7C82"/>
    <w:rsid w:val="007F0D65"/>
    <w:rsid w:val="007F1ACC"/>
    <w:rsid w:val="007F1D89"/>
    <w:rsid w:val="007F32E6"/>
    <w:rsid w:val="00800934"/>
    <w:rsid w:val="008010DF"/>
    <w:rsid w:val="008010EF"/>
    <w:rsid w:val="00801526"/>
    <w:rsid w:val="00803C2A"/>
    <w:rsid w:val="00804009"/>
    <w:rsid w:val="008040BE"/>
    <w:rsid w:val="00806415"/>
    <w:rsid w:val="0080651D"/>
    <w:rsid w:val="00807DA6"/>
    <w:rsid w:val="008105AA"/>
    <w:rsid w:val="00813CF4"/>
    <w:rsid w:val="00813F66"/>
    <w:rsid w:val="00815D1F"/>
    <w:rsid w:val="0081714A"/>
    <w:rsid w:val="00823779"/>
    <w:rsid w:val="0082623C"/>
    <w:rsid w:val="00827232"/>
    <w:rsid w:val="0082766E"/>
    <w:rsid w:val="00827DA0"/>
    <w:rsid w:val="00827ED7"/>
    <w:rsid w:val="008307A4"/>
    <w:rsid w:val="0083134F"/>
    <w:rsid w:val="008377FE"/>
    <w:rsid w:val="00837997"/>
    <w:rsid w:val="0084043A"/>
    <w:rsid w:val="0084143D"/>
    <w:rsid w:val="008427B9"/>
    <w:rsid w:val="0084328B"/>
    <w:rsid w:val="00843F60"/>
    <w:rsid w:val="00845210"/>
    <w:rsid w:val="00845A22"/>
    <w:rsid w:val="008466D0"/>
    <w:rsid w:val="008514D2"/>
    <w:rsid w:val="0085505D"/>
    <w:rsid w:val="00860591"/>
    <w:rsid w:val="008627E2"/>
    <w:rsid w:val="00863033"/>
    <w:rsid w:val="00863568"/>
    <w:rsid w:val="00863E14"/>
    <w:rsid w:val="008642CC"/>
    <w:rsid w:val="00871FE7"/>
    <w:rsid w:val="00872CBC"/>
    <w:rsid w:val="008766C7"/>
    <w:rsid w:val="00880500"/>
    <w:rsid w:val="00880672"/>
    <w:rsid w:val="00887212"/>
    <w:rsid w:val="00887B27"/>
    <w:rsid w:val="0089032C"/>
    <w:rsid w:val="008905FB"/>
    <w:rsid w:val="00890619"/>
    <w:rsid w:val="008927BC"/>
    <w:rsid w:val="00895217"/>
    <w:rsid w:val="00895A43"/>
    <w:rsid w:val="00895D27"/>
    <w:rsid w:val="00896319"/>
    <w:rsid w:val="00897595"/>
    <w:rsid w:val="00897D63"/>
    <w:rsid w:val="008A00A4"/>
    <w:rsid w:val="008A052E"/>
    <w:rsid w:val="008A1DB2"/>
    <w:rsid w:val="008A1F89"/>
    <w:rsid w:val="008A3A0A"/>
    <w:rsid w:val="008B0E15"/>
    <w:rsid w:val="008B4D09"/>
    <w:rsid w:val="008B4FC8"/>
    <w:rsid w:val="008B6854"/>
    <w:rsid w:val="008B7192"/>
    <w:rsid w:val="008C0299"/>
    <w:rsid w:val="008C17B4"/>
    <w:rsid w:val="008D01EF"/>
    <w:rsid w:val="008D05B9"/>
    <w:rsid w:val="008D16C8"/>
    <w:rsid w:val="008D1EFF"/>
    <w:rsid w:val="008D2335"/>
    <w:rsid w:val="008D288C"/>
    <w:rsid w:val="008D7DC5"/>
    <w:rsid w:val="008E01D1"/>
    <w:rsid w:val="008E05E7"/>
    <w:rsid w:val="008E3310"/>
    <w:rsid w:val="008E720D"/>
    <w:rsid w:val="008F1AB4"/>
    <w:rsid w:val="008F1C99"/>
    <w:rsid w:val="008F1DE1"/>
    <w:rsid w:val="008F5AC1"/>
    <w:rsid w:val="00901C7A"/>
    <w:rsid w:val="0090201F"/>
    <w:rsid w:val="00903D2D"/>
    <w:rsid w:val="009057AC"/>
    <w:rsid w:val="009063CC"/>
    <w:rsid w:val="009066E9"/>
    <w:rsid w:val="009075F6"/>
    <w:rsid w:val="0090786B"/>
    <w:rsid w:val="00912193"/>
    <w:rsid w:val="009178F1"/>
    <w:rsid w:val="00920430"/>
    <w:rsid w:val="00920C46"/>
    <w:rsid w:val="00921BF3"/>
    <w:rsid w:val="00921EDC"/>
    <w:rsid w:val="00922262"/>
    <w:rsid w:val="00922C14"/>
    <w:rsid w:val="00922DD7"/>
    <w:rsid w:val="00922F18"/>
    <w:rsid w:val="00924662"/>
    <w:rsid w:val="00925266"/>
    <w:rsid w:val="00927168"/>
    <w:rsid w:val="0093000E"/>
    <w:rsid w:val="00930B12"/>
    <w:rsid w:val="009448D1"/>
    <w:rsid w:val="00944959"/>
    <w:rsid w:val="009456F8"/>
    <w:rsid w:val="00945C0F"/>
    <w:rsid w:val="00947D72"/>
    <w:rsid w:val="00951B59"/>
    <w:rsid w:val="009520F2"/>
    <w:rsid w:val="0095608F"/>
    <w:rsid w:val="00956D73"/>
    <w:rsid w:val="00956EC2"/>
    <w:rsid w:val="0096000B"/>
    <w:rsid w:val="00960590"/>
    <w:rsid w:val="00961A76"/>
    <w:rsid w:val="0096629E"/>
    <w:rsid w:val="00974063"/>
    <w:rsid w:val="00976937"/>
    <w:rsid w:val="00977C3D"/>
    <w:rsid w:val="00981341"/>
    <w:rsid w:val="00981A9D"/>
    <w:rsid w:val="00981B80"/>
    <w:rsid w:val="00983A38"/>
    <w:rsid w:val="00984F67"/>
    <w:rsid w:val="009855FA"/>
    <w:rsid w:val="0098726A"/>
    <w:rsid w:val="00987AE2"/>
    <w:rsid w:val="009916D9"/>
    <w:rsid w:val="00993805"/>
    <w:rsid w:val="00996189"/>
    <w:rsid w:val="00997691"/>
    <w:rsid w:val="009A3FF7"/>
    <w:rsid w:val="009A40A0"/>
    <w:rsid w:val="009A5DED"/>
    <w:rsid w:val="009A6BB4"/>
    <w:rsid w:val="009A6E01"/>
    <w:rsid w:val="009B393E"/>
    <w:rsid w:val="009B64CB"/>
    <w:rsid w:val="009C05E4"/>
    <w:rsid w:val="009C1EAE"/>
    <w:rsid w:val="009C2426"/>
    <w:rsid w:val="009C46E6"/>
    <w:rsid w:val="009C4B0C"/>
    <w:rsid w:val="009C4DED"/>
    <w:rsid w:val="009C66BF"/>
    <w:rsid w:val="009C7854"/>
    <w:rsid w:val="009D0C53"/>
    <w:rsid w:val="009D0DD2"/>
    <w:rsid w:val="009D4577"/>
    <w:rsid w:val="009D7BAC"/>
    <w:rsid w:val="009E2568"/>
    <w:rsid w:val="009F0933"/>
    <w:rsid w:val="009F13A8"/>
    <w:rsid w:val="009F2819"/>
    <w:rsid w:val="009F320C"/>
    <w:rsid w:val="009F5050"/>
    <w:rsid w:val="00A009DF"/>
    <w:rsid w:val="00A029E4"/>
    <w:rsid w:val="00A03740"/>
    <w:rsid w:val="00A04EA0"/>
    <w:rsid w:val="00A055EB"/>
    <w:rsid w:val="00A06CF1"/>
    <w:rsid w:val="00A07DA4"/>
    <w:rsid w:val="00A10573"/>
    <w:rsid w:val="00A10B35"/>
    <w:rsid w:val="00A11020"/>
    <w:rsid w:val="00A1227C"/>
    <w:rsid w:val="00A1266C"/>
    <w:rsid w:val="00A138D9"/>
    <w:rsid w:val="00A13F8F"/>
    <w:rsid w:val="00A168A1"/>
    <w:rsid w:val="00A2125E"/>
    <w:rsid w:val="00A21A07"/>
    <w:rsid w:val="00A21BDE"/>
    <w:rsid w:val="00A234B4"/>
    <w:rsid w:val="00A23BE2"/>
    <w:rsid w:val="00A24FE7"/>
    <w:rsid w:val="00A2542E"/>
    <w:rsid w:val="00A2565B"/>
    <w:rsid w:val="00A260B4"/>
    <w:rsid w:val="00A263BA"/>
    <w:rsid w:val="00A26668"/>
    <w:rsid w:val="00A267C5"/>
    <w:rsid w:val="00A26900"/>
    <w:rsid w:val="00A30520"/>
    <w:rsid w:val="00A31BC4"/>
    <w:rsid w:val="00A338EB"/>
    <w:rsid w:val="00A347B7"/>
    <w:rsid w:val="00A34FCA"/>
    <w:rsid w:val="00A353B1"/>
    <w:rsid w:val="00A3654C"/>
    <w:rsid w:val="00A37FE0"/>
    <w:rsid w:val="00A401AC"/>
    <w:rsid w:val="00A42C9E"/>
    <w:rsid w:val="00A432F1"/>
    <w:rsid w:val="00A4411F"/>
    <w:rsid w:val="00A441B2"/>
    <w:rsid w:val="00A44279"/>
    <w:rsid w:val="00A45D39"/>
    <w:rsid w:val="00A460DC"/>
    <w:rsid w:val="00A46FB5"/>
    <w:rsid w:val="00A47745"/>
    <w:rsid w:val="00A47DE5"/>
    <w:rsid w:val="00A53E03"/>
    <w:rsid w:val="00A55504"/>
    <w:rsid w:val="00A57F1B"/>
    <w:rsid w:val="00A57F1C"/>
    <w:rsid w:val="00A60D3B"/>
    <w:rsid w:val="00A61E03"/>
    <w:rsid w:val="00A62209"/>
    <w:rsid w:val="00A632EA"/>
    <w:rsid w:val="00A70C6F"/>
    <w:rsid w:val="00A71357"/>
    <w:rsid w:val="00A71B13"/>
    <w:rsid w:val="00A7507F"/>
    <w:rsid w:val="00A765A1"/>
    <w:rsid w:val="00A76620"/>
    <w:rsid w:val="00A80D76"/>
    <w:rsid w:val="00A8156A"/>
    <w:rsid w:val="00A853E9"/>
    <w:rsid w:val="00A86139"/>
    <w:rsid w:val="00A87B16"/>
    <w:rsid w:val="00A90600"/>
    <w:rsid w:val="00A949B2"/>
    <w:rsid w:val="00A95535"/>
    <w:rsid w:val="00A95BAF"/>
    <w:rsid w:val="00A96E6C"/>
    <w:rsid w:val="00A971DF"/>
    <w:rsid w:val="00AA106B"/>
    <w:rsid w:val="00AA11D0"/>
    <w:rsid w:val="00AA1E5D"/>
    <w:rsid w:val="00AA2C8B"/>
    <w:rsid w:val="00AA3584"/>
    <w:rsid w:val="00AA5E8E"/>
    <w:rsid w:val="00AA6FCB"/>
    <w:rsid w:val="00AB20DB"/>
    <w:rsid w:val="00AB25E7"/>
    <w:rsid w:val="00AB3D2A"/>
    <w:rsid w:val="00AB4BD3"/>
    <w:rsid w:val="00AB5244"/>
    <w:rsid w:val="00AB6D1E"/>
    <w:rsid w:val="00AC0198"/>
    <w:rsid w:val="00AC02DF"/>
    <w:rsid w:val="00AC04D7"/>
    <w:rsid w:val="00AC0681"/>
    <w:rsid w:val="00AC0C01"/>
    <w:rsid w:val="00AC1851"/>
    <w:rsid w:val="00AC21ED"/>
    <w:rsid w:val="00AC3052"/>
    <w:rsid w:val="00AC3477"/>
    <w:rsid w:val="00AC4618"/>
    <w:rsid w:val="00AC4E84"/>
    <w:rsid w:val="00AC56B0"/>
    <w:rsid w:val="00AC609A"/>
    <w:rsid w:val="00AC674A"/>
    <w:rsid w:val="00AC7423"/>
    <w:rsid w:val="00AD14B7"/>
    <w:rsid w:val="00AD529D"/>
    <w:rsid w:val="00AD684D"/>
    <w:rsid w:val="00AD7FC4"/>
    <w:rsid w:val="00AE0077"/>
    <w:rsid w:val="00AE45B5"/>
    <w:rsid w:val="00AE5783"/>
    <w:rsid w:val="00AE607A"/>
    <w:rsid w:val="00AE7740"/>
    <w:rsid w:val="00AF1167"/>
    <w:rsid w:val="00AF3B7F"/>
    <w:rsid w:val="00AF57E8"/>
    <w:rsid w:val="00AF6A6F"/>
    <w:rsid w:val="00B00659"/>
    <w:rsid w:val="00B0127C"/>
    <w:rsid w:val="00B0158C"/>
    <w:rsid w:val="00B01ABA"/>
    <w:rsid w:val="00B02F16"/>
    <w:rsid w:val="00B0367B"/>
    <w:rsid w:val="00B03AF0"/>
    <w:rsid w:val="00B055D1"/>
    <w:rsid w:val="00B05BA9"/>
    <w:rsid w:val="00B06985"/>
    <w:rsid w:val="00B1003C"/>
    <w:rsid w:val="00B122D4"/>
    <w:rsid w:val="00B128A8"/>
    <w:rsid w:val="00B13FA1"/>
    <w:rsid w:val="00B16B3A"/>
    <w:rsid w:val="00B16F6B"/>
    <w:rsid w:val="00B1732B"/>
    <w:rsid w:val="00B174DA"/>
    <w:rsid w:val="00B17F59"/>
    <w:rsid w:val="00B20D66"/>
    <w:rsid w:val="00B2246C"/>
    <w:rsid w:val="00B22E01"/>
    <w:rsid w:val="00B27DB0"/>
    <w:rsid w:val="00B3021D"/>
    <w:rsid w:val="00B30BE4"/>
    <w:rsid w:val="00B316EC"/>
    <w:rsid w:val="00B325EA"/>
    <w:rsid w:val="00B32FCE"/>
    <w:rsid w:val="00B345B0"/>
    <w:rsid w:val="00B362E6"/>
    <w:rsid w:val="00B36600"/>
    <w:rsid w:val="00B36B39"/>
    <w:rsid w:val="00B37F5F"/>
    <w:rsid w:val="00B401A7"/>
    <w:rsid w:val="00B4191F"/>
    <w:rsid w:val="00B42635"/>
    <w:rsid w:val="00B429FA"/>
    <w:rsid w:val="00B42E85"/>
    <w:rsid w:val="00B43BD9"/>
    <w:rsid w:val="00B44B21"/>
    <w:rsid w:val="00B44C46"/>
    <w:rsid w:val="00B4678C"/>
    <w:rsid w:val="00B51C91"/>
    <w:rsid w:val="00B54315"/>
    <w:rsid w:val="00B547E6"/>
    <w:rsid w:val="00B573F5"/>
    <w:rsid w:val="00B60E78"/>
    <w:rsid w:val="00B60FDC"/>
    <w:rsid w:val="00B618B7"/>
    <w:rsid w:val="00B63671"/>
    <w:rsid w:val="00B63E01"/>
    <w:rsid w:val="00B6648F"/>
    <w:rsid w:val="00B70288"/>
    <w:rsid w:val="00B70F08"/>
    <w:rsid w:val="00B741BB"/>
    <w:rsid w:val="00B767C0"/>
    <w:rsid w:val="00B80A3C"/>
    <w:rsid w:val="00B82201"/>
    <w:rsid w:val="00B858BF"/>
    <w:rsid w:val="00B90439"/>
    <w:rsid w:val="00B90A53"/>
    <w:rsid w:val="00B90EDC"/>
    <w:rsid w:val="00B93CCC"/>
    <w:rsid w:val="00B949B1"/>
    <w:rsid w:val="00B963B0"/>
    <w:rsid w:val="00BA0041"/>
    <w:rsid w:val="00BA0F6F"/>
    <w:rsid w:val="00BA2537"/>
    <w:rsid w:val="00BA2603"/>
    <w:rsid w:val="00BA2FF1"/>
    <w:rsid w:val="00BA4E58"/>
    <w:rsid w:val="00BA64E9"/>
    <w:rsid w:val="00BA685D"/>
    <w:rsid w:val="00BB1788"/>
    <w:rsid w:val="00BB354A"/>
    <w:rsid w:val="00BB561D"/>
    <w:rsid w:val="00BB57A4"/>
    <w:rsid w:val="00BB6B56"/>
    <w:rsid w:val="00BB7787"/>
    <w:rsid w:val="00BB78AF"/>
    <w:rsid w:val="00BC1651"/>
    <w:rsid w:val="00BC165A"/>
    <w:rsid w:val="00BC3E8F"/>
    <w:rsid w:val="00BC6791"/>
    <w:rsid w:val="00BC70B8"/>
    <w:rsid w:val="00BD1E69"/>
    <w:rsid w:val="00BD3D47"/>
    <w:rsid w:val="00BD47D6"/>
    <w:rsid w:val="00BD5760"/>
    <w:rsid w:val="00BD666D"/>
    <w:rsid w:val="00BD6C08"/>
    <w:rsid w:val="00BD7E13"/>
    <w:rsid w:val="00BE1552"/>
    <w:rsid w:val="00BE17D0"/>
    <w:rsid w:val="00BE4D3C"/>
    <w:rsid w:val="00BE4D5D"/>
    <w:rsid w:val="00BE7544"/>
    <w:rsid w:val="00BE79F6"/>
    <w:rsid w:val="00BE7D37"/>
    <w:rsid w:val="00BE7F8A"/>
    <w:rsid w:val="00BF3336"/>
    <w:rsid w:val="00BF3830"/>
    <w:rsid w:val="00BF4641"/>
    <w:rsid w:val="00BF64AC"/>
    <w:rsid w:val="00BF6BB9"/>
    <w:rsid w:val="00C00A60"/>
    <w:rsid w:val="00C021BD"/>
    <w:rsid w:val="00C0297B"/>
    <w:rsid w:val="00C04229"/>
    <w:rsid w:val="00C06BB9"/>
    <w:rsid w:val="00C11200"/>
    <w:rsid w:val="00C13D0B"/>
    <w:rsid w:val="00C15E02"/>
    <w:rsid w:val="00C16249"/>
    <w:rsid w:val="00C172DF"/>
    <w:rsid w:val="00C20ED4"/>
    <w:rsid w:val="00C22DA8"/>
    <w:rsid w:val="00C238B6"/>
    <w:rsid w:val="00C24864"/>
    <w:rsid w:val="00C2538E"/>
    <w:rsid w:val="00C30272"/>
    <w:rsid w:val="00C31DD6"/>
    <w:rsid w:val="00C3437F"/>
    <w:rsid w:val="00C34B02"/>
    <w:rsid w:val="00C37D52"/>
    <w:rsid w:val="00C412D1"/>
    <w:rsid w:val="00C42535"/>
    <w:rsid w:val="00C43389"/>
    <w:rsid w:val="00C4369D"/>
    <w:rsid w:val="00C438CA"/>
    <w:rsid w:val="00C45F55"/>
    <w:rsid w:val="00C5052C"/>
    <w:rsid w:val="00C50FD4"/>
    <w:rsid w:val="00C5122E"/>
    <w:rsid w:val="00C516FC"/>
    <w:rsid w:val="00C51C1B"/>
    <w:rsid w:val="00C5304C"/>
    <w:rsid w:val="00C536B9"/>
    <w:rsid w:val="00C54242"/>
    <w:rsid w:val="00C547A2"/>
    <w:rsid w:val="00C57110"/>
    <w:rsid w:val="00C57957"/>
    <w:rsid w:val="00C60BD8"/>
    <w:rsid w:val="00C63C2D"/>
    <w:rsid w:val="00C67D20"/>
    <w:rsid w:val="00C71F17"/>
    <w:rsid w:val="00C7267A"/>
    <w:rsid w:val="00C732E7"/>
    <w:rsid w:val="00C745BD"/>
    <w:rsid w:val="00C76633"/>
    <w:rsid w:val="00C76C2E"/>
    <w:rsid w:val="00C806E4"/>
    <w:rsid w:val="00C82497"/>
    <w:rsid w:val="00C82515"/>
    <w:rsid w:val="00C866D7"/>
    <w:rsid w:val="00C869AD"/>
    <w:rsid w:val="00C87922"/>
    <w:rsid w:val="00C911E1"/>
    <w:rsid w:val="00C92B6D"/>
    <w:rsid w:val="00C969E5"/>
    <w:rsid w:val="00C97E80"/>
    <w:rsid w:val="00CA2542"/>
    <w:rsid w:val="00CA3499"/>
    <w:rsid w:val="00CA6887"/>
    <w:rsid w:val="00CB145B"/>
    <w:rsid w:val="00CB292B"/>
    <w:rsid w:val="00CB41A7"/>
    <w:rsid w:val="00CB4F3F"/>
    <w:rsid w:val="00CC06CE"/>
    <w:rsid w:val="00CC1AFA"/>
    <w:rsid w:val="00CC39A4"/>
    <w:rsid w:val="00CC43E5"/>
    <w:rsid w:val="00CC4696"/>
    <w:rsid w:val="00CC4925"/>
    <w:rsid w:val="00CD154A"/>
    <w:rsid w:val="00CD1765"/>
    <w:rsid w:val="00CD2496"/>
    <w:rsid w:val="00CD333D"/>
    <w:rsid w:val="00CD3FF3"/>
    <w:rsid w:val="00CD4390"/>
    <w:rsid w:val="00CD4C14"/>
    <w:rsid w:val="00CD6CC8"/>
    <w:rsid w:val="00CE0488"/>
    <w:rsid w:val="00CE136A"/>
    <w:rsid w:val="00CE168D"/>
    <w:rsid w:val="00CE1FB7"/>
    <w:rsid w:val="00CE2242"/>
    <w:rsid w:val="00CE348C"/>
    <w:rsid w:val="00CE56C5"/>
    <w:rsid w:val="00CE6D54"/>
    <w:rsid w:val="00CF1E27"/>
    <w:rsid w:val="00CF324B"/>
    <w:rsid w:val="00CF3F77"/>
    <w:rsid w:val="00CF43C7"/>
    <w:rsid w:val="00CF518E"/>
    <w:rsid w:val="00CF6A2C"/>
    <w:rsid w:val="00D03FC4"/>
    <w:rsid w:val="00D04736"/>
    <w:rsid w:val="00D10B50"/>
    <w:rsid w:val="00D10E09"/>
    <w:rsid w:val="00D118DF"/>
    <w:rsid w:val="00D13B9F"/>
    <w:rsid w:val="00D15734"/>
    <w:rsid w:val="00D15797"/>
    <w:rsid w:val="00D15B88"/>
    <w:rsid w:val="00D15F08"/>
    <w:rsid w:val="00D163CA"/>
    <w:rsid w:val="00D21FA3"/>
    <w:rsid w:val="00D21FA4"/>
    <w:rsid w:val="00D2310F"/>
    <w:rsid w:val="00D23482"/>
    <w:rsid w:val="00D23BB3"/>
    <w:rsid w:val="00D27950"/>
    <w:rsid w:val="00D3077B"/>
    <w:rsid w:val="00D31934"/>
    <w:rsid w:val="00D32094"/>
    <w:rsid w:val="00D33011"/>
    <w:rsid w:val="00D34548"/>
    <w:rsid w:val="00D355B6"/>
    <w:rsid w:val="00D364FE"/>
    <w:rsid w:val="00D37FE7"/>
    <w:rsid w:val="00D400A5"/>
    <w:rsid w:val="00D41366"/>
    <w:rsid w:val="00D41B53"/>
    <w:rsid w:val="00D41BE4"/>
    <w:rsid w:val="00D41CCB"/>
    <w:rsid w:val="00D430AA"/>
    <w:rsid w:val="00D43D5C"/>
    <w:rsid w:val="00D44FBF"/>
    <w:rsid w:val="00D45DDF"/>
    <w:rsid w:val="00D45FB2"/>
    <w:rsid w:val="00D46960"/>
    <w:rsid w:val="00D4750F"/>
    <w:rsid w:val="00D50B0F"/>
    <w:rsid w:val="00D522CD"/>
    <w:rsid w:val="00D52915"/>
    <w:rsid w:val="00D536DE"/>
    <w:rsid w:val="00D549C1"/>
    <w:rsid w:val="00D54EDF"/>
    <w:rsid w:val="00D56263"/>
    <w:rsid w:val="00D613B2"/>
    <w:rsid w:val="00D64EDD"/>
    <w:rsid w:val="00D650C0"/>
    <w:rsid w:val="00D65895"/>
    <w:rsid w:val="00D66B7F"/>
    <w:rsid w:val="00D67ACA"/>
    <w:rsid w:val="00D67C1A"/>
    <w:rsid w:val="00D70ECE"/>
    <w:rsid w:val="00D72677"/>
    <w:rsid w:val="00D73233"/>
    <w:rsid w:val="00D77874"/>
    <w:rsid w:val="00D831D7"/>
    <w:rsid w:val="00D8479C"/>
    <w:rsid w:val="00D861FE"/>
    <w:rsid w:val="00D9138F"/>
    <w:rsid w:val="00D9275F"/>
    <w:rsid w:val="00D9284B"/>
    <w:rsid w:val="00D93BAB"/>
    <w:rsid w:val="00DA1C50"/>
    <w:rsid w:val="00DA1CEC"/>
    <w:rsid w:val="00DA2035"/>
    <w:rsid w:val="00DA20DC"/>
    <w:rsid w:val="00DA27F5"/>
    <w:rsid w:val="00DA439F"/>
    <w:rsid w:val="00DA75BA"/>
    <w:rsid w:val="00DB00E3"/>
    <w:rsid w:val="00DB17BC"/>
    <w:rsid w:val="00DB391A"/>
    <w:rsid w:val="00DB3FEC"/>
    <w:rsid w:val="00DB4F1D"/>
    <w:rsid w:val="00DC062D"/>
    <w:rsid w:val="00DC1845"/>
    <w:rsid w:val="00DC2126"/>
    <w:rsid w:val="00DC2DB8"/>
    <w:rsid w:val="00DC3AEA"/>
    <w:rsid w:val="00DC4FE0"/>
    <w:rsid w:val="00DC568D"/>
    <w:rsid w:val="00DC7BC7"/>
    <w:rsid w:val="00DD3751"/>
    <w:rsid w:val="00DD42A9"/>
    <w:rsid w:val="00DD51D5"/>
    <w:rsid w:val="00DD534C"/>
    <w:rsid w:val="00DD5531"/>
    <w:rsid w:val="00DD7640"/>
    <w:rsid w:val="00DD7CEC"/>
    <w:rsid w:val="00DE11C6"/>
    <w:rsid w:val="00DE15D2"/>
    <w:rsid w:val="00DF0262"/>
    <w:rsid w:val="00DF0D61"/>
    <w:rsid w:val="00DF1A1E"/>
    <w:rsid w:val="00DF1CAE"/>
    <w:rsid w:val="00DF205E"/>
    <w:rsid w:val="00DF25DF"/>
    <w:rsid w:val="00DF2F8C"/>
    <w:rsid w:val="00DF37AE"/>
    <w:rsid w:val="00DF5093"/>
    <w:rsid w:val="00DF646F"/>
    <w:rsid w:val="00E0442F"/>
    <w:rsid w:val="00E04BD8"/>
    <w:rsid w:val="00E070D7"/>
    <w:rsid w:val="00E11ADF"/>
    <w:rsid w:val="00E15AF8"/>
    <w:rsid w:val="00E164E5"/>
    <w:rsid w:val="00E20E5E"/>
    <w:rsid w:val="00E262B6"/>
    <w:rsid w:val="00E267C2"/>
    <w:rsid w:val="00E27B9D"/>
    <w:rsid w:val="00E31466"/>
    <w:rsid w:val="00E31515"/>
    <w:rsid w:val="00E31753"/>
    <w:rsid w:val="00E31F19"/>
    <w:rsid w:val="00E33622"/>
    <w:rsid w:val="00E3469D"/>
    <w:rsid w:val="00E37CFE"/>
    <w:rsid w:val="00E40A0F"/>
    <w:rsid w:val="00E41012"/>
    <w:rsid w:val="00E41224"/>
    <w:rsid w:val="00E41479"/>
    <w:rsid w:val="00E42496"/>
    <w:rsid w:val="00E42CAC"/>
    <w:rsid w:val="00E4498D"/>
    <w:rsid w:val="00E455EA"/>
    <w:rsid w:val="00E46F8D"/>
    <w:rsid w:val="00E472B1"/>
    <w:rsid w:val="00E50EFA"/>
    <w:rsid w:val="00E51AED"/>
    <w:rsid w:val="00E52EE8"/>
    <w:rsid w:val="00E530FA"/>
    <w:rsid w:val="00E56659"/>
    <w:rsid w:val="00E60BA1"/>
    <w:rsid w:val="00E62154"/>
    <w:rsid w:val="00E66D91"/>
    <w:rsid w:val="00E72FBD"/>
    <w:rsid w:val="00E74E0A"/>
    <w:rsid w:val="00E761C7"/>
    <w:rsid w:val="00E77347"/>
    <w:rsid w:val="00E8070E"/>
    <w:rsid w:val="00E8161D"/>
    <w:rsid w:val="00E85B2F"/>
    <w:rsid w:val="00E862C2"/>
    <w:rsid w:val="00E876AB"/>
    <w:rsid w:val="00E90DA6"/>
    <w:rsid w:val="00E910E4"/>
    <w:rsid w:val="00E915EE"/>
    <w:rsid w:val="00E9217C"/>
    <w:rsid w:val="00E93313"/>
    <w:rsid w:val="00EA033F"/>
    <w:rsid w:val="00EA0CC6"/>
    <w:rsid w:val="00EA117E"/>
    <w:rsid w:val="00EA1502"/>
    <w:rsid w:val="00EA15F5"/>
    <w:rsid w:val="00EA2E2F"/>
    <w:rsid w:val="00EA3454"/>
    <w:rsid w:val="00EA4C36"/>
    <w:rsid w:val="00EA4E05"/>
    <w:rsid w:val="00EA510F"/>
    <w:rsid w:val="00EA70F9"/>
    <w:rsid w:val="00EB0741"/>
    <w:rsid w:val="00EB0833"/>
    <w:rsid w:val="00EB12BC"/>
    <w:rsid w:val="00EB20D4"/>
    <w:rsid w:val="00EB21A7"/>
    <w:rsid w:val="00EB5E75"/>
    <w:rsid w:val="00EB5EAA"/>
    <w:rsid w:val="00EB743A"/>
    <w:rsid w:val="00EC264D"/>
    <w:rsid w:val="00EC33D8"/>
    <w:rsid w:val="00EC6205"/>
    <w:rsid w:val="00EC6655"/>
    <w:rsid w:val="00EC74F6"/>
    <w:rsid w:val="00EC7C22"/>
    <w:rsid w:val="00ED40D6"/>
    <w:rsid w:val="00ED4CA5"/>
    <w:rsid w:val="00ED5507"/>
    <w:rsid w:val="00ED562F"/>
    <w:rsid w:val="00EE1530"/>
    <w:rsid w:val="00EE4339"/>
    <w:rsid w:val="00EE5364"/>
    <w:rsid w:val="00EE74BB"/>
    <w:rsid w:val="00EE7D37"/>
    <w:rsid w:val="00EF01BD"/>
    <w:rsid w:val="00EF125C"/>
    <w:rsid w:val="00EF1E56"/>
    <w:rsid w:val="00EF6390"/>
    <w:rsid w:val="00F00F94"/>
    <w:rsid w:val="00F015C1"/>
    <w:rsid w:val="00F0192A"/>
    <w:rsid w:val="00F02DD8"/>
    <w:rsid w:val="00F0341D"/>
    <w:rsid w:val="00F03C94"/>
    <w:rsid w:val="00F04735"/>
    <w:rsid w:val="00F0694D"/>
    <w:rsid w:val="00F07072"/>
    <w:rsid w:val="00F11473"/>
    <w:rsid w:val="00F1237F"/>
    <w:rsid w:val="00F139D4"/>
    <w:rsid w:val="00F153CF"/>
    <w:rsid w:val="00F165D6"/>
    <w:rsid w:val="00F17C3E"/>
    <w:rsid w:val="00F23F9A"/>
    <w:rsid w:val="00F251BC"/>
    <w:rsid w:val="00F25AC7"/>
    <w:rsid w:val="00F30D78"/>
    <w:rsid w:val="00F31A1D"/>
    <w:rsid w:val="00F31BF8"/>
    <w:rsid w:val="00F323A5"/>
    <w:rsid w:val="00F33FA2"/>
    <w:rsid w:val="00F351F6"/>
    <w:rsid w:val="00F40559"/>
    <w:rsid w:val="00F45E68"/>
    <w:rsid w:val="00F4605E"/>
    <w:rsid w:val="00F50E0C"/>
    <w:rsid w:val="00F513CE"/>
    <w:rsid w:val="00F52E7E"/>
    <w:rsid w:val="00F56ABA"/>
    <w:rsid w:val="00F5726A"/>
    <w:rsid w:val="00F57B8F"/>
    <w:rsid w:val="00F60834"/>
    <w:rsid w:val="00F61449"/>
    <w:rsid w:val="00F61470"/>
    <w:rsid w:val="00F633B6"/>
    <w:rsid w:val="00F65A3A"/>
    <w:rsid w:val="00F660D3"/>
    <w:rsid w:val="00F66336"/>
    <w:rsid w:val="00F67B10"/>
    <w:rsid w:val="00F70213"/>
    <w:rsid w:val="00F70F0D"/>
    <w:rsid w:val="00F711D0"/>
    <w:rsid w:val="00F716D2"/>
    <w:rsid w:val="00F73357"/>
    <w:rsid w:val="00F73543"/>
    <w:rsid w:val="00F73E67"/>
    <w:rsid w:val="00F73FCF"/>
    <w:rsid w:val="00F7521C"/>
    <w:rsid w:val="00F754F5"/>
    <w:rsid w:val="00F774E4"/>
    <w:rsid w:val="00F80107"/>
    <w:rsid w:val="00F80AB4"/>
    <w:rsid w:val="00F83773"/>
    <w:rsid w:val="00F83B0F"/>
    <w:rsid w:val="00F9374F"/>
    <w:rsid w:val="00F93AF9"/>
    <w:rsid w:val="00F93F58"/>
    <w:rsid w:val="00F9544E"/>
    <w:rsid w:val="00F955D2"/>
    <w:rsid w:val="00F95D26"/>
    <w:rsid w:val="00F96CFA"/>
    <w:rsid w:val="00FA0AA8"/>
    <w:rsid w:val="00FA0F42"/>
    <w:rsid w:val="00FA11AA"/>
    <w:rsid w:val="00FA1E10"/>
    <w:rsid w:val="00FA2842"/>
    <w:rsid w:val="00FA5C88"/>
    <w:rsid w:val="00FA6068"/>
    <w:rsid w:val="00FA7C44"/>
    <w:rsid w:val="00FA7F4A"/>
    <w:rsid w:val="00FB1C15"/>
    <w:rsid w:val="00FB2424"/>
    <w:rsid w:val="00FB3422"/>
    <w:rsid w:val="00FB3F72"/>
    <w:rsid w:val="00FB4461"/>
    <w:rsid w:val="00FB47EB"/>
    <w:rsid w:val="00FB6529"/>
    <w:rsid w:val="00FC074E"/>
    <w:rsid w:val="00FC149A"/>
    <w:rsid w:val="00FC1866"/>
    <w:rsid w:val="00FC1C0D"/>
    <w:rsid w:val="00FC3674"/>
    <w:rsid w:val="00FC5880"/>
    <w:rsid w:val="00FC59A3"/>
    <w:rsid w:val="00FC5A8E"/>
    <w:rsid w:val="00FC5EF1"/>
    <w:rsid w:val="00FD0069"/>
    <w:rsid w:val="00FD0C1B"/>
    <w:rsid w:val="00FD101F"/>
    <w:rsid w:val="00FD129A"/>
    <w:rsid w:val="00FD3D71"/>
    <w:rsid w:val="00FD7A09"/>
    <w:rsid w:val="00FE0C82"/>
    <w:rsid w:val="00FE0F4A"/>
    <w:rsid w:val="00FE21A4"/>
    <w:rsid w:val="00FE4AEC"/>
    <w:rsid w:val="00FE584B"/>
    <w:rsid w:val="00FE5A31"/>
    <w:rsid w:val="00FE6AD2"/>
    <w:rsid w:val="00FE7396"/>
    <w:rsid w:val="00FF066F"/>
    <w:rsid w:val="00FF1607"/>
    <w:rsid w:val="00FF1672"/>
    <w:rsid w:val="00FF27D7"/>
    <w:rsid w:val="00FF2BB2"/>
    <w:rsid w:val="00FF49EC"/>
    <w:rsid w:val="00FF4A7A"/>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cf01">
    <w:name w:val="cf01"/>
    <w:basedOn w:val="Standardnpsmoodstavce"/>
    <w:rsid w:val="004A14C1"/>
    <w:rPr>
      <w:rFonts w:ascii="Segoe UI" w:hAnsi="Segoe UI" w:cs="Segoe UI" w:hint="default"/>
      <w:sz w:val="18"/>
      <w:szCs w:val="18"/>
      <w:shd w:val="clear" w:color="auto" w:fill="FFFF00"/>
    </w:rPr>
  </w:style>
  <w:style w:type="paragraph" w:customStyle="1" w:styleId="Normal1">
    <w:name w:val="Normal 1"/>
    <w:basedOn w:val="Normln"/>
    <w:rsid w:val="008D288C"/>
    <w:pPr>
      <w:suppressAutoHyphens/>
      <w:spacing w:before="120" w:line="240" w:lineRule="auto"/>
      <w:ind w:left="880"/>
    </w:pPr>
    <w:rPr>
      <w:rFonts w:ascii="Times New Roman" w:eastAsia="SimSu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641689679">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936210743">
      <w:bodyDiv w:val="1"/>
      <w:marLeft w:val="0"/>
      <w:marRight w:val="0"/>
      <w:marTop w:val="0"/>
      <w:marBottom w:val="0"/>
      <w:divBdr>
        <w:top w:val="none" w:sz="0" w:space="0" w:color="auto"/>
        <w:left w:val="none" w:sz="0" w:space="0" w:color="auto"/>
        <w:bottom w:val="none" w:sz="0" w:space="0" w:color="auto"/>
        <w:right w:val="none" w:sz="0" w:space="0" w:color="auto"/>
      </w:divBdr>
    </w:div>
    <w:div w:id="1075513511">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hyperlink" Target="http://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b.cz/cs/financni-trhy/devizovy-trh/kurzy-devizoveho-trhu/kurzy-devizoveho-tr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e-cr.cz/attachments/62_162/2023/Rocni_zprava_o_trhu_2023_V0.zi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te-cr.cz" TargetMode="External"/><Relationship Id="rId4" Type="http://schemas.openxmlformats.org/officeDocument/2006/relationships/settings" Target="settings.xml"/><Relationship Id="rId9" Type="http://schemas.openxmlformats.org/officeDocument/2006/relationships/hyperlink" Target="mailto:maria.kopecka@havelpartner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BDAB-7A57-46AE-8D95-E8E4D435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5616</Words>
  <Characters>33140</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10</cp:revision>
  <cp:lastPrinted>2021-11-22T17:29:00Z</cp:lastPrinted>
  <dcterms:created xsi:type="dcterms:W3CDTF">2023-09-24T09:28:00Z</dcterms:created>
  <dcterms:modified xsi:type="dcterms:W3CDTF">2023-09-24T09:34:00Z</dcterms:modified>
</cp:coreProperties>
</file>