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ECF6CBA" w14:textId="77777777" w:rsidR="00316E43" w:rsidRDefault="00316E43" w:rsidP="000C4AE5">
      <w:pPr>
        <w:jc w:val="center"/>
        <w:rPr>
          <w:b/>
          <w:sz w:val="52"/>
        </w:rPr>
      </w:pPr>
      <w:r>
        <w:rPr>
          <w:b/>
          <w:sz w:val="52"/>
        </w:rPr>
        <w:t>VÝZVA K PODÁNÍ NABÍDEK</w:t>
      </w:r>
    </w:p>
    <w:p w14:paraId="55FDC3B6" w14:textId="77777777" w:rsidR="00316E43" w:rsidRDefault="00316E43" w:rsidP="000C4AE5">
      <w:pPr>
        <w:jc w:val="center"/>
        <w:rPr>
          <w:b/>
          <w:sz w:val="52"/>
        </w:rPr>
      </w:pPr>
      <w:r>
        <w:rPr>
          <w:b/>
          <w:sz w:val="52"/>
        </w:rPr>
        <w:t>a</w:t>
      </w:r>
    </w:p>
    <w:p w14:paraId="2FEA23BD" w14:textId="78D672C4"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5832BFB4" w:rsidR="00AB5244" w:rsidRPr="009367B9" w:rsidRDefault="00AB5244" w:rsidP="000C4AE5">
      <w:pPr>
        <w:jc w:val="center"/>
      </w:pPr>
      <w:r w:rsidRPr="007217B0">
        <w:t xml:space="preserve">zadávanou v </w:t>
      </w:r>
      <w:r w:rsidRPr="007125C4">
        <w:t xml:space="preserve">souladu § </w:t>
      </w:r>
      <w:r w:rsidR="00DD534C" w:rsidRPr="007125C4">
        <w:t>5</w:t>
      </w:r>
      <w:r w:rsidR="00316E43">
        <w:t>3</w:t>
      </w:r>
      <w:r w:rsidR="00DD534C" w:rsidRPr="007125C4">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316E43">
        <w:t>e zjednodušeném podlimitním řízení</w:t>
      </w:r>
      <w:r w:rsidR="009367B9">
        <w:t xml:space="preserve"> (dále jen „</w:t>
      </w:r>
      <w:r w:rsidR="00316E43">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3331D139" w:rsidR="001F1B9D" w:rsidRPr="00316E43" w:rsidRDefault="003E5E0E" w:rsidP="000C4AE5">
      <w:pPr>
        <w:jc w:val="center"/>
        <w:rPr>
          <w:b/>
          <w:caps/>
          <w:color w:val="E36C0A" w:themeColor="accent6" w:themeShade="BF"/>
          <w:sz w:val="40"/>
        </w:rPr>
      </w:pPr>
      <w:bookmarkStart w:id="0" w:name="_Hlk109209843"/>
      <w:r w:rsidRPr="00316E43">
        <w:rPr>
          <w:b/>
          <w:color w:val="E36C0A" w:themeColor="accent6" w:themeShade="BF"/>
          <w:sz w:val="40"/>
        </w:rPr>
        <w:t xml:space="preserve">DODÁVKY </w:t>
      </w:r>
      <w:bookmarkEnd w:id="0"/>
      <w:r w:rsidR="006C147A" w:rsidRPr="00316E43">
        <w:rPr>
          <w:b/>
          <w:color w:val="E36C0A" w:themeColor="accent6" w:themeShade="BF"/>
          <w:sz w:val="40"/>
        </w:rPr>
        <w:t xml:space="preserve">PLYNU </w:t>
      </w:r>
      <w:r w:rsidR="00513AE1" w:rsidRPr="00316E43">
        <w:rPr>
          <w:b/>
          <w:color w:val="E36C0A" w:themeColor="accent6" w:themeShade="BF"/>
          <w:sz w:val="40"/>
        </w:rPr>
        <w:t xml:space="preserve">NA ROK </w:t>
      </w:r>
      <w:r w:rsidR="006C147A" w:rsidRPr="00316E43">
        <w:rPr>
          <w:b/>
          <w:color w:val="E36C0A" w:themeColor="accent6" w:themeShade="BF"/>
          <w:sz w:val="40"/>
        </w:rPr>
        <w:t>2024</w:t>
      </w:r>
      <w:r w:rsidR="00A973EA" w:rsidRPr="00316E43">
        <w:rPr>
          <w:b/>
          <w:caps/>
          <w:color w:val="E36C0A" w:themeColor="accent6" w:themeShade="BF"/>
          <w:sz w:val="40"/>
        </w:rPr>
        <w:t xml:space="preserve"> </w:t>
      </w:r>
    </w:p>
    <w:p w14:paraId="2449117D" w14:textId="4F2DC7F8" w:rsidR="00BD1E69" w:rsidRPr="001F1B9D" w:rsidRDefault="00915BA6" w:rsidP="000C4AE5">
      <w:pPr>
        <w:jc w:val="center"/>
        <w:rPr>
          <w:b/>
          <w:caps/>
          <w:sz w:val="40"/>
        </w:rPr>
      </w:pPr>
      <w:r w:rsidRPr="00316E43">
        <w:rPr>
          <w:b/>
          <w:caps/>
          <w:sz w:val="40"/>
        </w:rPr>
        <w:t>Z</w:t>
      </w:r>
      <w:r w:rsidR="00316E43">
        <w:rPr>
          <w:b/>
          <w:caps/>
          <w:sz w:val="40"/>
        </w:rPr>
        <w:t>23052</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5D268558" w14:textId="77777777" w:rsidR="00CF70F5" w:rsidRDefault="00AB5244" w:rsidP="000C4AE5">
      <w:r w:rsidRPr="00851A25">
        <w:t xml:space="preserve">Tato veřejná zakázka </w:t>
      </w:r>
      <w:r w:rsidR="002454F9">
        <w:t>na</w:t>
      </w:r>
      <w:r w:rsidR="00A973EA">
        <w:t xml:space="preserve"> dodávk</w:t>
      </w:r>
      <w:r w:rsidR="002454F9">
        <w:t>y</w:t>
      </w:r>
      <w:r w:rsidRPr="00A973EA">
        <w:t xml:space="preserve"> s názvem</w:t>
      </w:r>
      <w:r w:rsidRPr="009B45F4">
        <w:t xml:space="preserve"> </w:t>
      </w:r>
      <w:r w:rsidR="00A973EA" w:rsidRPr="009B45F4">
        <w:t>„</w:t>
      </w:r>
      <w:r w:rsidR="00513AE1">
        <w:rPr>
          <w:b/>
          <w:bCs/>
        </w:rPr>
        <w:t>Dodávky plynu na rok 2024</w:t>
      </w:r>
      <w:r w:rsidR="00A973EA" w:rsidRPr="004201E7">
        <w:rPr>
          <w:b/>
        </w:rPr>
        <w:t>“</w:t>
      </w:r>
      <w:r w:rsidRPr="004201E7">
        <w:rPr>
          <w:b/>
        </w:rPr>
        <w:t xml:space="preserve"> </w:t>
      </w:r>
      <w:r w:rsidRPr="004201E7">
        <w:t>(dále</w:t>
      </w:r>
      <w:r w:rsidRPr="00851A25">
        <w:t xml:space="preserve"> jen „</w:t>
      </w:r>
      <w:r w:rsidR="001D0232">
        <w:rPr>
          <w:b/>
        </w:rPr>
        <w:t>v</w:t>
      </w:r>
      <w:r w:rsidRPr="00851A25">
        <w:rPr>
          <w:b/>
        </w:rPr>
        <w:t>eřejná zakázka</w:t>
      </w:r>
      <w:r w:rsidRPr="00851A25">
        <w:t xml:space="preserve">“) je zadávána </w:t>
      </w:r>
      <w:r w:rsidR="00DD534C" w:rsidRPr="00851A25">
        <w:t>v</w:t>
      </w:r>
      <w:r w:rsidR="001D0232">
        <w:t xml:space="preserve">e zjednodušeném podlimitním </w:t>
      </w:r>
      <w:r w:rsidR="00CA0357" w:rsidRPr="00851A25">
        <w:t>řízení</w:t>
      </w:r>
      <w:r w:rsidR="009A394E" w:rsidRPr="00851A25">
        <w:t xml:space="preserve"> dle § 5</w:t>
      </w:r>
      <w:r w:rsidR="00CF70F5">
        <w:t>3</w:t>
      </w:r>
      <w:r w:rsidR="009A394E" w:rsidRPr="00851A25">
        <w:t xml:space="preserve"> ZZVZ</w:t>
      </w:r>
      <w:r w:rsidR="007D3961" w:rsidRPr="00851A25">
        <w:t>.</w:t>
      </w:r>
      <w:r w:rsidR="00DD1987">
        <w:t xml:space="preserve"> </w:t>
      </w:r>
    </w:p>
    <w:p w14:paraId="3449175F" w14:textId="317A5B76" w:rsidR="007D3961" w:rsidRDefault="00DD1987" w:rsidP="000C4AE5">
      <w:r>
        <w:t xml:space="preserve">Veřejná zakázka je rozdělena na </w:t>
      </w:r>
      <w:r w:rsidR="0071173C">
        <w:t>2 procesně samostatné</w:t>
      </w:r>
      <w:r>
        <w:t xml:space="preserve"> části</w:t>
      </w:r>
      <w:r w:rsidR="0071173C">
        <w:t xml:space="preserve"> dle úrovně odběru:</w:t>
      </w:r>
    </w:p>
    <w:p w14:paraId="11790360" w14:textId="306923E9" w:rsidR="0071173C" w:rsidRDefault="0071173C" w:rsidP="00890492">
      <w:pPr>
        <w:pStyle w:val="Odstavecseseznamem"/>
        <w:numPr>
          <w:ilvl w:val="0"/>
          <w:numId w:val="15"/>
        </w:numPr>
      </w:pPr>
      <w:r>
        <w:t>část 1</w:t>
      </w:r>
      <w:r w:rsidR="00892389">
        <w:t xml:space="preserve"> </w:t>
      </w:r>
      <w:r w:rsidR="00DA7372">
        <w:t>–</w:t>
      </w:r>
      <w:r w:rsidR="00892389">
        <w:t xml:space="preserve"> </w:t>
      </w:r>
      <w:r w:rsidR="00DA7372">
        <w:t>Velkoodběr (VO) a</w:t>
      </w:r>
    </w:p>
    <w:p w14:paraId="08424453" w14:textId="09B4AB43" w:rsidR="00DA7372" w:rsidRPr="00826F54" w:rsidRDefault="00DA7372" w:rsidP="00890492">
      <w:pPr>
        <w:pStyle w:val="Odstavecseseznamem"/>
        <w:numPr>
          <w:ilvl w:val="0"/>
          <w:numId w:val="15"/>
        </w:numPr>
      </w:pPr>
      <w:r>
        <w:t>část 2 – Maloodběr (MO).</w:t>
      </w:r>
    </w:p>
    <w:p w14:paraId="1B455F95" w14:textId="1EAF605B" w:rsidR="00146610" w:rsidRDefault="00146610" w:rsidP="000C4AE5">
      <w:r>
        <w:rPr>
          <w:rFonts w:ascii="Calibri" w:hAnsi="Calibri" w:cs="Calibri"/>
        </w:rPr>
        <w:t xml:space="preserve">Každý dodavatel je oprávněn podat nabídku do neomezeného počtu částí veřejné zakázky – dodavatel tedy může podat nabídku do 1 až 2 částí veřejné zakázky. </w:t>
      </w:r>
    </w:p>
    <w:p w14:paraId="5F91089D" w14:textId="67B18A6E" w:rsidR="00DD1987" w:rsidRDefault="00DD1987" w:rsidP="000C4AE5">
      <w:r w:rsidRPr="00826F54">
        <w:t xml:space="preserve">Na základě </w:t>
      </w:r>
      <w:r w:rsidR="001E2A2D">
        <w:t>z</w:t>
      </w:r>
      <w:r w:rsidRPr="00826F54">
        <w:t xml:space="preserve">adávacího řízení bude </w:t>
      </w:r>
      <w:r>
        <w:t xml:space="preserve">v každé části </w:t>
      </w:r>
      <w:r w:rsidR="001E2A2D">
        <w:t>v</w:t>
      </w:r>
      <w:r>
        <w:t xml:space="preserve">eřejné zakázky uzavřena s vybraným dodavatelem smlouva </w:t>
      </w:r>
      <w:r w:rsidRPr="00826F54">
        <w:t xml:space="preserve">na plnění </w:t>
      </w:r>
      <w:r>
        <w:t>příslušné části</w:t>
      </w:r>
      <w:r w:rsidRPr="00826F54">
        <w:t xml:space="preserve"> </w:t>
      </w:r>
      <w:r w:rsidR="001E2A2D">
        <w:t>v</w:t>
      </w:r>
      <w:r w:rsidRPr="00826F54">
        <w:t>eřejné zakázky</w:t>
      </w:r>
      <w:r>
        <w:t xml:space="preserve"> (</w:t>
      </w:r>
      <w:r w:rsidR="001E2A2D">
        <w:t xml:space="preserve">dále jen </w:t>
      </w:r>
      <w:r w:rsidRPr="003974C8">
        <w:t>„</w:t>
      </w:r>
      <w:r>
        <w:rPr>
          <w:b/>
          <w:bCs/>
        </w:rPr>
        <w:t>Smlouva</w:t>
      </w:r>
      <w:r w:rsidRPr="003974C8">
        <w:t>“).</w:t>
      </w:r>
      <w:r>
        <w:t xml:space="preserve"> Každá Smlouva bude</w:t>
      </w:r>
      <w:r w:rsidRPr="00DD1987">
        <w:t xml:space="preserve"> </w:t>
      </w:r>
      <w:r>
        <w:t xml:space="preserve">vždy uzavřena s jedním účastníkem, jehož nabídka bude v </w:t>
      </w:r>
      <w:r w:rsidR="004551BE">
        <w:t>z</w:t>
      </w:r>
      <w:r>
        <w:t xml:space="preserve">adávacím řízení vyhodnocena v rámci příslušné části </w:t>
      </w:r>
      <w:r w:rsidR="004551BE">
        <w:t>v</w:t>
      </w:r>
      <w:r>
        <w:t>eřejné zakázky jako nejvýhodnější.</w:t>
      </w:r>
      <w:r w:rsidRPr="00DD1987">
        <w:rPr>
          <w:b/>
          <w:bCs/>
        </w:rPr>
        <w:t xml:space="preserve"> </w:t>
      </w:r>
      <w:r w:rsidRPr="005D1D2E">
        <w:rPr>
          <w:b/>
          <w:bCs/>
        </w:rPr>
        <w:t>Příslušný návrh Smlouvy předloží</w:t>
      </w:r>
      <w:r w:rsidR="000C44EB">
        <w:rPr>
          <w:b/>
          <w:bCs/>
        </w:rPr>
        <w:t xml:space="preserve"> pro každou část </w:t>
      </w:r>
      <w:r w:rsidR="004551BE">
        <w:rPr>
          <w:b/>
          <w:bCs/>
        </w:rPr>
        <w:t>v</w:t>
      </w:r>
      <w:r w:rsidR="000C44EB">
        <w:rPr>
          <w:b/>
          <w:bCs/>
        </w:rPr>
        <w:t>eřejné zakázky, ve které se hodlá zúčastni</w:t>
      </w:r>
      <w:r w:rsidR="004D096B">
        <w:rPr>
          <w:b/>
          <w:bCs/>
        </w:rPr>
        <w:t>t</w:t>
      </w:r>
      <w:r w:rsidR="000C44EB">
        <w:rPr>
          <w:b/>
          <w:bCs/>
        </w:rPr>
        <w:t>,</w:t>
      </w:r>
      <w:r w:rsidRPr="005D1D2E">
        <w:rPr>
          <w:b/>
          <w:bCs/>
        </w:rPr>
        <w:t xml:space="preserve"> v</w:t>
      </w:r>
      <w:r w:rsidR="004551BE">
        <w:rPr>
          <w:b/>
          <w:bCs/>
        </w:rPr>
        <w:t> </w:t>
      </w:r>
      <w:r w:rsidRPr="005D1D2E">
        <w:rPr>
          <w:b/>
          <w:bCs/>
        </w:rPr>
        <w:t>rámci</w:t>
      </w:r>
      <w:r w:rsidR="004551BE">
        <w:rPr>
          <w:b/>
          <w:bCs/>
        </w:rPr>
        <w:t xml:space="preserve"> své</w:t>
      </w:r>
      <w:r w:rsidRPr="005D1D2E">
        <w:rPr>
          <w:b/>
          <w:bCs/>
        </w:rPr>
        <w:t xml:space="preserve"> nabídky dodavatel.</w:t>
      </w:r>
      <w:r w:rsidR="00A64C92" w:rsidRPr="00A64C92">
        <w:t xml:space="preserve"> </w:t>
      </w:r>
      <w:r w:rsidR="00A64C92">
        <w:t xml:space="preserve">Pro vyloučení pochybností Zadavatel uvádí, že </w:t>
      </w:r>
      <w:r w:rsidR="00A64C92">
        <w:rPr>
          <w:b/>
          <w:bCs/>
        </w:rPr>
        <w:t>bude-li dodavatel podávat nabídku do obou částí veřejné zakázky, předloží dva návrhy Smlouvy, a to pro každou část veřejné zakázky</w:t>
      </w:r>
      <w:r w:rsidR="00A64C92">
        <w:t>.</w:t>
      </w:r>
    </w:p>
    <w:p w14:paraId="3023E382" w14:textId="53DBD033" w:rsidR="00AB5244" w:rsidRPr="00826F54" w:rsidRDefault="00EB5E75" w:rsidP="000C4AE5">
      <w:bookmarkStart w:id="2" w:name="_Hlk51231979"/>
      <w:r w:rsidRPr="00826F54">
        <w:t xml:space="preserve">Kompletní </w:t>
      </w:r>
      <w:r w:rsidR="00081B96" w:rsidRPr="00826F54">
        <w:t xml:space="preserve">zadávací </w:t>
      </w:r>
      <w:r w:rsidR="00AB5244" w:rsidRPr="00826F54">
        <w:t xml:space="preserve">dokumentace </w:t>
      </w:r>
      <w:r w:rsidR="00ED3049">
        <w:t>v</w:t>
      </w:r>
      <w:r w:rsidR="00AB5244" w:rsidRPr="00826F54">
        <w:t>eřejné zakázky (dále jen „</w:t>
      </w:r>
      <w:r w:rsidR="00ED3049">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35EED11D" w14:textId="0E661F23"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w:t>
      </w:r>
      <w:r w:rsidR="00554270">
        <w:rPr>
          <w:rFonts w:cs="Tahoma"/>
        </w:rPr>
        <w:t>č</w:t>
      </w:r>
      <w:r w:rsidRPr="00966288">
        <w:rPr>
          <w:rFonts w:cs="Tahoma"/>
        </w:rPr>
        <w:t xml:space="preserve">. </w:t>
      </w:r>
      <w:r w:rsidR="00EA4972">
        <w:rPr>
          <w:rFonts w:cs="Tahoma"/>
        </w:rPr>
        <w:t>8</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D5758D3"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w:t>
      </w:r>
      <w:r w:rsidR="00EA4972">
        <w:rPr>
          <w:rFonts w:cs="Tahoma"/>
        </w:rPr>
        <w:t>8</w:t>
      </w:r>
      <w:r w:rsidRPr="00966288">
        <w:rPr>
          <w:rFonts w:cs="Tahoma"/>
        </w:rPr>
        <w:t xml:space="preserve">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lastRenderedPageBreak/>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3" w:name="_Ref94207855"/>
      <w:r w:rsidRPr="001753B1">
        <w:t>Zastoupení Zadavatele v </w:t>
      </w:r>
      <w:r w:rsidR="008D687B" w:rsidRPr="001753B1">
        <w:t>Z</w:t>
      </w:r>
      <w:r w:rsidRPr="001753B1">
        <w:t>adávacím řízení</w:t>
      </w:r>
      <w:bookmarkEnd w:id="3"/>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274B566"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Mgr. Mária Kopecká</w:t>
      </w:r>
    </w:p>
    <w:p w14:paraId="4CAFBBEA" w14:textId="4C60736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0B39DD" w:rsidRPr="001753B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r w:rsidRPr="00253100">
        <w:t>Předmět Veřejné zakázky</w:t>
      </w:r>
    </w:p>
    <w:p w14:paraId="3338544B" w14:textId="6564A5DD" w:rsidR="00C4607F" w:rsidRDefault="00B5259D" w:rsidP="00E16264">
      <w:r w:rsidRPr="00B5259D">
        <w:t>Předmětem plnění veřejné zakázky je fyzická dodávka zemního plynu do odběrných míst</w:t>
      </w:r>
      <w:r>
        <w:t xml:space="preserve"> Zadavatele </w:t>
      </w:r>
      <w:r w:rsidR="003315ED">
        <w:t>pro období od 1. 1. 2024 do 31. 12. 2024</w:t>
      </w:r>
      <w:r w:rsidR="00756D01">
        <w:t xml:space="preserve"> </w:t>
      </w:r>
      <w:r w:rsidRPr="00B5259D">
        <w:t xml:space="preserve">v režimu smlouvy o sdružených službách dodávky plynu ve smyslu ust. § 72 zákona </w:t>
      </w:r>
      <w:r w:rsidR="008F6127">
        <w:t>č</w:t>
      </w:r>
      <w:r w:rsidR="008F6127" w:rsidRPr="00126211">
        <w:rPr>
          <w:rFonts w:cs="Tahoma"/>
        </w:rPr>
        <w:t>. 458/2000 Sb., o podmínkách</w:t>
      </w:r>
      <w:r w:rsidR="008F6127">
        <w:rPr>
          <w:rFonts w:cs="Tahoma"/>
        </w:rPr>
        <w:t xml:space="preserve"> </w:t>
      </w:r>
      <w:r w:rsidR="008F6127" w:rsidRPr="00126211">
        <w:rPr>
          <w:rFonts w:cs="Tahoma"/>
        </w:rPr>
        <w:t>podnikání a o výkonu státní správy v energetických odvětvích a o změně některých</w:t>
      </w:r>
      <w:r w:rsidR="008F6127">
        <w:rPr>
          <w:rFonts w:cs="Tahoma"/>
        </w:rPr>
        <w:t xml:space="preserve"> </w:t>
      </w:r>
      <w:r w:rsidR="008F6127" w:rsidRPr="00126211">
        <w:rPr>
          <w:rFonts w:cs="Tahoma"/>
        </w:rPr>
        <w:t>zákonů, ve znění pozdějších přepisů (dále také jako „</w:t>
      </w:r>
      <w:r w:rsidR="008F6127" w:rsidRPr="00A650F2">
        <w:rPr>
          <w:rFonts w:cs="Tahoma"/>
          <w:b/>
          <w:bCs/>
        </w:rPr>
        <w:t>energetický zákon</w:t>
      </w:r>
      <w:r w:rsidR="008F6127" w:rsidRPr="00126211">
        <w:rPr>
          <w:rFonts w:cs="Tahoma"/>
        </w:rPr>
        <w:t>“), a vyhlášky</w:t>
      </w:r>
      <w:r w:rsidR="008F6127">
        <w:rPr>
          <w:rFonts w:cs="Tahoma"/>
        </w:rPr>
        <w:t xml:space="preserve"> </w:t>
      </w:r>
      <w:r w:rsidR="008F6127" w:rsidRPr="00126211">
        <w:rPr>
          <w:rFonts w:cs="Tahoma"/>
        </w:rPr>
        <w:t>E</w:t>
      </w:r>
      <w:r w:rsidR="008F6127">
        <w:rPr>
          <w:rFonts w:cs="Tahoma"/>
        </w:rPr>
        <w:t>nergetického regulačního úřadu (dále jen „</w:t>
      </w:r>
      <w:r w:rsidR="008F6127" w:rsidRPr="007B4E3B">
        <w:rPr>
          <w:rFonts w:cs="Tahoma"/>
          <w:b/>
          <w:bCs/>
        </w:rPr>
        <w:t>ERÚ</w:t>
      </w:r>
      <w:r w:rsidR="008F6127">
        <w:rPr>
          <w:rFonts w:cs="Tahoma"/>
        </w:rPr>
        <w:t xml:space="preserve">“) </w:t>
      </w:r>
      <w:r w:rsidR="008F6127" w:rsidRPr="00126211">
        <w:rPr>
          <w:rFonts w:cs="Tahoma"/>
        </w:rPr>
        <w:t xml:space="preserve">č. </w:t>
      </w:r>
      <w:r w:rsidR="008F6127">
        <w:rPr>
          <w:rFonts w:cs="Tahoma"/>
        </w:rPr>
        <w:t>349</w:t>
      </w:r>
      <w:r w:rsidR="008F6127" w:rsidRPr="00126211">
        <w:rPr>
          <w:rFonts w:cs="Tahoma"/>
        </w:rPr>
        <w:t xml:space="preserve">/2015 Sb., o Pravidlech trhu s </w:t>
      </w:r>
      <w:r w:rsidR="008F6127">
        <w:rPr>
          <w:rFonts w:cs="Tahoma"/>
        </w:rPr>
        <w:t>plynem</w:t>
      </w:r>
      <w:r w:rsidR="008F6127" w:rsidRPr="00126211">
        <w:rPr>
          <w:rFonts w:cs="Tahoma"/>
        </w:rPr>
        <w:t>, ve znění pozdějších předpisů</w:t>
      </w:r>
      <w:r w:rsidRPr="00B5259D">
        <w:t>, a dalších prováděcích vyhlášek k energetickému zákonu</w:t>
      </w:r>
      <w:r w:rsidR="003A5789">
        <w:t xml:space="preserve">, a s tím související </w:t>
      </w:r>
      <w:r w:rsidR="00C4607F" w:rsidRPr="00126211">
        <w:rPr>
          <w:rFonts w:cs="Tahoma"/>
        </w:rPr>
        <w:t>závazek</w:t>
      </w:r>
      <w:r w:rsidR="00C4607F">
        <w:rPr>
          <w:rFonts w:cs="Tahoma"/>
        </w:rPr>
        <w:t xml:space="preserve"> Zadavatele k </w:t>
      </w:r>
      <w:r w:rsidR="00C4607F" w:rsidRPr="00126211">
        <w:rPr>
          <w:rFonts w:cs="Tahoma"/>
        </w:rPr>
        <w:t xml:space="preserve">odběru </w:t>
      </w:r>
      <w:r w:rsidR="00C4607F">
        <w:rPr>
          <w:rFonts w:cs="Tahoma"/>
        </w:rPr>
        <w:t xml:space="preserve">zemního plynu z plynárenské distribuční soustavy </w:t>
      </w:r>
      <w:r w:rsidR="00C4607F" w:rsidRPr="00126211">
        <w:rPr>
          <w:rFonts w:cs="Tahoma"/>
        </w:rPr>
        <w:t>a</w:t>
      </w:r>
      <w:r w:rsidR="00C4607F">
        <w:rPr>
          <w:rFonts w:cs="Tahoma"/>
        </w:rPr>
        <w:t> </w:t>
      </w:r>
      <w:r w:rsidR="00C4607F" w:rsidRPr="00126211">
        <w:rPr>
          <w:rFonts w:cs="Tahoma"/>
        </w:rPr>
        <w:t>převzetí odpovědnosti dodavatele za odchylku</w:t>
      </w:r>
      <w:r w:rsidR="00C4607F">
        <w:rPr>
          <w:rFonts w:cs="Tahoma"/>
        </w:rPr>
        <w:t xml:space="preserve"> Z</w:t>
      </w:r>
      <w:r w:rsidR="00C4607F" w:rsidRPr="00126211">
        <w:rPr>
          <w:rFonts w:cs="Tahoma"/>
        </w:rPr>
        <w:t>adavatele vůči operátorovi trhu ve smyslu</w:t>
      </w:r>
      <w:r w:rsidR="00756D01">
        <w:t xml:space="preserve"> </w:t>
      </w:r>
      <w:r w:rsidR="008F6127">
        <w:t>těchto předpisů.</w:t>
      </w:r>
    </w:p>
    <w:p w14:paraId="06EAD8D1" w14:textId="556AC435" w:rsidR="00756D01" w:rsidRDefault="00A304CE" w:rsidP="00E16264">
      <w:r>
        <w:t>Zadavatel požaduje sjednání dodávek plynu za tzv. fixní poplatek.</w:t>
      </w:r>
    </w:p>
    <w:p w14:paraId="08BC10D3" w14:textId="0B8EF8C8" w:rsidR="00DD1987" w:rsidRPr="00756D01" w:rsidRDefault="00DD1987" w:rsidP="00E16264">
      <w:pPr>
        <w:rPr>
          <w:rFonts w:ascii="Calibri" w:hAnsi="Calibri" w:cs="Calibri"/>
          <w:color w:val="000000"/>
        </w:rPr>
      </w:pPr>
      <w:r w:rsidRPr="00756D01">
        <w:rPr>
          <w:rFonts w:ascii="Calibri" w:hAnsi="Calibri" w:cs="Calibri"/>
          <w:color w:val="000000"/>
        </w:rPr>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0BDDE5B5" w14:textId="77693814" w:rsidR="00DD1987" w:rsidRPr="00756D01" w:rsidRDefault="00DD1987" w:rsidP="00DD1987">
      <w:pPr>
        <w:rPr>
          <w:rFonts w:ascii="Calibri" w:hAnsi="Calibri" w:cs="Calibri"/>
          <w:color w:val="000000"/>
        </w:rPr>
      </w:pPr>
      <w:r w:rsidRPr="00756D01">
        <w:rPr>
          <w:rFonts w:ascii="Calibri" w:hAnsi="Calibri" w:cs="Calibri"/>
          <w:color w:val="000000"/>
        </w:rPr>
        <w:t xml:space="preserve">Dodávka zemního plynu se uskutečňuje v režimu </w:t>
      </w:r>
      <w:r w:rsidR="00665940" w:rsidRPr="00756D01">
        <w:rPr>
          <w:rFonts w:ascii="Calibri" w:hAnsi="Calibri" w:cs="Calibri"/>
          <w:color w:val="000000"/>
        </w:rPr>
        <w:t xml:space="preserve">maloodběratele </w:t>
      </w:r>
      <w:r w:rsidRPr="00756D01">
        <w:rPr>
          <w:rFonts w:ascii="Calibri" w:hAnsi="Calibri" w:cs="Calibri"/>
          <w:color w:val="000000"/>
        </w:rPr>
        <w:t>a velkoodběr</w:t>
      </w:r>
      <w:r w:rsidR="00665940" w:rsidRPr="00756D01">
        <w:rPr>
          <w:rFonts w:ascii="Calibri" w:hAnsi="Calibri" w:cs="Calibri"/>
          <w:color w:val="000000"/>
        </w:rPr>
        <w:t>atele</w:t>
      </w:r>
      <w:r w:rsidRPr="00756D01">
        <w:rPr>
          <w:rFonts w:ascii="Calibri" w:hAnsi="Calibri" w:cs="Calibri"/>
          <w:color w:val="000000"/>
        </w:rPr>
        <w:t xml:space="preserve"> v souladu s hodnotou rezervované kapacity a odběru dle definice jednotlivých odběrových míst.</w:t>
      </w:r>
    </w:p>
    <w:p w14:paraId="15043272" w14:textId="061F7985" w:rsidR="00B35492" w:rsidRDefault="00DD1987" w:rsidP="00E16264">
      <w:pPr>
        <w:rPr>
          <w:rFonts w:ascii="Calibri" w:hAnsi="Calibri" w:cs="Calibri"/>
          <w:color w:val="000000"/>
        </w:rPr>
      </w:pPr>
      <w:r w:rsidRPr="00665940">
        <w:rPr>
          <w:rFonts w:ascii="Calibri" w:hAnsi="Calibri" w:cs="Calibri"/>
          <w:color w:val="000000"/>
        </w:rPr>
        <w:t>Za sjednané množství dodávky zemního plynu se považuje skutečně dodané a odebrané množství zemního plynu v odběrném místě odběratele.</w:t>
      </w:r>
    </w:p>
    <w:p w14:paraId="502D186F" w14:textId="6D0F2CBE" w:rsidR="00EF4EC3" w:rsidRPr="00665940" w:rsidRDefault="00EF4EC3" w:rsidP="00E16264">
      <w:pPr>
        <w:rPr>
          <w:rFonts w:ascii="Calibri" w:hAnsi="Calibri" w:cs="Calibri"/>
          <w:color w:val="000000"/>
        </w:rPr>
      </w:pPr>
      <w:r w:rsidRPr="00377C52">
        <w:rPr>
          <w:rFonts w:cs="Tahoma"/>
        </w:rPr>
        <w:lastRenderedPageBreak/>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03F30EB4" w14:textId="61B10739" w:rsidR="00DD1987" w:rsidRDefault="00DD1987" w:rsidP="007217B0">
      <w:pPr>
        <w:pStyle w:val="Nadpis2"/>
      </w:pPr>
      <w:bookmarkStart w:id="4" w:name="_Ref144907009"/>
      <w:r>
        <w:t xml:space="preserve">Rozdělení </w:t>
      </w:r>
      <w:r w:rsidR="00400647">
        <w:t>v</w:t>
      </w:r>
      <w:r>
        <w:t>eřejné zakázky na části</w:t>
      </w:r>
      <w:bookmarkEnd w:id="4"/>
    </w:p>
    <w:p w14:paraId="273FDE5B" w14:textId="705FD353" w:rsidR="000C44EB" w:rsidRDefault="000C44EB" w:rsidP="000C44EB">
      <w:r>
        <w:t xml:space="preserve">Veřejná zakázka je rozdělena na celkem 2 </w:t>
      </w:r>
      <w:r w:rsidR="00400647">
        <w:t xml:space="preserve">procesně samostatné </w:t>
      </w:r>
      <w:r>
        <w:t xml:space="preserve">části. Jednotlivé části jsou rozděleny dle toho, zda se </w:t>
      </w:r>
      <w:r w:rsidR="00756D01">
        <w:rPr>
          <w:rFonts w:ascii="Calibri" w:hAnsi="Calibri" w:cs="Calibri"/>
          <w:color w:val="000000"/>
        </w:rPr>
        <w:t>d</w:t>
      </w:r>
      <w:r w:rsidR="00756D01" w:rsidRPr="00756D01">
        <w:rPr>
          <w:rFonts w:ascii="Calibri" w:hAnsi="Calibri" w:cs="Calibri"/>
          <w:color w:val="000000"/>
        </w:rPr>
        <w:t xml:space="preserve">odávka zemního plynu se uskutečňuje v režimu maloodběratele </w:t>
      </w:r>
      <w:r w:rsidR="00756D01">
        <w:rPr>
          <w:rFonts w:ascii="Calibri" w:hAnsi="Calibri" w:cs="Calibri"/>
          <w:color w:val="000000"/>
        </w:rPr>
        <w:t>nebo</w:t>
      </w:r>
      <w:r w:rsidR="00756D01" w:rsidRPr="00756D01">
        <w:rPr>
          <w:rFonts w:ascii="Calibri" w:hAnsi="Calibri" w:cs="Calibri"/>
          <w:color w:val="000000"/>
        </w:rPr>
        <w:t xml:space="preserve"> velkoodběratele</w:t>
      </w:r>
      <w:r>
        <w:t xml:space="preserve">. </w:t>
      </w:r>
      <w:r w:rsidRPr="000C44EB">
        <w:t>Veřejná zakázka je rozdělena na následující části</w:t>
      </w:r>
      <w:r>
        <w:t>:</w:t>
      </w:r>
    </w:p>
    <w:p w14:paraId="146B497E" w14:textId="77777777" w:rsidR="002A0183" w:rsidRPr="009B4929" w:rsidRDefault="000C44EB" w:rsidP="00890492">
      <w:pPr>
        <w:pStyle w:val="Odstavecseseznamem"/>
        <w:numPr>
          <w:ilvl w:val="0"/>
          <w:numId w:val="13"/>
        </w:numPr>
        <w:ind w:left="714" w:hanging="357"/>
        <w:contextualSpacing w:val="0"/>
        <w:rPr>
          <w:b/>
          <w:bCs/>
        </w:rPr>
      </w:pPr>
      <w:r w:rsidRPr="009B4929">
        <w:rPr>
          <w:b/>
          <w:bCs/>
        </w:rPr>
        <w:t xml:space="preserve">Část 1 </w:t>
      </w:r>
      <w:r w:rsidR="00400647" w:rsidRPr="009B4929">
        <w:rPr>
          <w:b/>
          <w:bCs/>
        </w:rPr>
        <w:t>– velkoodběr (VO)</w:t>
      </w:r>
    </w:p>
    <w:p w14:paraId="4988C4AB" w14:textId="4DC5DF90" w:rsidR="000C44EB" w:rsidRDefault="002A0183" w:rsidP="00952A29">
      <w:pPr>
        <w:pStyle w:val="Odstavecseseznamem"/>
        <w:contextualSpacing w:val="0"/>
      </w:pPr>
      <w:r>
        <w:t xml:space="preserve">Předmětem této části jsou </w:t>
      </w:r>
      <w:r w:rsidR="000C44EB">
        <w:t xml:space="preserve">dodávky </w:t>
      </w:r>
      <w:r w:rsidR="00756D01">
        <w:t xml:space="preserve">zemního </w:t>
      </w:r>
      <w:r w:rsidR="000C44EB">
        <w:t xml:space="preserve">plynu </w:t>
      </w:r>
      <w:r w:rsidR="00756D01">
        <w:t>v režimu</w:t>
      </w:r>
      <w:r w:rsidR="000C44EB">
        <w:t xml:space="preserve"> </w:t>
      </w:r>
      <w:r w:rsidR="000C44EB">
        <w:rPr>
          <w:b/>
          <w:bCs/>
        </w:rPr>
        <w:t>velkoodběr</w:t>
      </w:r>
      <w:r w:rsidR="00756D01">
        <w:rPr>
          <w:b/>
          <w:bCs/>
        </w:rPr>
        <w:t>atele</w:t>
      </w:r>
      <w:r>
        <w:rPr>
          <w:b/>
          <w:bCs/>
        </w:rPr>
        <w:t xml:space="preserve"> </w:t>
      </w:r>
      <w:r>
        <w:t xml:space="preserve">pro odběrná místa uvedená </w:t>
      </w:r>
      <w:r w:rsidR="000417FA">
        <w:t xml:space="preserve">níže v čl. 3.3 zadávací dokumentace a blíže vymezená v příloze č. </w:t>
      </w:r>
      <w:r w:rsidR="009B4929">
        <w:t>2 zadávací dokumentace</w:t>
      </w:r>
      <w:r w:rsidR="00756D01">
        <w:t>.</w:t>
      </w:r>
    </w:p>
    <w:p w14:paraId="0C02D1E4" w14:textId="7326801C" w:rsidR="000C44EB" w:rsidRDefault="00C354BF" w:rsidP="00952A29">
      <w:pPr>
        <w:pStyle w:val="Odstavecseseznamem"/>
        <w:contextualSpacing w:val="0"/>
        <w:rPr>
          <w:rFonts w:cs="Tahoma"/>
          <w:color w:val="000000"/>
        </w:rPr>
      </w:pPr>
      <w:r>
        <w:t>Zadavatel předpokládá celkovou spotřebu plynu za rok v </w:t>
      </w:r>
      <w:r w:rsidRPr="00F275B7">
        <w:t xml:space="preserve">objemu </w:t>
      </w:r>
      <w:r w:rsidRPr="00F275B7">
        <w:rPr>
          <w:rFonts w:cs="Tahoma"/>
          <w:color w:val="000000"/>
        </w:rPr>
        <w:t>445 MWh.</w:t>
      </w:r>
      <w:r>
        <w:rPr>
          <w:rFonts w:cs="Tahoma"/>
          <w:color w:val="000000"/>
        </w:rPr>
        <w:t xml:space="preserve"> Zadavatel doplňuje, že tento předpoklad a údaje o rozsahu odběru uvedené v příloze č. 2 zadávací dokumentace vychází z celkového odběru zemního plynu na příslušných odběrových místech za rok 2022.</w:t>
      </w:r>
    </w:p>
    <w:p w14:paraId="5930EFAD" w14:textId="77777777" w:rsidR="00C354BF" w:rsidRPr="00C354BF" w:rsidRDefault="00915BA6" w:rsidP="00890492">
      <w:pPr>
        <w:pStyle w:val="Odstavecseseznamem"/>
        <w:numPr>
          <w:ilvl w:val="0"/>
          <w:numId w:val="13"/>
        </w:numPr>
        <w:contextualSpacing w:val="0"/>
        <w:rPr>
          <w:b/>
          <w:bCs/>
        </w:rPr>
      </w:pPr>
      <w:bookmarkStart w:id="5" w:name="_Ref144907549"/>
      <w:r w:rsidRPr="00C354BF">
        <w:rPr>
          <w:b/>
          <w:bCs/>
        </w:rPr>
        <w:t xml:space="preserve">Část 2 </w:t>
      </w:r>
      <w:r w:rsidR="00C354BF" w:rsidRPr="00C354BF">
        <w:rPr>
          <w:b/>
          <w:bCs/>
        </w:rPr>
        <w:t>– maloodběr (MO)</w:t>
      </w:r>
    </w:p>
    <w:p w14:paraId="0629A3D3" w14:textId="6EB7B6E3" w:rsidR="00915BA6" w:rsidRDefault="00C354BF" w:rsidP="00C354BF">
      <w:pPr>
        <w:pStyle w:val="Odstavecseseznamem"/>
        <w:contextualSpacing w:val="0"/>
      </w:pPr>
      <w:r>
        <w:t xml:space="preserve">předmětem této části jsou </w:t>
      </w:r>
      <w:r w:rsidR="00915BA6">
        <w:t>dodávky</w:t>
      </w:r>
      <w:r w:rsidR="00756D01">
        <w:t xml:space="preserve"> zemního</w:t>
      </w:r>
      <w:r w:rsidR="00915BA6">
        <w:t xml:space="preserve"> plynu </w:t>
      </w:r>
      <w:r w:rsidR="00756D01">
        <w:t xml:space="preserve">v režimu </w:t>
      </w:r>
      <w:r w:rsidR="00756D01">
        <w:rPr>
          <w:b/>
          <w:bCs/>
        </w:rPr>
        <w:t>maloodběratele</w:t>
      </w:r>
      <w:r w:rsidR="00915BA6">
        <w:t xml:space="preserve"> </w:t>
      </w:r>
      <w:r>
        <w:t>pro odběrná místa uvedená níže v čl. 3.3 zadávací dokumentace a blíže vymezená v příloze č. 3 zadávací dokumentace.</w:t>
      </w:r>
    </w:p>
    <w:p w14:paraId="7248F640" w14:textId="1789AEE4" w:rsidR="00665940" w:rsidRDefault="00C354BF" w:rsidP="0029496E">
      <w:pPr>
        <w:pStyle w:val="Odstavecseseznamem"/>
        <w:contextualSpacing w:val="0"/>
      </w:pPr>
      <w:r>
        <w:t>Zadavatel předpokládá celkovou spotřebu plynu za rok v </w:t>
      </w:r>
      <w:r w:rsidRPr="00F275B7">
        <w:t xml:space="preserve">objemu </w:t>
      </w:r>
      <w:r w:rsidR="0029496E">
        <w:rPr>
          <w:rFonts w:cs="Tahoma"/>
          <w:color w:val="000000"/>
        </w:rPr>
        <w:t>1310</w:t>
      </w:r>
      <w:r w:rsidRPr="00F275B7">
        <w:rPr>
          <w:rFonts w:cs="Tahoma"/>
          <w:color w:val="000000"/>
        </w:rPr>
        <w:t xml:space="preserve"> MWh.</w:t>
      </w:r>
      <w:r>
        <w:rPr>
          <w:rFonts w:cs="Tahoma"/>
          <w:color w:val="000000"/>
        </w:rPr>
        <w:t xml:space="preserve"> Zadavatel doplňuje, že tento předpoklad a údaje o rozsahu odběru uvedené v příloze č. </w:t>
      </w:r>
      <w:r w:rsidR="0029496E">
        <w:rPr>
          <w:rFonts w:cs="Tahoma"/>
          <w:color w:val="000000"/>
        </w:rPr>
        <w:t>3</w:t>
      </w:r>
      <w:r>
        <w:rPr>
          <w:rFonts w:cs="Tahoma"/>
          <w:color w:val="000000"/>
        </w:rPr>
        <w:t xml:space="preserve"> zadávací dokumentace vychází z celkového odběru zemního plynu na příslušných odběrových místech za rok 2022.</w:t>
      </w:r>
      <w:r w:rsidR="0029496E">
        <w:rPr>
          <w:rFonts w:cs="Tahoma"/>
          <w:color w:val="000000"/>
        </w:rPr>
        <w:t xml:space="preserve"> </w:t>
      </w:r>
    </w:p>
    <w:p w14:paraId="3C6AA9D7" w14:textId="49104332" w:rsidR="00446DEF" w:rsidRPr="009C6FC7" w:rsidRDefault="00446DEF" w:rsidP="009C6FC7">
      <w:pPr>
        <w:rPr>
          <w:rFonts w:ascii="Calibri" w:hAnsi="Calibri" w:cs="Calibri"/>
          <w:color w:val="000000"/>
        </w:rPr>
      </w:pPr>
      <w:r w:rsidRPr="009C6FC7">
        <w:rPr>
          <w:rFonts w:ascii="Calibri" w:hAnsi="Calibri" w:cs="Calibri"/>
          <w:color w:val="000000"/>
        </w:rPr>
        <w:t xml:space="preserve">Dodavatel může podat nabídku do kterékoliv části </w:t>
      </w:r>
      <w:r w:rsidR="0029496E" w:rsidRPr="009C6FC7">
        <w:rPr>
          <w:rFonts w:ascii="Calibri" w:hAnsi="Calibri" w:cs="Calibri"/>
          <w:color w:val="000000"/>
        </w:rPr>
        <w:t>v</w:t>
      </w:r>
      <w:r w:rsidRPr="009C6FC7">
        <w:rPr>
          <w:rFonts w:ascii="Calibri" w:hAnsi="Calibri" w:cs="Calibri"/>
          <w:color w:val="000000"/>
        </w:rPr>
        <w:t>eřejné zakázky. Dodavatel může dle své volby podat nabídku do jedné</w:t>
      </w:r>
      <w:r w:rsidR="0029496E" w:rsidRPr="009C6FC7">
        <w:rPr>
          <w:rFonts w:ascii="Calibri" w:hAnsi="Calibri" w:cs="Calibri"/>
          <w:color w:val="000000"/>
        </w:rPr>
        <w:t xml:space="preserve"> nebo obou</w:t>
      </w:r>
      <w:r w:rsidRPr="009C6FC7">
        <w:rPr>
          <w:rFonts w:ascii="Calibri" w:hAnsi="Calibri" w:cs="Calibri"/>
          <w:color w:val="000000"/>
        </w:rPr>
        <w:t xml:space="preserve"> částí </w:t>
      </w:r>
      <w:r w:rsidR="0029496E" w:rsidRPr="009C6FC7">
        <w:rPr>
          <w:rFonts w:ascii="Calibri" w:hAnsi="Calibri" w:cs="Calibri"/>
          <w:color w:val="000000"/>
        </w:rPr>
        <w:t>v</w:t>
      </w:r>
      <w:r w:rsidRPr="009C6FC7">
        <w:rPr>
          <w:rFonts w:ascii="Calibri" w:hAnsi="Calibri" w:cs="Calibri"/>
          <w:color w:val="000000"/>
        </w:rPr>
        <w:t xml:space="preserve">eřejné zakázky. Plnění jednotlivých částí </w:t>
      </w:r>
      <w:r w:rsidR="009C6FC7" w:rsidRPr="009C6FC7">
        <w:rPr>
          <w:rFonts w:ascii="Calibri" w:hAnsi="Calibri" w:cs="Calibri"/>
          <w:color w:val="000000"/>
        </w:rPr>
        <w:t>v</w:t>
      </w:r>
      <w:r w:rsidRPr="009C6FC7">
        <w:rPr>
          <w:rFonts w:ascii="Calibri" w:hAnsi="Calibri" w:cs="Calibri"/>
          <w:color w:val="000000"/>
        </w:rPr>
        <w:t xml:space="preserve">eřejné zakázky na sebe nenavazují, každá část </w:t>
      </w:r>
      <w:r w:rsidR="009C6FC7" w:rsidRPr="009C6FC7">
        <w:rPr>
          <w:rFonts w:ascii="Calibri" w:hAnsi="Calibri" w:cs="Calibri"/>
          <w:color w:val="000000"/>
        </w:rPr>
        <w:t>v</w:t>
      </w:r>
      <w:r w:rsidRPr="009C6FC7">
        <w:rPr>
          <w:rFonts w:ascii="Calibri" w:hAnsi="Calibri" w:cs="Calibri"/>
          <w:color w:val="000000"/>
        </w:rPr>
        <w:t xml:space="preserve">eřejné zakázky může být plněna zcela samostatně, nezávisle na jiných částech </w:t>
      </w:r>
      <w:r w:rsidR="009C6FC7" w:rsidRPr="009C6FC7">
        <w:rPr>
          <w:rFonts w:ascii="Calibri" w:hAnsi="Calibri" w:cs="Calibri"/>
          <w:color w:val="000000"/>
        </w:rPr>
        <w:t>v</w:t>
      </w:r>
      <w:r w:rsidRPr="009C6FC7">
        <w:rPr>
          <w:rFonts w:ascii="Calibri" w:hAnsi="Calibri" w:cs="Calibri"/>
          <w:color w:val="000000"/>
        </w:rPr>
        <w:t xml:space="preserve">eřejné zakázky. Nabídky v rámci každé části budou posuzovány a hodnoceny samostatně. </w:t>
      </w:r>
      <w:r w:rsidR="009C6FC7" w:rsidRPr="009C6FC7">
        <w:rPr>
          <w:rFonts w:ascii="Calibri" w:hAnsi="Calibri" w:cs="Calibri"/>
          <w:color w:val="000000"/>
        </w:rPr>
        <w:t>Požadavky na obsah a způsob podání nabídky jsou ve vztahu ke každé části veřejné zakázky shodné, není-li v této zadávací dokumentaci výslovně stanoveno jinak.</w:t>
      </w:r>
    </w:p>
    <w:p w14:paraId="2673760C" w14:textId="3384AD24" w:rsidR="00BB561D" w:rsidRPr="00241A1A" w:rsidRDefault="00BB561D" w:rsidP="007217B0">
      <w:pPr>
        <w:pStyle w:val="Nadpis2"/>
      </w:pPr>
      <w:bookmarkStart w:id="6" w:name="_Ref144975286"/>
      <w:r w:rsidRPr="00241A1A">
        <w:t>Místo plnění Veřejné zakázky</w:t>
      </w:r>
      <w:bookmarkEnd w:id="5"/>
      <w:bookmarkEnd w:id="6"/>
    </w:p>
    <w:p w14:paraId="6BC9D202" w14:textId="77777777" w:rsidR="00D84AC2" w:rsidRDefault="00D84AC2" w:rsidP="00D84AC2">
      <w:pPr>
        <w:rPr>
          <w:rFonts w:cs="Tahoma"/>
          <w:color w:val="000000"/>
        </w:rPr>
      </w:pPr>
      <w:r>
        <w:rPr>
          <w:rFonts w:cs="Tahoma"/>
          <w:color w:val="000000"/>
        </w:rPr>
        <w:t>Místem plnění jsou odběrná místa Zadavatele:</w:t>
      </w:r>
    </w:p>
    <w:p w14:paraId="388A9A27" w14:textId="7CEFD3B6" w:rsidR="00D84AC2" w:rsidRDefault="00D84AC2" w:rsidP="00890492">
      <w:pPr>
        <w:pStyle w:val="Odstavecseseznamem"/>
        <w:numPr>
          <w:ilvl w:val="0"/>
          <w:numId w:val="16"/>
        </w:numPr>
        <w:rPr>
          <w:rFonts w:cs="Tahoma"/>
          <w:color w:val="000000"/>
        </w:rPr>
      </w:pPr>
      <w:r>
        <w:rPr>
          <w:rFonts w:cs="Tahoma"/>
          <w:color w:val="000000"/>
        </w:rPr>
        <w:t>pro část 1 (VO) dle přílohy č. 2 – seznam odběrných míst pro velkoodběr a</w:t>
      </w:r>
    </w:p>
    <w:p w14:paraId="384894B9" w14:textId="558CC8D2" w:rsidR="00D84AC2" w:rsidRDefault="00D84AC2" w:rsidP="00890492">
      <w:pPr>
        <w:pStyle w:val="Odstavecseseznamem"/>
        <w:numPr>
          <w:ilvl w:val="0"/>
          <w:numId w:val="16"/>
        </w:numPr>
        <w:rPr>
          <w:rFonts w:cs="Tahoma"/>
          <w:color w:val="000000"/>
        </w:rPr>
      </w:pPr>
      <w:r>
        <w:rPr>
          <w:rFonts w:cs="Tahoma"/>
          <w:color w:val="000000"/>
        </w:rPr>
        <w:t xml:space="preserve">pro část 2 (MO) dle přílohy č. 3 – seznam odběrných míst pro maloodběr. </w:t>
      </w:r>
    </w:p>
    <w:p w14:paraId="2B5C8002" w14:textId="2FDC85AF" w:rsidR="00190229" w:rsidRPr="0029623C" w:rsidRDefault="00190229" w:rsidP="003C4285">
      <w:pPr>
        <w:pStyle w:val="Nadpis2"/>
        <w:keepNext/>
        <w:ind w:left="936" w:hanging="431"/>
      </w:pPr>
      <w:r w:rsidRPr="0029623C">
        <w:t>Klasifikace Veřejné zakázky dle CPV kódů</w:t>
      </w:r>
    </w:p>
    <w:p w14:paraId="79F7C187" w14:textId="6D647461" w:rsidR="006C147A" w:rsidRPr="006C147A" w:rsidRDefault="0065417E" w:rsidP="00386EAD">
      <w:pPr>
        <w:rPr>
          <w:rFonts w:cs="Tahoma"/>
          <w:b/>
          <w:bCs/>
          <w:color w:val="000000"/>
          <w:highlight w:val="yellow"/>
        </w:rPr>
      </w:pPr>
      <w:r>
        <w:t>0</w:t>
      </w:r>
      <w:r w:rsidR="006C147A">
        <w:t>9123000-7 - Zemní plyn</w:t>
      </w:r>
    </w:p>
    <w:p w14:paraId="147829AE" w14:textId="453C5419" w:rsidR="007F10CE" w:rsidRDefault="007F10CE" w:rsidP="004C1591">
      <w:pPr>
        <w:pStyle w:val="Nadpis2"/>
        <w:keepNext/>
        <w:ind w:left="936" w:hanging="431"/>
      </w:pPr>
      <w:r>
        <w:t>Doba trvání Veřejné zakázky</w:t>
      </w:r>
    </w:p>
    <w:p w14:paraId="36730F49" w14:textId="31A9F8D4" w:rsidR="007F10CE" w:rsidRPr="007F10CE" w:rsidRDefault="00047CE5" w:rsidP="007F10CE">
      <w:r>
        <w:rPr>
          <w:rFonts w:cstheme="minorHAnsi"/>
          <w:bCs/>
        </w:rPr>
        <w:t>Smlouva s vybraným dodavatelem bude v každé části zakázky uzavřena na období od 1. 1. 2024 do 31. 12. 2024.</w:t>
      </w:r>
    </w:p>
    <w:p w14:paraId="042EF01F" w14:textId="7527D736" w:rsidR="00190229" w:rsidRPr="00062A7F" w:rsidRDefault="006E30CF" w:rsidP="004C1591">
      <w:pPr>
        <w:pStyle w:val="Nadpis2"/>
        <w:keepNext/>
        <w:ind w:left="936" w:hanging="431"/>
      </w:pPr>
      <w:r>
        <w:lastRenderedPageBreak/>
        <w:t xml:space="preserve">Předpokládaná hodnota </w:t>
      </w:r>
      <w:r w:rsidR="00A765A1">
        <w:t>V</w:t>
      </w:r>
      <w:r>
        <w:t xml:space="preserve">eřejné zakázky </w:t>
      </w:r>
    </w:p>
    <w:p w14:paraId="17BE94E1" w14:textId="20439248" w:rsidR="00233190" w:rsidRDefault="006251B0" w:rsidP="000C4AE5">
      <w:pPr>
        <w:spacing w:before="120"/>
        <w:rPr>
          <w:rFonts w:cs="Tahoma"/>
        </w:rPr>
      </w:pPr>
      <w:r>
        <w:rPr>
          <w:rFonts w:cs="Tahoma"/>
        </w:rPr>
        <w:t>Předpokládaná hodnota není Zadavatelem uveřejněna, nicméně svou hodnotou odpovídá podlimitní veřejné zakázce na dodávky.</w:t>
      </w:r>
    </w:p>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1217BF90" w:rsidR="00955B05" w:rsidRPr="00955B05" w:rsidRDefault="00955B05" w:rsidP="00955B05">
      <w:r>
        <w:t xml:space="preserve">Vzhledem k povaze plnění </w:t>
      </w:r>
      <w:r w:rsidR="00721952">
        <w:t>v</w:t>
      </w:r>
      <w:r w:rsidR="005313FD">
        <w:t xml:space="preserve">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7" w:name="_Toc462572455"/>
      <w:bookmarkStart w:id="8" w:name="_Hlk51232412"/>
      <w:r w:rsidRPr="00192202">
        <w:t>Obecná ustanovení k prokazování splnění kvalifikace</w:t>
      </w:r>
      <w:bookmarkEnd w:id="7"/>
    </w:p>
    <w:p w14:paraId="657EF5F8" w14:textId="517541EA"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71E62A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Pr="00192202">
        <w:rPr>
          <w:b/>
          <w:bCs/>
        </w:rPr>
        <w:t xml:space="preserve">. Vzor čestného prohlášení </w:t>
      </w:r>
      <w:r w:rsidRPr="00D55579">
        <w:rPr>
          <w:b/>
          <w:bCs/>
        </w:rPr>
        <w:t>tvoří přílohu č.</w:t>
      </w:r>
      <w:r w:rsidR="00D94E03">
        <w:rPr>
          <w:b/>
          <w:bCs/>
        </w:rPr>
        <w:t xml:space="preserve"> </w:t>
      </w:r>
      <w:r w:rsidR="00554270">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49E2CDCF" w:rsidR="00CB292B" w:rsidRPr="00192202" w:rsidRDefault="00266271" w:rsidP="000C4AE5">
      <w:r w:rsidRPr="00266271">
        <w:t>Zadavatel si může v průběhu zadávacího řízení vyžádat předložení originálů nebo úředně ověřených kopií dokladů o kvalifikaci. </w:t>
      </w:r>
    </w:p>
    <w:p w14:paraId="3C2F2574" w14:textId="77777777" w:rsidR="00CB292B" w:rsidRDefault="00CB292B">
      <w:pPr>
        <w:pStyle w:val="Nadpis2"/>
      </w:pPr>
      <w:r>
        <w:t>Prokazování kvalifikace prostřednictvím jiných osob</w:t>
      </w:r>
    </w:p>
    <w:p w14:paraId="77BCA688" w14:textId="0989EB51" w:rsidR="00CB292B" w:rsidRPr="00093B4C" w:rsidRDefault="00CB292B" w:rsidP="000C4AE5">
      <w:pPr>
        <w:spacing w:before="120"/>
      </w:pPr>
      <w:r w:rsidRPr="00093B4C">
        <w:t xml:space="preserve">Dodavatel může prokázat </w:t>
      </w:r>
      <w:r w:rsidR="00C60250">
        <w:t>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lastRenderedPageBreak/>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B519970"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DE46A3">
        <w:rPr>
          <w:rFonts w:asciiTheme="minorHAnsi" w:hAnsiTheme="minorHAnsi"/>
          <w:b/>
          <w:sz w:val="22"/>
        </w:rPr>
        <w:t xml:space="preserve"> -</w:t>
      </w:r>
      <w:r w:rsidR="00DE46A3" w:rsidRPr="00DE46A3">
        <w:rPr>
          <w:rFonts w:asciiTheme="minorHAnsi" w:hAnsiTheme="minorHAnsi"/>
          <w:b/>
          <w:sz w:val="22"/>
        </w:rPr>
        <w:t xml:space="preserve"> stejné pro část 1 i část 2 </w:t>
      </w:r>
      <w:r w:rsidR="00DE46A3">
        <w:rPr>
          <w:rFonts w:asciiTheme="minorHAnsi" w:hAnsiTheme="minorHAnsi"/>
          <w:b/>
          <w:sz w:val="22"/>
        </w:rPr>
        <w:t xml:space="preserve">veřejné </w:t>
      </w:r>
      <w:r w:rsidR="00DE46A3" w:rsidRPr="00DE46A3">
        <w:rPr>
          <w:rFonts w:asciiTheme="minorHAnsi" w:hAnsiTheme="minorHAnsi"/>
          <w:b/>
          <w:sz w:val="22"/>
        </w:rPr>
        <w:t>zakázky</w:t>
      </w:r>
      <w:r w:rsidRPr="005A3194">
        <w:rPr>
          <w:rFonts w:asciiTheme="minorHAnsi" w:hAnsiTheme="minorHAnsi"/>
          <w:b/>
          <w:sz w:val="22"/>
        </w:rPr>
        <w:t>:</w:t>
      </w:r>
    </w:p>
    <w:p w14:paraId="1AC66F21" w14:textId="77777777" w:rsidR="00A234F1" w:rsidRDefault="00BE4D3C" w:rsidP="00A234F1">
      <w:pPr>
        <w:pStyle w:val="text-nov"/>
        <w:spacing w:after="120"/>
        <w:rPr>
          <w:rFonts w:ascii="Calibri" w:hAnsi="Calibri" w:cs="Calibr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r w:rsidR="00A234F1">
        <w:rPr>
          <w:rFonts w:ascii="Calibri" w:hAnsi="Calibri" w:cs="Calibri"/>
          <w:sz w:val="22"/>
        </w:rPr>
        <w:t xml:space="preserve">Způsobilým je dodavatel, který: </w:t>
      </w:r>
    </w:p>
    <w:p w14:paraId="49A20E88" w14:textId="77777777" w:rsidR="00A234F1" w:rsidRDefault="00A234F1" w:rsidP="00890492">
      <w:pPr>
        <w:pStyle w:val="psemnodrky"/>
        <w:numPr>
          <w:ilvl w:val="0"/>
          <w:numId w:val="17"/>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91448D0" w14:textId="77777777" w:rsidR="00A234F1" w:rsidRDefault="00A234F1" w:rsidP="00890492">
      <w:pPr>
        <w:pStyle w:val="psemnodrky"/>
        <w:numPr>
          <w:ilvl w:val="0"/>
          <w:numId w:val="17"/>
        </w:numPr>
        <w:rPr>
          <w:rFonts w:ascii="Calibri" w:hAnsi="Calibri" w:cs="Calibri"/>
        </w:rPr>
      </w:pPr>
      <w:r>
        <w:rPr>
          <w:rFonts w:ascii="Calibri" w:hAnsi="Calibri" w:cs="Calibri"/>
        </w:rPr>
        <w:t>nemá v České republice nebo v zemi svého sídla v evidenci daní zachycen splatný daňový nedoplatek;</w:t>
      </w:r>
    </w:p>
    <w:p w14:paraId="4A3A4E25" w14:textId="77777777" w:rsidR="00A234F1" w:rsidRDefault="00A234F1" w:rsidP="00890492">
      <w:pPr>
        <w:pStyle w:val="psemnodrky"/>
        <w:numPr>
          <w:ilvl w:val="0"/>
          <w:numId w:val="17"/>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39D4C193" w14:textId="77777777" w:rsidR="00A234F1" w:rsidRDefault="00A234F1" w:rsidP="00890492">
      <w:pPr>
        <w:pStyle w:val="psemnodrky"/>
        <w:numPr>
          <w:ilvl w:val="0"/>
          <w:numId w:val="17"/>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3212FFF7" w14:textId="77777777" w:rsidR="00A234F1" w:rsidRDefault="00A234F1" w:rsidP="00890492">
      <w:pPr>
        <w:pStyle w:val="psemnodrky"/>
        <w:numPr>
          <w:ilvl w:val="0"/>
          <w:numId w:val="17"/>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DF27F39" w14:textId="77777777" w:rsidR="00A234F1" w:rsidRDefault="00A234F1" w:rsidP="00A234F1">
      <w:pPr>
        <w:pStyle w:val="psemnodrky"/>
        <w:numPr>
          <w:ilvl w:val="0"/>
          <w:numId w:val="0"/>
        </w:numPr>
        <w:rPr>
          <w:rFonts w:ascii="Calibri" w:hAnsi="Calibri" w:cs="Calibri"/>
        </w:rPr>
      </w:pPr>
      <w:r>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39FAF9FE" w14:textId="5DD2DDE4" w:rsidR="00BE4D3C" w:rsidRPr="00A234F1" w:rsidRDefault="00A234F1" w:rsidP="00A234F1">
      <w:pPr>
        <w:pStyle w:val="psemnodrky"/>
        <w:numPr>
          <w:ilvl w:val="0"/>
          <w:numId w:val="0"/>
        </w:numPr>
        <w:rPr>
          <w:rFonts w:ascii="Calibri" w:hAnsi="Calibri" w:cs="Calibri"/>
        </w:rPr>
      </w:pPr>
      <w:r>
        <w:rPr>
          <w:rFonts w:ascii="Calibri" w:hAnsi="Calibri" w:cs="Calibri"/>
        </w:rPr>
        <w:t>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03D6395" w14:textId="2C3C75CE" w:rsidR="00BE4D3C" w:rsidRPr="00DF1065"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DF1065" w:rsidRPr="00BB5CFA">
        <w:rPr>
          <w:rFonts w:asciiTheme="minorHAnsi" w:hAnsiTheme="minorHAnsi"/>
          <w:b/>
          <w:bCs/>
          <w:sz w:val="22"/>
        </w:rPr>
        <w:t>písemným</w:t>
      </w:r>
      <w:r w:rsidR="00BE4D3C" w:rsidRPr="00BB5CFA">
        <w:rPr>
          <w:rFonts w:asciiTheme="minorHAnsi" w:hAnsiTheme="minorHAnsi"/>
          <w:b/>
          <w:bCs/>
          <w:sz w:val="22"/>
        </w:rPr>
        <w:t xml:space="preserve"> </w:t>
      </w:r>
      <w:r w:rsidR="00B362E6" w:rsidRPr="00BB5CFA">
        <w:rPr>
          <w:rFonts w:asciiTheme="minorHAnsi" w:hAnsiTheme="minorHAnsi"/>
          <w:b/>
          <w:bCs/>
          <w:sz w:val="22"/>
        </w:rPr>
        <w:t xml:space="preserve">čestným prohlášením dle vzoru v příloze č. </w:t>
      </w:r>
      <w:r w:rsidR="00554270" w:rsidRPr="00BB5CFA">
        <w:rPr>
          <w:rFonts w:asciiTheme="minorHAnsi" w:hAnsiTheme="minorHAnsi"/>
          <w:b/>
          <w:bCs/>
          <w:sz w:val="22"/>
        </w:rPr>
        <w:t>4</w:t>
      </w:r>
      <w:r w:rsidR="00B362E6" w:rsidRPr="00BB5CFA">
        <w:rPr>
          <w:rFonts w:asciiTheme="minorHAnsi" w:hAnsiTheme="minorHAnsi"/>
          <w:b/>
          <w:bCs/>
          <w:sz w:val="22"/>
        </w:rPr>
        <w:t xml:space="preserve"> </w:t>
      </w:r>
      <w:r w:rsidR="00DF1065" w:rsidRPr="00BB5CFA">
        <w:rPr>
          <w:rFonts w:asciiTheme="minorHAnsi" w:hAnsiTheme="minorHAnsi"/>
          <w:b/>
          <w:bCs/>
          <w:sz w:val="22"/>
        </w:rPr>
        <w:t>z</w:t>
      </w:r>
      <w:r w:rsidR="00B362E6" w:rsidRPr="00BB5CFA">
        <w:rPr>
          <w:rFonts w:asciiTheme="minorHAnsi" w:hAnsiTheme="minorHAnsi"/>
          <w:b/>
          <w:bCs/>
          <w:sz w:val="22"/>
        </w:rPr>
        <w:t>adávací dokumentace</w:t>
      </w:r>
      <w:r w:rsidR="00BB5CFA">
        <w:rPr>
          <w:rFonts w:asciiTheme="minorHAnsi" w:hAnsiTheme="minorHAnsi"/>
          <w:b/>
          <w:bCs/>
          <w:sz w:val="22"/>
        </w:rPr>
        <w:t>.</w:t>
      </w:r>
      <w:r w:rsidR="00B362E6" w:rsidRPr="00DF1065">
        <w:rPr>
          <w:rFonts w:asciiTheme="minorHAnsi" w:hAnsiTheme="minorHAnsi"/>
          <w:sz w:val="22"/>
        </w:rPr>
        <w:t xml:space="preserve"> </w:t>
      </w:r>
    </w:p>
    <w:p w14:paraId="6E2214A2" w14:textId="4F6AC3C1" w:rsidR="00BE4D3C" w:rsidRPr="00A46D64" w:rsidRDefault="00BE4D3C" w:rsidP="00D169DA">
      <w:pPr>
        <w:pStyle w:val="Podnadpis"/>
      </w:pPr>
      <w:bookmarkStart w:id="10" w:name="_Toc462572461"/>
      <w:r w:rsidRPr="00A46D64">
        <w:lastRenderedPageBreak/>
        <w:t xml:space="preserve">Profesní </w:t>
      </w:r>
      <w:r w:rsidRPr="00890492">
        <w:t>způsobilost</w:t>
      </w:r>
      <w:bookmarkEnd w:id="10"/>
      <w:r w:rsidR="00890492" w:rsidRPr="00890492">
        <w:t xml:space="preserve"> - stejné pro část 1 i část 2</w:t>
      </w:r>
      <w:r w:rsidR="00890492">
        <w:t xml:space="preserve"> veřejné</w:t>
      </w:r>
      <w:r w:rsidR="00890492" w:rsidRPr="00890492">
        <w:t xml:space="preserve"> zakázky</w:t>
      </w:r>
      <w:r w:rsidR="00890492">
        <w:t>:</w:t>
      </w:r>
    </w:p>
    <w:p w14:paraId="2C7E6BF6" w14:textId="77777777" w:rsidR="00BE4D3C" w:rsidRPr="00A46D64" w:rsidRDefault="00BE4D3C" w:rsidP="00D169DA">
      <w:pPr>
        <w:pStyle w:val="text-nov"/>
        <w:keepNext/>
        <w:spacing w:after="120"/>
        <w:rPr>
          <w:rFonts w:asciiTheme="minorHAnsi" w:hAnsiTheme="minorHAnsi"/>
          <w:b/>
          <w:sz w:val="22"/>
        </w:rPr>
      </w:pPr>
      <w:r w:rsidRPr="00A46D64">
        <w:rPr>
          <w:rFonts w:asciiTheme="minorHAnsi" w:hAnsiTheme="minorHAnsi"/>
          <w:b/>
          <w:sz w:val="22"/>
        </w:rPr>
        <w:t>Požadavky:</w:t>
      </w:r>
    </w:p>
    <w:p w14:paraId="09007F6F" w14:textId="273675E5" w:rsidR="00BE4D3C" w:rsidRPr="00A46D64" w:rsidRDefault="00BE4D3C" w:rsidP="00D169DA">
      <w:pPr>
        <w:pStyle w:val="text-nov"/>
        <w:spacing w:after="120"/>
        <w:rPr>
          <w:rFonts w:asciiTheme="minorHAnsi" w:hAnsiTheme="minorHAnsi"/>
          <w:sz w:val="22"/>
        </w:rPr>
      </w:pPr>
      <w:r w:rsidRPr="00A46D64">
        <w:rPr>
          <w:rFonts w:asciiTheme="minorHAnsi" w:hAnsiTheme="minorHAnsi"/>
          <w:sz w:val="22"/>
        </w:rPr>
        <w:t>Zadavatel požaduje, aby dodavatelé splňovali profesní způsobilost dle § 77 odst. 1</w:t>
      </w:r>
      <w:r w:rsidR="0065247C" w:rsidRPr="00A46D64">
        <w:rPr>
          <w:rFonts w:asciiTheme="minorHAnsi" w:hAnsiTheme="minorHAnsi"/>
          <w:sz w:val="22"/>
        </w:rPr>
        <w:t xml:space="preserve"> ZZVZ</w:t>
      </w:r>
      <w:r w:rsidR="00D169DA" w:rsidRPr="00D169DA">
        <w:rPr>
          <w:rFonts w:asciiTheme="minorHAnsi" w:hAnsiTheme="minorHAnsi" w:cstheme="minorHAnsi"/>
          <w:sz w:val="22"/>
          <w:szCs w:val="22"/>
        </w:rPr>
        <w:t xml:space="preserve"> </w:t>
      </w:r>
      <w:r w:rsidR="00D169DA">
        <w:rPr>
          <w:rFonts w:asciiTheme="minorHAnsi" w:hAnsiTheme="minorHAnsi" w:cstheme="minorHAnsi"/>
          <w:sz w:val="22"/>
          <w:szCs w:val="22"/>
        </w:rPr>
        <w:t>a dle § 77 odst. 2 písm. a) ZZVZ</w:t>
      </w:r>
      <w:r w:rsidR="00D169DA" w:rsidRPr="00D86CAB">
        <w:rPr>
          <w:rFonts w:asciiTheme="minorHAnsi" w:hAnsiTheme="minorHAnsi" w:cstheme="minorHAnsi"/>
          <w:sz w:val="22"/>
          <w:szCs w:val="22"/>
        </w:rPr>
        <w:t>.</w:t>
      </w:r>
      <w:r w:rsidR="006B16B6" w:rsidRPr="00A46D64">
        <w:rPr>
          <w:rFonts w:asciiTheme="minorHAnsi" w:hAnsiTheme="minorHAnsi"/>
          <w:sz w:val="22"/>
        </w:rPr>
        <w:t xml:space="preserve"> </w:t>
      </w:r>
      <w:r w:rsidRPr="00A46D64">
        <w:rPr>
          <w:rFonts w:asciiTheme="minorHAnsi" w:hAnsiTheme="minorHAnsi"/>
          <w:sz w:val="22"/>
        </w:rPr>
        <w:t xml:space="preserve"> </w:t>
      </w:r>
    </w:p>
    <w:p w14:paraId="7D1CDEB9" w14:textId="77777777" w:rsidR="00BE4D3C" w:rsidRPr="00A46D64" w:rsidRDefault="00BE4D3C" w:rsidP="00953179">
      <w:pPr>
        <w:pStyle w:val="text-nov"/>
        <w:keepNext/>
        <w:spacing w:after="120"/>
        <w:rPr>
          <w:rFonts w:asciiTheme="minorHAnsi" w:hAnsiTheme="minorHAnsi"/>
          <w:b/>
          <w:sz w:val="22"/>
        </w:rPr>
      </w:pPr>
      <w:r w:rsidRPr="00A46D64">
        <w:rPr>
          <w:rFonts w:asciiTheme="minorHAnsi" w:hAnsiTheme="minorHAnsi"/>
          <w:b/>
          <w:sz w:val="22"/>
        </w:rPr>
        <w:t>Způsob prokázání:</w:t>
      </w:r>
    </w:p>
    <w:p w14:paraId="279D34DD" w14:textId="77777777" w:rsidR="009660C0" w:rsidRPr="009660C0" w:rsidRDefault="009660C0" w:rsidP="009660C0">
      <w:pPr>
        <w:pStyle w:val="Odstavecseseznamem"/>
        <w:numPr>
          <w:ilvl w:val="0"/>
          <w:numId w:val="18"/>
        </w:numPr>
        <w:ind w:left="425" w:hanging="425"/>
        <w:contextualSpacing w:val="0"/>
        <w:rPr>
          <w:rFonts w:cstheme="minorHAnsi"/>
        </w:rPr>
      </w:pPr>
      <w:r w:rsidRPr="009660C0">
        <w:rPr>
          <w:rFonts w:cstheme="minorHAnsi"/>
        </w:rPr>
        <w:t xml:space="preserve">Dodavatel prokazuje splnění profesní způsobilosti dle § 77 odst. 1 ZZVZ předložením výpisu z obchodního rejstříku, pokud je v něm dodavatel zapsán, či výpisem z jiné obdobné evidence, pokud je v ní dodavatel zapsán. </w:t>
      </w:r>
    </w:p>
    <w:p w14:paraId="046166E1" w14:textId="7CE7FE25" w:rsidR="0065417E" w:rsidRPr="00A46D64" w:rsidRDefault="009660C0" w:rsidP="009660C0">
      <w:pPr>
        <w:pStyle w:val="Odstavecseseznamem"/>
        <w:numPr>
          <w:ilvl w:val="0"/>
          <w:numId w:val="18"/>
        </w:numPr>
        <w:ind w:left="426" w:hanging="426"/>
      </w:pPr>
      <w:r>
        <w:rPr>
          <w:rFonts w:cstheme="minorHAnsi"/>
        </w:rPr>
        <w:t xml:space="preserve">Dodavatel prokazuje splnění profesní způsobilosti dle § 77 odst. 2 písm. a) ZZVZ předložením příslušného dokladu o oprávnění k podnikání, a to platnou licencí na obchod se zemním plynem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w:t>
      </w:r>
      <w:r>
        <w:rPr>
          <w:rFonts w:cstheme="minorHAnsi"/>
        </w:rPr>
        <w:t> </w:t>
      </w:r>
      <w:r w:rsidRPr="001316E3">
        <w:rPr>
          <w:rFonts w:cstheme="minorHAnsi"/>
        </w:rPr>
        <w:t>energetických odvětvích, ve znění pozdějších předpisů</w:t>
      </w:r>
      <w:r>
        <w:rPr>
          <w:rFonts w:cstheme="minorHAnsi"/>
        </w:rPr>
        <w:t>.</w:t>
      </w:r>
    </w:p>
    <w:bookmarkEnd w:id="8"/>
    <w:p w14:paraId="2751C221" w14:textId="77777777" w:rsidR="0007122F" w:rsidRPr="00A26900" w:rsidRDefault="0007122F" w:rsidP="008A3A0A">
      <w:pPr>
        <w:pStyle w:val="Nadpis1"/>
      </w:pPr>
      <w:r w:rsidRPr="00A26900">
        <w:t>PLATEBNÍ A OBCHODNÍ PODMÍNKY</w:t>
      </w:r>
    </w:p>
    <w:p w14:paraId="1CDCF390" w14:textId="11D6C548" w:rsidR="001112FA" w:rsidRDefault="001112FA" w:rsidP="001112FA">
      <w:pPr>
        <w:spacing w:before="120"/>
        <w:rPr>
          <w:rFonts w:cs="Calibri"/>
        </w:rPr>
      </w:pPr>
      <w:r>
        <w:rPr>
          <w:rFonts w:cs="Calibri"/>
        </w:rPr>
        <w:t xml:space="preserve">Dodavatel je povinen předložit jako součástí nabídky závazný návrh </w:t>
      </w:r>
      <w:r>
        <w:rPr>
          <w:rFonts w:cs="Calibri"/>
          <w:b/>
          <w:bCs/>
        </w:rPr>
        <w:t xml:space="preserve">smlouvy o </w:t>
      </w:r>
      <w:r w:rsidR="001613EA">
        <w:rPr>
          <w:rFonts w:cs="Calibri"/>
          <w:b/>
          <w:bCs/>
        </w:rPr>
        <w:t xml:space="preserve">sdružených </w:t>
      </w:r>
      <w:r>
        <w:rPr>
          <w:rFonts w:cs="Calibri"/>
          <w:b/>
          <w:bCs/>
        </w:rPr>
        <w:t>službách dodáv</w:t>
      </w:r>
      <w:r w:rsidR="001613EA">
        <w:rPr>
          <w:rFonts w:cs="Calibri"/>
          <w:b/>
          <w:bCs/>
        </w:rPr>
        <w:t>e</w:t>
      </w:r>
      <w:r>
        <w:rPr>
          <w:rFonts w:cs="Calibri"/>
          <w:b/>
          <w:bCs/>
        </w:rPr>
        <w:t xml:space="preserve">k </w:t>
      </w:r>
      <w:r w:rsidR="001613EA">
        <w:rPr>
          <w:rFonts w:cs="Calibri"/>
          <w:b/>
          <w:bCs/>
        </w:rPr>
        <w:t>zemního plynu</w:t>
      </w:r>
      <w:r>
        <w:rPr>
          <w:rFonts w:cs="Calibri"/>
          <w:b/>
          <w:bCs/>
        </w:rPr>
        <w:t xml:space="preserve"> </w:t>
      </w:r>
      <w:r>
        <w:rPr>
          <w:rFonts w:cs="Calibri"/>
        </w:rPr>
        <w:t>(dále jen „</w:t>
      </w:r>
      <w:r>
        <w:rPr>
          <w:rFonts w:cs="Calibri"/>
          <w:b/>
          <w:bCs/>
        </w:rPr>
        <w:t>Návrh smlouvy</w:t>
      </w:r>
      <w:r>
        <w:rPr>
          <w:rFonts w:cs="Calibri"/>
        </w:rPr>
        <w:t xml:space="preserve">“) </w:t>
      </w:r>
      <w:r>
        <w:rPr>
          <w:rFonts w:cs="Calibri"/>
          <w:b/>
          <w:bCs/>
        </w:rPr>
        <w:t xml:space="preserve">sjednané na dobu od 1. 1. 2024 do 31. 12. 2024 </w:t>
      </w:r>
      <w:r>
        <w:rPr>
          <w:rFonts w:cs="Calibri"/>
        </w:rPr>
        <w:t xml:space="preserve">v otevřeném (editovatelném) formátu *.docx. Automatické prodloužení smlouvy se vylučuje. </w:t>
      </w:r>
    </w:p>
    <w:p w14:paraId="63788CB0" w14:textId="77777777" w:rsidR="001112FA" w:rsidRDefault="001112FA" w:rsidP="001112FA">
      <w:pPr>
        <w:spacing w:before="120"/>
        <w:rPr>
          <w:rFonts w:cs="Calibri"/>
        </w:rPr>
      </w:pPr>
      <w:r>
        <w:rPr>
          <w:rFonts w:cs="Calibri"/>
          <w:b/>
          <w:bCs/>
        </w:rPr>
        <w:t>Dodavatel předloží Návrh smlouvy pro každou část zakázky, do které podává svou nabídku</w:t>
      </w:r>
      <w:r>
        <w:rPr>
          <w:rFonts w:cs="Calibri"/>
        </w:rPr>
        <w:t>.</w:t>
      </w:r>
    </w:p>
    <w:p w14:paraId="22BA30AE" w14:textId="322B57F1" w:rsidR="001112FA" w:rsidRDefault="001112FA" w:rsidP="001112FA">
      <w:pPr>
        <w:spacing w:before="120"/>
        <w:rPr>
          <w:rFonts w:cs="Calibri"/>
        </w:rPr>
      </w:pPr>
      <w:r>
        <w:rPr>
          <w:rFonts w:cs="Calibri"/>
        </w:rPr>
        <w:t xml:space="preserve">Návrh smlouvy musí být zpracován v souladu se </w:t>
      </w:r>
      <w:r w:rsidR="001613EA">
        <w:rPr>
          <w:rFonts w:cs="Calibri"/>
        </w:rPr>
        <w:t>zadávací dokumentací</w:t>
      </w:r>
      <w:r>
        <w:rPr>
          <w:rFonts w:cs="Calibri"/>
        </w:rPr>
        <w:t xml:space="preserve"> a jejími přílohami, tzn. dodavatel je povinen v Návrhu smlouvy zcela respektovat požadavky Zadavatele uvedené v této </w:t>
      </w:r>
      <w:r w:rsidR="001613EA">
        <w:rPr>
          <w:rFonts w:cs="Calibri"/>
        </w:rPr>
        <w:t>zadávací dokumentaci</w:t>
      </w:r>
      <w:r>
        <w:rPr>
          <w:rFonts w:cs="Calibri"/>
        </w:rPr>
        <w:t xml:space="preserve"> a jejích přílohách. </w:t>
      </w:r>
    </w:p>
    <w:p w14:paraId="5BEA3689" w14:textId="77777777" w:rsidR="001112FA" w:rsidRDefault="001112FA" w:rsidP="001112FA">
      <w:pPr>
        <w:spacing w:before="120"/>
        <w:rPr>
          <w:rFonts w:cs="Calibri"/>
        </w:rPr>
      </w:pPr>
      <w:r>
        <w:rPr>
          <w:rFonts w:cs="Calibri"/>
        </w:rPr>
        <w:t>Dodavatel je povinen do Návrhu smlouvy dále zapracovat následující požadavky Zadavatele:</w:t>
      </w:r>
    </w:p>
    <w:p w14:paraId="1896BD1B" w14:textId="77777777" w:rsidR="005C1E2D" w:rsidRDefault="005C1E2D" w:rsidP="00890492">
      <w:pPr>
        <w:pStyle w:val="Odstavecseseznamem"/>
        <w:numPr>
          <w:ilvl w:val="0"/>
          <w:numId w:val="14"/>
        </w:numPr>
        <w:spacing w:before="12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32E3D380" w14:textId="340AE5C5" w:rsidR="005C1E2D" w:rsidRDefault="005C1E2D" w:rsidP="00890492">
      <w:pPr>
        <w:pStyle w:val="Odstavecseseznamem"/>
        <w:numPr>
          <w:ilvl w:val="0"/>
          <w:numId w:val="14"/>
        </w:numPr>
        <w:spacing w:before="120"/>
        <w:rPr>
          <w:rFonts w:cs="Calibri"/>
        </w:rPr>
      </w:pPr>
      <w:r w:rsidRPr="00040938">
        <w:rPr>
          <w:rFonts w:cs="Calibri"/>
        </w:rPr>
        <w:t>s</w:t>
      </w:r>
      <w:r w:rsidRPr="009B5434">
        <w:rPr>
          <w:rFonts w:cs="Calibri"/>
        </w:rPr>
        <w:t xml:space="preserve">platnost faktur </w:t>
      </w:r>
      <w:r w:rsidR="00E32B53">
        <w:rPr>
          <w:rFonts w:cs="Calibri"/>
        </w:rPr>
        <w:t xml:space="preserve">ideálně </w:t>
      </w:r>
      <w:r w:rsidR="00E32B53" w:rsidRPr="00270811">
        <w:rPr>
          <w:rFonts w:cs="Calibri"/>
        </w:rPr>
        <w:t>30</w:t>
      </w:r>
      <w:r w:rsidRPr="00270811">
        <w:rPr>
          <w:rFonts w:cs="Calibri"/>
        </w:rPr>
        <w:t xml:space="preserve"> dní</w:t>
      </w:r>
      <w:r w:rsidR="00E32B53" w:rsidRPr="00270811">
        <w:rPr>
          <w:rFonts w:cs="Calibri"/>
        </w:rPr>
        <w:t xml:space="preserve">. </w:t>
      </w:r>
      <w:r w:rsidR="005971B6">
        <w:rPr>
          <w:rFonts w:cs="Calibri"/>
        </w:rPr>
        <w:t>Zadavatel nebude považ</w:t>
      </w:r>
      <w:r w:rsidR="00270811">
        <w:rPr>
          <w:rFonts w:cs="Calibri"/>
        </w:rPr>
        <w:t>o</w:t>
      </w:r>
      <w:r w:rsidR="005971B6">
        <w:rPr>
          <w:rFonts w:cs="Calibri"/>
        </w:rPr>
        <w:t>vat za porušení zadávacích podmínek</w:t>
      </w:r>
      <w:r w:rsidR="00270811">
        <w:rPr>
          <w:rFonts w:cs="Calibri"/>
        </w:rPr>
        <w:t>, pokud bude dodavatelem stanovena lhůta splatnosti činit minimálně 14 dnů</w:t>
      </w:r>
      <w:r w:rsidRPr="00040938">
        <w:rPr>
          <w:rFonts w:cs="Calibri"/>
        </w:rPr>
        <w:t>;</w:t>
      </w:r>
      <w:r w:rsidRPr="009B5434">
        <w:rPr>
          <w:rFonts w:cs="Calibri"/>
        </w:rPr>
        <w:t xml:space="preserve"> </w:t>
      </w:r>
    </w:p>
    <w:p w14:paraId="0D6772BB" w14:textId="77B7A528" w:rsidR="005F3A98" w:rsidRDefault="005F3A98" w:rsidP="00890492">
      <w:pPr>
        <w:pStyle w:val="Odstavecseseznamem"/>
        <w:numPr>
          <w:ilvl w:val="0"/>
          <w:numId w:val="14"/>
        </w:numPr>
        <w:spacing w:before="120"/>
        <w:rPr>
          <w:rFonts w:cs="Calibri"/>
        </w:rPr>
      </w:pPr>
      <w:r>
        <w:rPr>
          <w:rFonts w:cs="Calibri"/>
        </w:rPr>
        <w:t xml:space="preserve">faktury budou zasílány elektronicky ve formátu </w:t>
      </w:r>
      <w:r w:rsidR="009A66BB">
        <w:rPr>
          <w:rFonts w:cs="Calibri"/>
        </w:rPr>
        <w:t xml:space="preserve">.pdf na e-mail Zadavatele: </w:t>
      </w:r>
      <w:hyperlink r:id="rId11" w:history="1">
        <w:r w:rsidR="009A66BB" w:rsidRPr="00B85CF0">
          <w:rPr>
            <w:rStyle w:val="Hypertextovodkaz"/>
            <w:rFonts w:cs="Calibri"/>
          </w:rPr>
          <w:t>fakturace@silnicelk.cz</w:t>
        </w:r>
      </w:hyperlink>
      <w:r w:rsidR="009A66BB">
        <w:rPr>
          <w:rFonts w:cs="Calibri"/>
        </w:rPr>
        <w:t xml:space="preserve">; </w:t>
      </w:r>
    </w:p>
    <w:p w14:paraId="65F89E36" w14:textId="16A2CCC0" w:rsidR="0063210C" w:rsidRPr="009B5434" w:rsidRDefault="0063210C" w:rsidP="00890492">
      <w:pPr>
        <w:pStyle w:val="Odstavecseseznamem"/>
        <w:numPr>
          <w:ilvl w:val="0"/>
          <w:numId w:val="14"/>
        </w:numPr>
        <w:spacing w:before="120"/>
        <w:rPr>
          <w:rFonts w:cs="Calibri"/>
        </w:rPr>
      </w:pPr>
      <w:r>
        <w:rPr>
          <w:rFonts w:cs="Calibri"/>
        </w:rPr>
        <w:t xml:space="preserve">cena bude stanovena jako </w:t>
      </w:r>
      <w:r w:rsidR="008640CC">
        <w:rPr>
          <w:rFonts w:cs="Calibri"/>
        </w:rPr>
        <w:t xml:space="preserve">fixní </w:t>
      </w:r>
      <w:r>
        <w:rPr>
          <w:rFonts w:cs="Calibri"/>
        </w:rPr>
        <w:t xml:space="preserve">cena za </w:t>
      </w:r>
      <w:r w:rsidR="00075FDB">
        <w:rPr>
          <w:rFonts w:cs="Calibri"/>
        </w:rPr>
        <w:t xml:space="preserve">dodávku </w:t>
      </w:r>
      <w:r>
        <w:rPr>
          <w:rFonts w:cs="Calibri"/>
        </w:rPr>
        <w:t xml:space="preserve">1 </w:t>
      </w:r>
      <w:r w:rsidR="00075FDB">
        <w:rPr>
          <w:rFonts w:cs="Calibri"/>
        </w:rPr>
        <w:t xml:space="preserve">MWh </w:t>
      </w:r>
      <w:r w:rsidR="008640CC">
        <w:rPr>
          <w:rFonts w:cs="Calibri"/>
        </w:rPr>
        <w:t xml:space="preserve">zemního plynu </w:t>
      </w:r>
      <w:r w:rsidR="00075FDB">
        <w:rPr>
          <w:rFonts w:cs="Calibri"/>
        </w:rPr>
        <w:t>do odběrného místa, přičemž bude účtována na zá</w:t>
      </w:r>
      <w:r w:rsidR="008640CC">
        <w:rPr>
          <w:rFonts w:cs="Calibri"/>
        </w:rPr>
        <w:t xml:space="preserve">kladě </w:t>
      </w:r>
      <w:r w:rsidR="00B24653">
        <w:rPr>
          <w:rFonts w:cs="Calibri"/>
        </w:rPr>
        <w:t xml:space="preserve">měsíčních </w:t>
      </w:r>
      <w:r w:rsidR="008640CC">
        <w:rPr>
          <w:rFonts w:cs="Calibri"/>
        </w:rPr>
        <w:t>zálohových plateb;</w:t>
      </w:r>
    </w:p>
    <w:p w14:paraId="3F6BB9E6" w14:textId="405B936C" w:rsidR="005C1E2D" w:rsidRPr="005C1E2D" w:rsidRDefault="00B24653" w:rsidP="00890492">
      <w:pPr>
        <w:pStyle w:val="Odstavecseseznamem"/>
        <w:numPr>
          <w:ilvl w:val="0"/>
          <w:numId w:val="14"/>
        </w:numPr>
        <w:spacing w:before="120"/>
        <w:rPr>
          <w:rFonts w:cs="Calibri"/>
        </w:rPr>
      </w:pPr>
      <w:r>
        <w:rPr>
          <w:rFonts w:cs="Calibri"/>
        </w:rPr>
        <w:t xml:space="preserve">měsíční </w:t>
      </w:r>
      <w:r w:rsidR="005C1E2D" w:rsidRPr="00040938">
        <w:rPr>
          <w:rFonts w:cs="Calibri"/>
        </w:rPr>
        <w:t>z</w:t>
      </w:r>
      <w:r w:rsidR="005C1E2D" w:rsidRPr="009B5434">
        <w:rPr>
          <w:rFonts w:cs="Calibri"/>
        </w:rPr>
        <w:t>álohy v průběhu zúčtovacího období</w:t>
      </w:r>
      <w:r>
        <w:rPr>
          <w:rFonts w:cs="Calibri"/>
        </w:rPr>
        <w:t xml:space="preserve"> budou s</w:t>
      </w:r>
      <w:r w:rsidR="005C1E2D" w:rsidRPr="00040938">
        <w:rPr>
          <w:rFonts w:cs="Calibri"/>
        </w:rPr>
        <w:t>platné</w:t>
      </w:r>
      <w:r w:rsidR="005C1E2D" w:rsidRPr="009B5434">
        <w:rPr>
          <w:rFonts w:cs="Calibri"/>
        </w:rPr>
        <w:t xml:space="preserve"> </w:t>
      </w:r>
      <w:r w:rsidR="005C1E2D" w:rsidRPr="009A66BB">
        <w:rPr>
          <w:rFonts w:cs="Calibri"/>
        </w:rPr>
        <w:t xml:space="preserve">k </w:t>
      </w:r>
      <w:r w:rsidR="005C1E2D" w:rsidRPr="007F78AF">
        <w:rPr>
          <w:rFonts w:cs="Calibri"/>
        </w:rPr>
        <w:t>15. dni</w:t>
      </w:r>
      <w:r w:rsidR="005C1E2D" w:rsidRPr="009A66BB">
        <w:rPr>
          <w:rFonts w:cs="Calibri"/>
        </w:rPr>
        <w:t xml:space="preserve"> příslušného</w:t>
      </w:r>
      <w:r w:rsidR="005C1E2D" w:rsidRPr="009B5434">
        <w:rPr>
          <w:rFonts w:cs="Calibri"/>
        </w:rPr>
        <w:t xml:space="preserve"> kalendářního měsíce</w:t>
      </w:r>
      <w:r w:rsidR="005C1E2D" w:rsidRPr="00040938">
        <w:rPr>
          <w:rFonts w:cs="Calibri"/>
        </w:rPr>
        <w:t>;</w:t>
      </w:r>
    </w:p>
    <w:p w14:paraId="22107E56" w14:textId="56152424" w:rsidR="002E4022" w:rsidRDefault="002E4022"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nedočerpání nebo překročení plánovaného ročního odběru plynu nebude sankcionováno či jinak pro Zadavatele negativně zohledňováno;</w:t>
      </w:r>
    </w:p>
    <w:p w14:paraId="22C78C2A" w14:textId="7E89DAE2" w:rsidR="005C1E2D" w:rsidRDefault="005C1E2D"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v</w:t>
      </w:r>
      <w:r w:rsidRPr="00503AFC">
        <w:rPr>
          <w:rFonts w:cstheme="minorHAnsi"/>
          <w:color w:val="000000"/>
        </w:rPr>
        <w:t>ýsledná prodejní cena se upraví dle nařízení vlády č. 298/2022 Sb.</w:t>
      </w:r>
      <w:r w:rsidR="00B977DF">
        <w:rPr>
          <w:rFonts w:cstheme="minorHAnsi"/>
          <w:color w:val="000000"/>
        </w:rPr>
        <w:t xml:space="preserve">, pakliže se na </w:t>
      </w:r>
      <w:r w:rsidR="00752A91">
        <w:rPr>
          <w:rFonts w:cstheme="minorHAnsi"/>
          <w:color w:val="000000"/>
        </w:rPr>
        <w:t>danou situaci budou pravidla stanovená v této vyhlášce vztahovat</w:t>
      </w:r>
      <w:r>
        <w:rPr>
          <w:rFonts w:cstheme="minorHAnsi"/>
          <w:color w:val="000000"/>
        </w:rPr>
        <w:t>;</w:t>
      </w:r>
    </w:p>
    <w:p w14:paraId="691FD50A" w14:textId="319D9BA4" w:rsidR="005C1E2D" w:rsidRPr="005C1E2D" w:rsidRDefault="005C1E2D"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dodavatel není oprávněn po odběrateli požadovat složení jistoty.</w:t>
      </w:r>
    </w:p>
    <w:p w14:paraId="44809DFF" w14:textId="77777777" w:rsidR="006C2036" w:rsidRPr="006C2036" w:rsidRDefault="006C2036" w:rsidP="00901A8A">
      <w:pPr>
        <w:pStyle w:val="Nadpis1"/>
      </w:pPr>
      <w:r w:rsidRPr="006C2036">
        <w:lastRenderedPageBreak/>
        <w:t>ZPŮSOB ZPRACOVÁNÍ NABÍDKOVÉ CENY</w:t>
      </w:r>
    </w:p>
    <w:p w14:paraId="5C48B5A6" w14:textId="4705F94A" w:rsidR="00901A8A" w:rsidRPr="00901A8A" w:rsidRDefault="00901A8A" w:rsidP="00901A8A">
      <w:pPr>
        <w:pStyle w:val="Default"/>
        <w:keepNext/>
        <w:spacing w:after="120" w:line="23" w:lineRule="atLeast"/>
        <w:jc w:val="both"/>
        <w:rPr>
          <w:rFonts w:asciiTheme="minorHAnsi" w:hAnsiTheme="minorHAnsi" w:cstheme="minorHAnsi"/>
          <w:b/>
          <w:bCs/>
          <w:sz w:val="22"/>
          <w:szCs w:val="22"/>
        </w:rPr>
      </w:pPr>
      <w:r>
        <w:rPr>
          <w:rFonts w:asciiTheme="minorHAnsi" w:hAnsiTheme="minorHAnsi" w:cstheme="minorHAnsi"/>
          <w:b/>
          <w:bCs/>
          <w:sz w:val="22"/>
          <w:szCs w:val="22"/>
        </w:rPr>
        <w:t>Část 1 - velkoodběr</w:t>
      </w:r>
    </w:p>
    <w:p w14:paraId="29ECB755" w14:textId="742AFB73" w:rsidR="003810E1" w:rsidRDefault="005C1E2D" w:rsidP="009D441E">
      <w:pPr>
        <w:pStyle w:val="Default"/>
        <w:spacing w:after="120" w:line="23" w:lineRule="atLeast"/>
        <w:jc w:val="both"/>
        <w:rPr>
          <w:rFonts w:asciiTheme="minorHAnsi" w:hAnsiTheme="minorHAnsi" w:cstheme="minorHAnsi"/>
          <w:sz w:val="22"/>
          <w:szCs w:val="22"/>
        </w:rPr>
      </w:pPr>
      <w:r w:rsidRPr="00554270">
        <w:rPr>
          <w:rFonts w:asciiTheme="minorHAnsi" w:hAnsiTheme="minorHAnsi" w:cstheme="minorHAnsi"/>
          <w:sz w:val="22"/>
          <w:szCs w:val="22"/>
        </w:rPr>
        <w:t>Nabídková cena bude uvedena v krycím listu nabídky, který tvoří přílohu č. 1</w:t>
      </w:r>
      <w:r w:rsidR="00EF3FA3">
        <w:rPr>
          <w:rFonts w:asciiTheme="minorHAnsi" w:hAnsiTheme="minorHAnsi" w:cstheme="minorHAnsi"/>
          <w:sz w:val="22"/>
          <w:szCs w:val="22"/>
        </w:rPr>
        <w:t>a</w:t>
      </w:r>
      <w:r w:rsidRPr="00554270">
        <w:rPr>
          <w:rFonts w:asciiTheme="minorHAnsi" w:hAnsiTheme="minorHAnsi" w:cstheme="minorHAnsi"/>
          <w:sz w:val="22"/>
          <w:szCs w:val="22"/>
        </w:rPr>
        <w:t xml:space="preserve"> </w:t>
      </w:r>
      <w:r w:rsidR="00EF3FA3">
        <w:rPr>
          <w:rFonts w:asciiTheme="minorHAnsi" w:hAnsiTheme="minorHAnsi" w:cstheme="minorHAnsi"/>
          <w:sz w:val="22"/>
          <w:szCs w:val="22"/>
        </w:rPr>
        <w:t>z</w:t>
      </w:r>
      <w:r w:rsidRPr="00554270">
        <w:rPr>
          <w:rFonts w:asciiTheme="minorHAnsi" w:hAnsiTheme="minorHAnsi" w:cstheme="minorHAnsi"/>
          <w:sz w:val="22"/>
          <w:szCs w:val="22"/>
        </w:rPr>
        <w:t>adávací dokumentace</w:t>
      </w:r>
      <w:r w:rsidR="00951705">
        <w:rPr>
          <w:rFonts w:asciiTheme="minorHAnsi" w:hAnsiTheme="minorHAnsi" w:cstheme="minorHAnsi"/>
          <w:sz w:val="22"/>
          <w:szCs w:val="22"/>
        </w:rPr>
        <w:t xml:space="preserve">, a bude </w:t>
      </w:r>
      <w:r w:rsidR="00FB6864">
        <w:rPr>
          <w:rFonts w:asciiTheme="minorHAnsi" w:hAnsiTheme="minorHAnsi" w:cstheme="minorHAnsi"/>
          <w:sz w:val="22"/>
          <w:szCs w:val="22"/>
        </w:rPr>
        <w:t xml:space="preserve">zpracována </w:t>
      </w:r>
      <w:r w:rsidR="0041696D">
        <w:rPr>
          <w:rFonts w:asciiTheme="minorHAnsi" w:hAnsiTheme="minorHAnsi" w:cstheme="minorHAnsi"/>
          <w:sz w:val="22"/>
          <w:szCs w:val="22"/>
        </w:rPr>
        <w:t xml:space="preserve">jako </w:t>
      </w:r>
      <w:r w:rsidR="0041696D" w:rsidRPr="00664216">
        <w:rPr>
          <w:rFonts w:asciiTheme="minorHAnsi" w:hAnsiTheme="minorHAnsi" w:cstheme="minorHAnsi"/>
          <w:b/>
          <w:bCs/>
          <w:sz w:val="22"/>
          <w:szCs w:val="22"/>
        </w:rPr>
        <w:t>jednotková cena za dodávku 1 MWh</w:t>
      </w:r>
      <w:r w:rsidR="0041696D">
        <w:rPr>
          <w:rFonts w:asciiTheme="minorHAnsi" w:hAnsiTheme="minorHAnsi" w:cstheme="minorHAnsi"/>
          <w:sz w:val="22"/>
          <w:szCs w:val="22"/>
        </w:rPr>
        <w:t xml:space="preserve"> </w:t>
      </w:r>
      <w:r w:rsidR="0041696D" w:rsidRPr="0051072F">
        <w:rPr>
          <w:rFonts w:asciiTheme="minorHAnsi" w:hAnsiTheme="minorHAnsi" w:cstheme="minorHAnsi"/>
          <w:b/>
          <w:bCs/>
          <w:sz w:val="22"/>
          <w:szCs w:val="22"/>
        </w:rPr>
        <w:t>zemního plynu</w:t>
      </w:r>
      <w:r w:rsidR="0041696D">
        <w:rPr>
          <w:rFonts w:asciiTheme="minorHAnsi" w:hAnsiTheme="minorHAnsi" w:cstheme="minorHAnsi"/>
          <w:sz w:val="22"/>
          <w:szCs w:val="22"/>
        </w:rPr>
        <w:t xml:space="preserve"> v režimu velkoodběru</w:t>
      </w:r>
      <w:r w:rsidR="00664216">
        <w:rPr>
          <w:rFonts w:asciiTheme="minorHAnsi" w:hAnsiTheme="minorHAnsi" w:cstheme="minorHAnsi"/>
          <w:sz w:val="22"/>
          <w:szCs w:val="22"/>
        </w:rPr>
        <w:t xml:space="preserve"> v Kč bez DPH</w:t>
      </w:r>
      <w:r w:rsidR="0041696D">
        <w:rPr>
          <w:rFonts w:asciiTheme="minorHAnsi" w:hAnsiTheme="minorHAnsi" w:cstheme="minorHAnsi"/>
          <w:sz w:val="22"/>
          <w:szCs w:val="22"/>
        </w:rPr>
        <w:t xml:space="preserve">. </w:t>
      </w:r>
    </w:p>
    <w:p w14:paraId="2B3DB68C" w14:textId="172BD677" w:rsidR="003713DE" w:rsidRDefault="003713DE" w:rsidP="009D441E">
      <w:pPr>
        <w:pStyle w:val="Default"/>
        <w:spacing w:after="120" w:line="23" w:lineRule="atLeast"/>
        <w:jc w:val="both"/>
        <w:rPr>
          <w:rFonts w:asciiTheme="minorHAnsi" w:hAnsiTheme="minorHAnsi" w:cstheme="minorHAnsi"/>
          <w:sz w:val="22"/>
          <w:szCs w:val="22"/>
        </w:rPr>
      </w:pPr>
      <w:r w:rsidRPr="003713DE">
        <w:rPr>
          <w:rFonts w:asciiTheme="minorHAnsi" w:hAnsiTheme="minorHAnsi" w:cstheme="minorHAnsi"/>
          <w:sz w:val="22"/>
          <w:szCs w:val="22"/>
        </w:rPr>
        <w:t xml:space="preserve">Nabídková cena musí zahrnovat </w:t>
      </w:r>
      <w:r w:rsidRPr="003713DE">
        <w:rPr>
          <w:rFonts w:asciiTheme="minorHAnsi" w:hAnsiTheme="minorHAnsi" w:cstheme="minorHAnsi"/>
          <w:b/>
          <w:bCs/>
          <w:sz w:val="22"/>
          <w:szCs w:val="22"/>
        </w:rPr>
        <w:t xml:space="preserve">veškeré náklady dodavatele spojené s plněním </w:t>
      </w:r>
      <w:r>
        <w:rPr>
          <w:rFonts w:asciiTheme="minorHAnsi" w:hAnsiTheme="minorHAnsi" w:cstheme="minorHAnsi"/>
          <w:b/>
          <w:bCs/>
          <w:sz w:val="22"/>
          <w:szCs w:val="22"/>
        </w:rPr>
        <w:t xml:space="preserve">veřejné </w:t>
      </w:r>
      <w:r w:rsidRPr="003713DE">
        <w:rPr>
          <w:rFonts w:asciiTheme="minorHAnsi" w:hAnsiTheme="minorHAnsi" w:cstheme="minorHAnsi"/>
          <w:b/>
          <w:bCs/>
          <w:sz w:val="22"/>
          <w:szCs w:val="22"/>
        </w:rPr>
        <w:t>zakázky</w:t>
      </w:r>
      <w:r>
        <w:rPr>
          <w:rFonts w:asciiTheme="minorHAnsi" w:hAnsiTheme="minorHAnsi" w:cstheme="minorHAnsi"/>
          <w:b/>
          <w:bCs/>
          <w:sz w:val="22"/>
          <w:szCs w:val="22"/>
        </w:rPr>
        <w:t>.</w:t>
      </w:r>
    </w:p>
    <w:p w14:paraId="73B41EF9" w14:textId="3DEA55FD" w:rsidR="000C7E01" w:rsidRDefault="00D77C6E" w:rsidP="009D441E">
      <w:pPr>
        <w:pStyle w:val="Default"/>
        <w:spacing w:after="120" w:line="23" w:lineRule="atLeast"/>
        <w:jc w:val="both"/>
        <w:rPr>
          <w:rFonts w:asciiTheme="minorHAnsi" w:hAnsiTheme="minorHAnsi" w:cstheme="minorHAnsi"/>
          <w:sz w:val="22"/>
          <w:szCs w:val="22"/>
        </w:rPr>
      </w:pPr>
      <w:r w:rsidRPr="00D77C6E">
        <w:rPr>
          <w:rFonts w:asciiTheme="minorHAnsi" w:hAnsiTheme="minorHAnsi" w:cstheme="minorHAnsi"/>
          <w:sz w:val="22"/>
          <w:szCs w:val="22"/>
        </w:rPr>
        <w:t>Pro účely Smlouvy uzavřené s vybraným dodavatelem bude k této ceně bez DPH připočtena výše DPH v souladu s platnými právními předpisy.</w:t>
      </w:r>
    </w:p>
    <w:p w14:paraId="4A758698" w14:textId="4B8B4465" w:rsidR="00D77C6E" w:rsidRDefault="00E279EB" w:rsidP="009D441E">
      <w:pPr>
        <w:pStyle w:val="Default"/>
        <w:spacing w:after="120" w:line="23" w:lineRule="atLeast"/>
        <w:jc w:val="both"/>
        <w:rPr>
          <w:rFonts w:asciiTheme="minorHAnsi" w:hAnsiTheme="minorHAnsi" w:cstheme="minorHAnsi"/>
          <w:b/>
          <w:bCs/>
          <w:sz w:val="22"/>
          <w:szCs w:val="22"/>
        </w:rPr>
      </w:pPr>
      <w:r>
        <w:rPr>
          <w:rFonts w:asciiTheme="minorHAnsi" w:hAnsiTheme="minorHAnsi" w:cstheme="minorHAnsi"/>
          <w:b/>
          <w:bCs/>
          <w:sz w:val="22"/>
          <w:szCs w:val="22"/>
        </w:rPr>
        <w:t xml:space="preserve">Část 2 </w:t>
      </w:r>
      <w:r w:rsidR="00B63374">
        <w:rPr>
          <w:rFonts w:asciiTheme="minorHAnsi" w:hAnsiTheme="minorHAnsi" w:cstheme="minorHAnsi"/>
          <w:b/>
          <w:bCs/>
          <w:sz w:val="22"/>
          <w:szCs w:val="22"/>
        </w:rPr>
        <w:t>–</w:t>
      </w:r>
      <w:r>
        <w:rPr>
          <w:rFonts w:asciiTheme="minorHAnsi" w:hAnsiTheme="minorHAnsi" w:cstheme="minorHAnsi"/>
          <w:b/>
          <w:bCs/>
          <w:sz w:val="22"/>
          <w:szCs w:val="22"/>
        </w:rPr>
        <w:t xml:space="preserve"> maloodběr</w:t>
      </w:r>
    </w:p>
    <w:p w14:paraId="3D91575B" w14:textId="26C4E8A3" w:rsidR="00B63374" w:rsidRDefault="00B63374" w:rsidP="00B63374">
      <w:pPr>
        <w:pStyle w:val="Default"/>
        <w:spacing w:after="120" w:line="23" w:lineRule="atLeast"/>
        <w:jc w:val="both"/>
        <w:rPr>
          <w:rFonts w:asciiTheme="minorHAnsi" w:hAnsiTheme="minorHAnsi" w:cstheme="minorHAnsi"/>
          <w:sz w:val="22"/>
          <w:szCs w:val="22"/>
        </w:rPr>
      </w:pPr>
      <w:r w:rsidRPr="00554270">
        <w:rPr>
          <w:rFonts w:asciiTheme="minorHAnsi" w:hAnsiTheme="minorHAnsi" w:cstheme="minorHAnsi"/>
          <w:sz w:val="22"/>
          <w:szCs w:val="22"/>
        </w:rPr>
        <w:t>Nabídková cena bude uvedena v krycím listu nabídky, který tvoří přílohu č. 1</w:t>
      </w:r>
      <w:r>
        <w:rPr>
          <w:rFonts w:asciiTheme="minorHAnsi" w:hAnsiTheme="minorHAnsi" w:cstheme="minorHAnsi"/>
          <w:sz w:val="22"/>
          <w:szCs w:val="22"/>
        </w:rPr>
        <w:t>b</w:t>
      </w:r>
      <w:r w:rsidRPr="00554270">
        <w:rPr>
          <w:rFonts w:asciiTheme="minorHAnsi" w:hAnsiTheme="minorHAnsi" w:cstheme="minorHAnsi"/>
          <w:sz w:val="22"/>
          <w:szCs w:val="22"/>
        </w:rPr>
        <w:t xml:space="preserve"> </w:t>
      </w:r>
      <w:r>
        <w:rPr>
          <w:rFonts w:asciiTheme="minorHAnsi" w:hAnsiTheme="minorHAnsi" w:cstheme="minorHAnsi"/>
          <w:sz w:val="22"/>
          <w:szCs w:val="22"/>
        </w:rPr>
        <w:t>z</w:t>
      </w:r>
      <w:r w:rsidRPr="00554270">
        <w:rPr>
          <w:rFonts w:asciiTheme="minorHAnsi" w:hAnsiTheme="minorHAnsi" w:cstheme="minorHAnsi"/>
          <w:sz w:val="22"/>
          <w:szCs w:val="22"/>
        </w:rPr>
        <w:t>adávací dokumentace</w:t>
      </w:r>
      <w:r>
        <w:rPr>
          <w:rFonts w:asciiTheme="minorHAnsi" w:hAnsiTheme="minorHAnsi" w:cstheme="minorHAnsi"/>
          <w:sz w:val="22"/>
          <w:szCs w:val="22"/>
        </w:rPr>
        <w:t xml:space="preserve">, a bude zpracována jako </w:t>
      </w:r>
      <w:r w:rsidRPr="00664216">
        <w:rPr>
          <w:rFonts w:asciiTheme="minorHAnsi" w:hAnsiTheme="minorHAnsi" w:cstheme="minorHAnsi"/>
          <w:b/>
          <w:bCs/>
          <w:sz w:val="22"/>
          <w:szCs w:val="22"/>
        </w:rPr>
        <w:t>jednotková cena za dodávku 1 MWh</w:t>
      </w:r>
      <w:r>
        <w:rPr>
          <w:rFonts w:asciiTheme="minorHAnsi" w:hAnsiTheme="minorHAnsi" w:cstheme="minorHAnsi"/>
          <w:sz w:val="22"/>
          <w:szCs w:val="22"/>
        </w:rPr>
        <w:t xml:space="preserve"> </w:t>
      </w:r>
      <w:r w:rsidRPr="0051072F">
        <w:rPr>
          <w:rFonts w:asciiTheme="minorHAnsi" w:hAnsiTheme="minorHAnsi" w:cstheme="minorHAnsi"/>
          <w:b/>
          <w:bCs/>
          <w:sz w:val="22"/>
          <w:szCs w:val="22"/>
        </w:rPr>
        <w:t>zemního plynu</w:t>
      </w:r>
      <w:r>
        <w:rPr>
          <w:rFonts w:asciiTheme="minorHAnsi" w:hAnsiTheme="minorHAnsi" w:cstheme="minorHAnsi"/>
          <w:sz w:val="22"/>
          <w:szCs w:val="22"/>
        </w:rPr>
        <w:t xml:space="preserve"> v režimu maloodběr v Kč bez DPH. </w:t>
      </w:r>
    </w:p>
    <w:p w14:paraId="64CD6EE3" w14:textId="1084B92D" w:rsidR="00212E51" w:rsidRDefault="00212E51" w:rsidP="00212E51">
      <w:pPr>
        <w:spacing w:before="120"/>
        <w:rPr>
          <w:rFonts w:ascii="Calibri" w:hAnsi="Calibri" w:cs="Calibri"/>
          <w:color w:val="000000"/>
        </w:rPr>
      </w:pPr>
      <w:r>
        <w:rPr>
          <w:rFonts w:ascii="Calibri" w:hAnsi="Calibri" w:cs="Calibri"/>
          <w:color w:val="000000"/>
        </w:rPr>
        <w:t>Dodavatel uvede v krycím listu nabídky, který tvoří přílohu č. 1</w:t>
      </w:r>
      <w:r w:rsidR="00BF2302">
        <w:rPr>
          <w:rFonts w:ascii="Calibri" w:hAnsi="Calibri" w:cs="Calibri"/>
          <w:color w:val="000000"/>
        </w:rPr>
        <w:t>b</w:t>
      </w:r>
      <w:r>
        <w:rPr>
          <w:rFonts w:ascii="Calibri" w:hAnsi="Calibri" w:cs="Calibri"/>
          <w:color w:val="000000"/>
        </w:rPr>
        <w:t xml:space="preserve"> </w:t>
      </w:r>
      <w:r w:rsidR="00BF2302">
        <w:rPr>
          <w:rFonts w:ascii="Calibri" w:hAnsi="Calibri" w:cs="Calibri"/>
          <w:color w:val="000000"/>
        </w:rPr>
        <w:t>zadávací dokumentace</w:t>
      </w:r>
      <w:r>
        <w:rPr>
          <w:rFonts w:ascii="Calibri" w:hAnsi="Calibri" w:cs="Calibri"/>
          <w:color w:val="000000"/>
        </w:rPr>
        <w:t xml:space="preserve">, rovněž </w:t>
      </w:r>
      <w:r>
        <w:rPr>
          <w:rFonts w:ascii="Calibri" w:hAnsi="Calibri" w:cs="Calibri"/>
          <w:b/>
          <w:bCs/>
          <w:color w:val="000000"/>
        </w:rPr>
        <w:t>výši stálého měsíčního platu</w:t>
      </w:r>
      <w:r>
        <w:rPr>
          <w:rFonts w:ascii="Calibri" w:hAnsi="Calibri" w:cs="Calibri"/>
          <w:color w:val="000000"/>
        </w:rPr>
        <w:t xml:space="preserve"> (v Kč bez DPH/měsíc za 1 odběrné místo</w:t>
      </w:r>
      <w:r w:rsidR="00BF2302">
        <w:rPr>
          <w:rFonts w:ascii="Calibri" w:hAnsi="Calibri" w:cs="Calibri"/>
          <w:color w:val="000000"/>
        </w:rPr>
        <w:t>)</w:t>
      </w:r>
      <w:r>
        <w:rPr>
          <w:rFonts w:ascii="Calibri" w:hAnsi="Calibri" w:cs="Calibri"/>
          <w:color w:val="000000"/>
        </w:rPr>
        <w:t xml:space="preserve">, a také </w:t>
      </w:r>
      <w:r w:rsidRPr="00BF2302">
        <w:rPr>
          <w:rFonts w:ascii="Calibri" w:hAnsi="Calibri" w:cs="Calibri"/>
          <w:b/>
          <w:bCs/>
          <w:color w:val="000000"/>
        </w:rPr>
        <w:t>celkovou výši stálého měsíčního platu</w:t>
      </w:r>
      <w:r>
        <w:rPr>
          <w:rFonts w:ascii="Calibri" w:hAnsi="Calibri" w:cs="Calibri"/>
          <w:color w:val="000000"/>
        </w:rPr>
        <w:t xml:space="preserve"> za všechna odběrná místa v</w:t>
      </w:r>
      <w:r w:rsidR="00BF2302">
        <w:rPr>
          <w:rFonts w:ascii="Calibri" w:hAnsi="Calibri" w:cs="Calibri"/>
          <w:color w:val="000000"/>
        </w:rPr>
        <w:t> režimu maloodběr</w:t>
      </w:r>
      <w:r>
        <w:rPr>
          <w:rFonts w:ascii="Calibri" w:hAnsi="Calibri" w:cs="Calibri"/>
          <w:color w:val="000000"/>
        </w:rPr>
        <w:t xml:space="preserve"> uvedená v příloze č. </w:t>
      </w:r>
      <w:r w:rsidR="00BF2302">
        <w:rPr>
          <w:rFonts w:ascii="Calibri" w:hAnsi="Calibri" w:cs="Calibri"/>
          <w:color w:val="000000"/>
        </w:rPr>
        <w:t>3</w:t>
      </w:r>
      <w:r>
        <w:rPr>
          <w:rFonts w:ascii="Calibri" w:hAnsi="Calibri" w:cs="Calibri"/>
          <w:color w:val="000000"/>
        </w:rPr>
        <w:t xml:space="preserve"> </w:t>
      </w:r>
      <w:r w:rsidR="00BF2302">
        <w:rPr>
          <w:rFonts w:ascii="Calibri" w:hAnsi="Calibri" w:cs="Calibri"/>
          <w:color w:val="000000"/>
        </w:rPr>
        <w:t>zadávací dokumentace</w:t>
      </w:r>
      <w:r>
        <w:rPr>
          <w:rFonts w:ascii="Calibri" w:hAnsi="Calibri" w:cs="Calibri"/>
          <w:color w:val="000000"/>
        </w:rPr>
        <w:t xml:space="preserve"> za 12 měsíců).</w:t>
      </w:r>
    </w:p>
    <w:p w14:paraId="0BD11534" w14:textId="77777777" w:rsidR="00B63374" w:rsidRDefault="00B63374" w:rsidP="00B63374">
      <w:pPr>
        <w:pStyle w:val="Default"/>
        <w:spacing w:after="120" w:line="23" w:lineRule="atLeast"/>
        <w:jc w:val="both"/>
        <w:rPr>
          <w:rFonts w:asciiTheme="minorHAnsi" w:hAnsiTheme="minorHAnsi" w:cstheme="minorHAnsi"/>
          <w:sz w:val="22"/>
          <w:szCs w:val="22"/>
        </w:rPr>
      </w:pPr>
      <w:r w:rsidRPr="003713DE">
        <w:rPr>
          <w:rFonts w:asciiTheme="minorHAnsi" w:hAnsiTheme="minorHAnsi" w:cstheme="minorHAnsi"/>
          <w:sz w:val="22"/>
          <w:szCs w:val="22"/>
        </w:rPr>
        <w:t xml:space="preserve">Nabídková cena musí zahrnovat </w:t>
      </w:r>
      <w:r w:rsidRPr="003713DE">
        <w:rPr>
          <w:rFonts w:asciiTheme="minorHAnsi" w:hAnsiTheme="minorHAnsi" w:cstheme="minorHAnsi"/>
          <w:b/>
          <w:bCs/>
          <w:sz w:val="22"/>
          <w:szCs w:val="22"/>
        </w:rPr>
        <w:t xml:space="preserve">veškeré náklady dodavatele spojené s plněním </w:t>
      </w:r>
      <w:r>
        <w:rPr>
          <w:rFonts w:asciiTheme="minorHAnsi" w:hAnsiTheme="minorHAnsi" w:cstheme="minorHAnsi"/>
          <w:b/>
          <w:bCs/>
          <w:sz w:val="22"/>
          <w:szCs w:val="22"/>
        </w:rPr>
        <w:t xml:space="preserve">veřejné </w:t>
      </w:r>
      <w:r w:rsidRPr="003713DE">
        <w:rPr>
          <w:rFonts w:asciiTheme="minorHAnsi" w:hAnsiTheme="minorHAnsi" w:cstheme="minorHAnsi"/>
          <w:b/>
          <w:bCs/>
          <w:sz w:val="22"/>
          <w:szCs w:val="22"/>
        </w:rPr>
        <w:t>zakázky</w:t>
      </w:r>
      <w:r>
        <w:rPr>
          <w:rFonts w:asciiTheme="minorHAnsi" w:hAnsiTheme="minorHAnsi" w:cstheme="minorHAnsi"/>
          <w:b/>
          <w:bCs/>
          <w:sz w:val="22"/>
          <w:szCs w:val="22"/>
        </w:rPr>
        <w:t>.</w:t>
      </w:r>
    </w:p>
    <w:p w14:paraId="6F2728E1" w14:textId="77777777" w:rsidR="00B63374" w:rsidRDefault="00B63374" w:rsidP="00B63374">
      <w:pPr>
        <w:pStyle w:val="Default"/>
        <w:spacing w:after="120" w:line="23" w:lineRule="atLeast"/>
        <w:jc w:val="both"/>
        <w:rPr>
          <w:rFonts w:asciiTheme="minorHAnsi" w:hAnsiTheme="minorHAnsi" w:cstheme="minorHAnsi"/>
          <w:sz w:val="22"/>
          <w:szCs w:val="22"/>
        </w:rPr>
      </w:pPr>
      <w:r w:rsidRPr="00D77C6E">
        <w:rPr>
          <w:rFonts w:asciiTheme="minorHAnsi" w:hAnsiTheme="minorHAnsi" w:cstheme="minorHAnsi"/>
          <w:sz w:val="22"/>
          <w:szCs w:val="22"/>
        </w:rPr>
        <w:t>Pro účely Smlouvy uzavřené s vybraným dodavatelem bude k této ceně bez DPH připočtena výše DPH v souladu s platnými právními předpisy.</w:t>
      </w:r>
    </w:p>
    <w:p w14:paraId="0C2886E0" w14:textId="368CE1EC" w:rsidR="00FF066F" w:rsidRPr="00FF066F" w:rsidRDefault="00FF066F" w:rsidP="00214FB7">
      <w:pPr>
        <w:pStyle w:val="Nadpis1"/>
        <w:ind w:left="567" w:hanging="567"/>
      </w:pPr>
      <w:r w:rsidRPr="00FF066F">
        <w:t>HODNOCENÍ NABÍDEK</w:t>
      </w:r>
    </w:p>
    <w:p w14:paraId="6E76A8C7" w14:textId="48A70AFA" w:rsidR="000D43B1" w:rsidRDefault="001E567F" w:rsidP="000D43B1">
      <w:pPr>
        <w:pStyle w:val="Default"/>
        <w:spacing w:after="120" w:line="23" w:lineRule="atLeast"/>
        <w:jc w:val="both"/>
        <w:rPr>
          <w:rFonts w:asciiTheme="minorHAnsi" w:hAnsiTheme="minorHAnsi" w:cstheme="minorHAnsi"/>
          <w:sz w:val="22"/>
          <w:szCs w:val="22"/>
        </w:rPr>
      </w:pPr>
      <w:r w:rsidRPr="000D43B1">
        <w:rPr>
          <w:rFonts w:asciiTheme="minorHAnsi" w:hAnsiTheme="minorHAnsi" w:cstheme="minorHAnsi"/>
          <w:sz w:val="22"/>
          <w:szCs w:val="22"/>
        </w:rPr>
        <w:t xml:space="preserve">Zadavatel provede hodnocení nabídek podle hodnotícího kritéria, kterým je </w:t>
      </w:r>
      <w:r w:rsidR="000D43B1" w:rsidRPr="000D43B1">
        <w:rPr>
          <w:rFonts w:asciiTheme="minorHAnsi" w:hAnsiTheme="minorHAnsi" w:cstheme="minorHAnsi"/>
          <w:sz w:val="22"/>
          <w:szCs w:val="22"/>
        </w:rPr>
        <w:t xml:space="preserve">pro zadání obou částí zakázky ekonomická výhodnost nabídky dle § 114 a násl. ZZVZ. </w:t>
      </w:r>
    </w:p>
    <w:p w14:paraId="22890E1E" w14:textId="6085D9A2" w:rsidR="003E31C3" w:rsidRDefault="003E31C3" w:rsidP="003E31C3">
      <w:pPr>
        <w:spacing w:before="120"/>
        <w:rPr>
          <w:rFonts w:ascii="Calibri" w:hAnsi="Calibri" w:cs="Calibri"/>
          <w:color w:val="000000"/>
        </w:rPr>
      </w:pPr>
      <w:r>
        <w:rPr>
          <w:b/>
          <w:bCs/>
        </w:rPr>
        <w:t>Část 1 – velkoodběr (VO)</w:t>
      </w:r>
    </w:p>
    <w:p w14:paraId="3FF07285" w14:textId="0F45B896" w:rsidR="001433A7" w:rsidRDefault="003E31C3" w:rsidP="003E31C3">
      <w:pPr>
        <w:spacing w:before="120"/>
        <w:rPr>
          <w:rFonts w:ascii="Calibri" w:hAnsi="Calibri" w:cs="Calibri"/>
          <w:color w:val="000000"/>
        </w:rPr>
      </w:pPr>
      <w:r>
        <w:rPr>
          <w:rFonts w:ascii="Calibri" w:hAnsi="Calibri" w:cs="Calibri"/>
          <w:color w:val="000000"/>
        </w:rPr>
        <w:t xml:space="preserve">Předmětem hodnocení bude </w:t>
      </w:r>
      <w:r w:rsidR="002D03A2">
        <w:rPr>
          <w:rFonts w:ascii="Calibri" w:hAnsi="Calibri" w:cs="Calibri"/>
          <w:b/>
          <w:bCs/>
          <w:color w:val="000000"/>
        </w:rPr>
        <w:t xml:space="preserve">celková nabídková cena </w:t>
      </w:r>
      <w:r w:rsidR="001433A7">
        <w:rPr>
          <w:rFonts w:ascii="Calibri" w:hAnsi="Calibri" w:cs="Calibri"/>
          <w:b/>
          <w:bCs/>
          <w:color w:val="000000"/>
        </w:rPr>
        <w:t>za dodávku Zadavatelem předpokládaného celkového množství zemn</w:t>
      </w:r>
      <w:r w:rsidR="00BF3C79">
        <w:rPr>
          <w:rFonts w:ascii="Calibri" w:hAnsi="Calibri" w:cs="Calibri"/>
          <w:b/>
          <w:bCs/>
          <w:color w:val="000000"/>
        </w:rPr>
        <w:t>í</w:t>
      </w:r>
      <w:r w:rsidR="001433A7">
        <w:rPr>
          <w:rFonts w:ascii="Calibri" w:hAnsi="Calibri" w:cs="Calibri"/>
          <w:b/>
          <w:bCs/>
          <w:color w:val="000000"/>
        </w:rPr>
        <w:t xml:space="preserve">ho plyn pro všechna odběrná místa v Kč bez DPH. </w:t>
      </w:r>
      <w:r w:rsidR="001433A7">
        <w:rPr>
          <w:rFonts w:ascii="Calibri" w:hAnsi="Calibri" w:cs="Calibri"/>
          <w:color w:val="000000"/>
        </w:rPr>
        <w:t>Celkovou nabídkovou cenu vypočte Zadavatel, a t</w:t>
      </w:r>
      <w:r w:rsidR="007F3D3D">
        <w:rPr>
          <w:rFonts w:ascii="Calibri" w:hAnsi="Calibri" w:cs="Calibri"/>
          <w:color w:val="000000"/>
        </w:rPr>
        <w:t xml:space="preserve">o jako součin jednotkové ceny za dodávku 1 MWh zemního plynu v Kč bez DPH, uvedené dodavatelem na krycím listu v příloze č. 1a zadávací dokumentace, a </w:t>
      </w:r>
      <w:r w:rsidR="00BF3C79">
        <w:rPr>
          <w:rFonts w:ascii="Calibri" w:hAnsi="Calibri" w:cs="Calibri"/>
          <w:color w:val="000000"/>
        </w:rPr>
        <w:t xml:space="preserve">předpokládaného </w:t>
      </w:r>
      <w:r w:rsidR="000963A2">
        <w:rPr>
          <w:rFonts w:ascii="Calibri" w:hAnsi="Calibri" w:cs="Calibri"/>
          <w:color w:val="000000"/>
        </w:rPr>
        <w:t>množství 445</w:t>
      </w:r>
      <w:r w:rsidR="00BF3C79">
        <w:rPr>
          <w:rFonts w:ascii="Calibri" w:hAnsi="Calibri" w:cs="Calibri"/>
          <w:color w:val="000000"/>
        </w:rPr>
        <w:t xml:space="preserve"> MWh </w:t>
      </w:r>
      <w:r w:rsidR="008E418D">
        <w:rPr>
          <w:rFonts w:ascii="Calibri" w:hAnsi="Calibri" w:cs="Calibri"/>
          <w:color w:val="000000"/>
        </w:rPr>
        <w:t xml:space="preserve">odebraného </w:t>
      </w:r>
      <w:r w:rsidR="00BF3C79">
        <w:rPr>
          <w:rFonts w:ascii="Calibri" w:hAnsi="Calibri" w:cs="Calibri"/>
          <w:color w:val="000000"/>
        </w:rPr>
        <w:t xml:space="preserve">zemního plynu v režimu velkoodběru. </w:t>
      </w:r>
    </w:p>
    <w:p w14:paraId="13FFD110" w14:textId="6FAD0DC5" w:rsidR="00005676" w:rsidRPr="001433A7" w:rsidRDefault="00005676" w:rsidP="003E31C3">
      <w:pPr>
        <w:spacing w:before="120"/>
        <w:rPr>
          <w:rFonts w:ascii="Calibri" w:hAnsi="Calibri" w:cs="Calibri"/>
          <w:color w:val="000000"/>
        </w:rPr>
      </w:pPr>
      <w:r>
        <w:rPr>
          <w:rFonts w:ascii="Calibri" w:hAnsi="Calibri" w:cs="Calibri"/>
          <w:color w:val="000000"/>
        </w:rPr>
        <w:t xml:space="preserve">Zadavatel pro vyloučení pochybností dodává, že </w:t>
      </w:r>
      <w:r w:rsidR="005F077E">
        <w:rPr>
          <w:rFonts w:ascii="Calibri" w:hAnsi="Calibri" w:cs="Calibri"/>
          <w:color w:val="000000"/>
        </w:rPr>
        <w:t xml:space="preserve">toto </w:t>
      </w:r>
      <w:r>
        <w:rPr>
          <w:rFonts w:ascii="Calibri" w:hAnsi="Calibri" w:cs="Calibri"/>
          <w:color w:val="000000"/>
        </w:rPr>
        <w:t>předpokládané množství slouží výhradně jako předpoklad a vychází z údajů o odběru zemního plynu za rok 2022; nejedná se o závazné množství pro plnění Smlouvy na základě této veřejné zakázky.</w:t>
      </w:r>
    </w:p>
    <w:p w14:paraId="3D481615" w14:textId="68E823AA" w:rsidR="003E31C3" w:rsidRDefault="003E31C3" w:rsidP="003E31C3">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Nabídky se</w:t>
      </w:r>
      <w:r w:rsidR="00A50704">
        <w:rPr>
          <w:rFonts w:ascii="Calibri" w:hAnsi="Calibri" w:cs="Calibri"/>
          <w:sz w:val="22"/>
          <w:szCs w:val="22"/>
          <w:lang w:val="cs-CZ" w:eastAsia="cs-CZ"/>
        </w:rPr>
        <w:t xml:space="preserve"> pak</w:t>
      </w:r>
      <w:r>
        <w:rPr>
          <w:rFonts w:ascii="Calibri" w:hAnsi="Calibri" w:cs="Calibri"/>
          <w:sz w:val="22"/>
          <w:szCs w:val="22"/>
          <w:lang w:val="cs-CZ" w:eastAsia="cs-CZ"/>
        </w:rPr>
        <w:t xml:space="preserve"> seřadí vzestupně od nabídky s nejnižší </w:t>
      </w:r>
      <w:r w:rsidR="00A50704">
        <w:rPr>
          <w:rFonts w:ascii="Calibri" w:hAnsi="Calibri" w:cs="Calibri"/>
          <w:sz w:val="22"/>
          <w:szCs w:val="22"/>
          <w:lang w:val="cs-CZ" w:eastAsia="cs-CZ"/>
        </w:rPr>
        <w:t xml:space="preserve">celkovou </w:t>
      </w:r>
      <w:r>
        <w:rPr>
          <w:rFonts w:ascii="Calibri" w:hAnsi="Calibri" w:cs="Calibri"/>
          <w:sz w:val="22"/>
          <w:szCs w:val="22"/>
          <w:lang w:val="cs-CZ" w:eastAsia="cs-CZ"/>
        </w:rPr>
        <w:t xml:space="preserve">nabídkovou cenou v Kč bez DPH po nabídku s nejvyšší celkovou nabídkovou cenou. </w:t>
      </w:r>
    </w:p>
    <w:p w14:paraId="1183EEC9" w14:textId="4273BAB9" w:rsidR="003E31C3" w:rsidRDefault="003E31C3" w:rsidP="003E31C3">
      <w:pPr>
        <w:pStyle w:val="bno"/>
        <w:spacing w:before="120" w:after="0" w:line="276" w:lineRule="auto"/>
        <w:ind w:left="0"/>
        <w:rPr>
          <w:rFonts w:asciiTheme="minorHAnsi" w:hAnsiTheme="minorHAnsi"/>
          <w:sz w:val="22"/>
          <w:szCs w:val="22"/>
          <w:lang w:val="cs-CZ" w:eastAsia="cs-CZ"/>
        </w:rPr>
      </w:pPr>
      <w:r>
        <w:rPr>
          <w:rFonts w:ascii="Calibri" w:hAnsi="Calibri" w:cs="Calibri"/>
          <w:sz w:val="22"/>
          <w:szCs w:val="22"/>
          <w:lang w:val="cs-CZ" w:eastAsia="cs-CZ"/>
        </w:rPr>
        <w:t xml:space="preserve">Smlouva v rámci dané části </w:t>
      </w:r>
      <w:r w:rsidR="00E66665">
        <w:rPr>
          <w:rFonts w:ascii="Calibri" w:hAnsi="Calibri" w:cs="Calibri"/>
          <w:sz w:val="22"/>
          <w:szCs w:val="22"/>
          <w:lang w:val="cs-CZ" w:eastAsia="cs-CZ"/>
        </w:rPr>
        <w:t xml:space="preserve">veřejné </w:t>
      </w:r>
      <w:r>
        <w:rPr>
          <w:rFonts w:ascii="Calibri" w:hAnsi="Calibri" w:cs="Calibri"/>
          <w:sz w:val="22"/>
          <w:szCs w:val="22"/>
          <w:lang w:val="cs-CZ" w:eastAsia="cs-CZ"/>
        </w:rPr>
        <w:t xml:space="preserve">zakázky bude uzavřena s dodavatelem, jehož nabídka se umístí na prvním místě (s nejnižší </w:t>
      </w:r>
      <w:r w:rsidR="00E66665">
        <w:rPr>
          <w:rFonts w:ascii="Calibri" w:hAnsi="Calibri" w:cs="Calibri"/>
          <w:sz w:val="22"/>
          <w:szCs w:val="22"/>
          <w:lang w:val="cs-CZ" w:eastAsia="cs-CZ"/>
        </w:rPr>
        <w:t xml:space="preserve">celkovou </w:t>
      </w:r>
      <w:r>
        <w:rPr>
          <w:rFonts w:ascii="Calibri" w:hAnsi="Calibri" w:cs="Calibri"/>
          <w:sz w:val="22"/>
          <w:szCs w:val="22"/>
          <w:lang w:val="cs-CZ" w:eastAsia="cs-CZ"/>
        </w:rPr>
        <w:t>nabídkovou cenou</w:t>
      </w:r>
      <w:r w:rsidR="0017541C">
        <w:rPr>
          <w:rFonts w:ascii="Calibri" w:hAnsi="Calibri" w:cs="Calibri"/>
          <w:sz w:val="22"/>
          <w:szCs w:val="22"/>
          <w:lang w:val="cs-CZ" w:eastAsia="cs-CZ"/>
        </w:rPr>
        <w:t xml:space="preserve"> v Kč be</w:t>
      </w:r>
      <w:r w:rsidR="00EF71DA">
        <w:rPr>
          <w:rFonts w:ascii="Calibri" w:hAnsi="Calibri" w:cs="Calibri"/>
          <w:sz w:val="22"/>
          <w:szCs w:val="22"/>
          <w:lang w:val="cs-CZ" w:eastAsia="cs-CZ"/>
        </w:rPr>
        <w:t>z DPH</w:t>
      </w:r>
      <w:r>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315103F2" w14:textId="7941C875" w:rsidR="003E31C3" w:rsidRDefault="003E31C3" w:rsidP="0005070A">
      <w:pPr>
        <w:keepNext/>
        <w:spacing w:before="120"/>
        <w:rPr>
          <w:b/>
          <w:bCs/>
        </w:rPr>
      </w:pPr>
      <w:r>
        <w:rPr>
          <w:b/>
          <w:bCs/>
        </w:rPr>
        <w:lastRenderedPageBreak/>
        <w:t xml:space="preserve">Část </w:t>
      </w:r>
      <w:r w:rsidR="00E66665">
        <w:rPr>
          <w:b/>
          <w:bCs/>
        </w:rPr>
        <w:t>2</w:t>
      </w:r>
      <w:r>
        <w:rPr>
          <w:b/>
          <w:bCs/>
        </w:rPr>
        <w:t xml:space="preserve"> – </w:t>
      </w:r>
      <w:r w:rsidR="00E66665">
        <w:rPr>
          <w:b/>
          <w:bCs/>
        </w:rPr>
        <w:t>maloodběr (MO)</w:t>
      </w:r>
    </w:p>
    <w:p w14:paraId="3E063BB0" w14:textId="251FAE85" w:rsidR="00395A6C" w:rsidRDefault="00395A6C" w:rsidP="003E31C3">
      <w:pPr>
        <w:spacing w:before="120"/>
        <w:rPr>
          <w:b/>
          <w:bCs/>
        </w:rPr>
      </w:pPr>
      <w:r>
        <w:t>Předmětem hod</w:t>
      </w:r>
      <w:r w:rsidR="00100DEA">
        <w:t xml:space="preserve">nocení je </w:t>
      </w:r>
      <w:r w:rsidR="00100DEA">
        <w:rPr>
          <w:b/>
          <w:bCs/>
        </w:rPr>
        <w:t>celková nabídková cena</w:t>
      </w:r>
      <w:r w:rsidR="007D0A4E">
        <w:rPr>
          <w:b/>
          <w:bCs/>
        </w:rPr>
        <w:t xml:space="preserve"> v Kč bez DPH</w:t>
      </w:r>
      <w:r w:rsidR="00100DEA">
        <w:rPr>
          <w:b/>
          <w:bCs/>
        </w:rPr>
        <w:t xml:space="preserve">, která bude dopočtena Zadavatelem </w:t>
      </w:r>
      <w:r w:rsidR="00D075D4">
        <w:rPr>
          <w:b/>
          <w:bCs/>
        </w:rPr>
        <w:t>a která bude tvořit součet následujících položek:</w:t>
      </w:r>
    </w:p>
    <w:p w14:paraId="7C0924D7" w14:textId="16084BD3" w:rsidR="00D075D4" w:rsidRPr="007F78AF" w:rsidRDefault="000D0652" w:rsidP="000D0652">
      <w:pPr>
        <w:pStyle w:val="Odstavecseseznamem"/>
        <w:numPr>
          <w:ilvl w:val="0"/>
          <w:numId w:val="25"/>
        </w:numPr>
        <w:spacing w:before="120"/>
        <w:ind w:left="426" w:hanging="426"/>
        <w:rPr>
          <w:b/>
          <w:bCs/>
        </w:rPr>
      </w:pPr>
      <w:r>
        <w:rPr>
          <w:b/>
          <w:bCs/>
        </w:rPr>
        <w:t>celková cena za dodávku Zadavatelem předpokládaného množství zemního plynu pro všechna odběrná místa</w:t>
      </w:r>
      <w:r w:rsidR="00C566CB">
        <w:rPr>
          <w:b/>
          <w:bCs/>
        </w:rPr>
        <w:t xml:space="preserve"> v Kč bez DPH</w:t>
      </w:r>
      <w:r w:rsidR="00C566CB">
        <w:t xml:space="preserve">. </w:t>
      </w:r>
      <w:r w:rsidR="00C566CB">
        <w:rPr>
          <w:rFonts w:ascii="Calibri" w:hAnsi="Calibri" w:cs="Calibri"/>
          <w:color w:val="000000"/>
        </w:rPr>
        <w:t>Celkovou nabídkovou cenu vypočte Zadavatel, a to jako součin jednotkové ceny za dodávku 1 MWh zemního plynu v Kč bez DPH, uvedené dodavatelem na krycím listu v příloze č. 1b zadávací dokumentace, a předpokládaného množství 1310 MWh odebraného zemního plynu v režimu maloodběru.</w:t>
      </w:r>
      <w:r w:rsidR="00C566CB" w:rsidRPr="00C566CB">
        <w:rPr>
          <w:rFonts w:ascii="Calibri" w:hAnsi="Calibri" w:cs="Calibri"/>
          <w:color w:val="000000"/>
        </w:rPr>
        <w:t xml:space="preserve"> </w:t>
      </w:r>
      <w:r w:rsidR="00C566CB">
        <w:rPr>
          <w:rFonts w:ascii="Calibri" w:hAnsi="Calibri" w:cs="Calibri"/>
          <w:color w:val="000000"/>
        </w:rPr>
        <w:t>Zadavatel pro vyloučení pochybností dodává, že toto předpokládané množství slouží výhradně jako předpoklad a vychází z údajů o odběru zemního plynu za rok 2022; nejedná se o závazné množství pro plnění Smlouvy na základě této veřejné zakázky</w:t>
      </w:r>
      <w:r w:rsidR="00816220">
        <w:rPr>
          <w:rFonts w:ascii="Calibri" w:hAnsi="Calibri" w:cs="Calibri"/>
          <w:color w:val="000000"/>
        </w:rPr>
        <w:t>; a</w:t>
      </w:r>
    </w:p>
    <w:p w14:paraId="51F55515" w14:textId="6E6D59D7" w:rsidR="00866762" w:rsidRPr="007F78AF" w:rsidRDefault="00866762" w:rsidP="000D0652">
      <w:pPr>
        <w:pStyle w:val="Odstavecseseznamem"/>
        <w:numPr>
          <w:ilvl w:val="0"/>
          <w:numId w:val="25"/>
        </w:numPr>
        <w:spacing w:before="120"/>
        <w:ind w:left="426" w:hanging="426"/>
        <w:rPr>
          <w:b/>
          <w:bCs/>
        </w:rPr>
      </w:pPr>
      <w:r>
        <w:rPr>
          <w:b/>
          <w:bCs/>
        </w:rPr>
        <w:t>celková výše stálého měsíčního platu v Kč bez DPH</w:t>
      </w:r>
      <w:r w:rsidR="002857BF">
        <w:t xml:space="preserve">. </w:t>
      </w:r>
      <w:r w:rsidR="002857BF">
        <w:rPr>
          <w:rFonts w:ascii="Calibri" w:hAnsi="Calibri" w:cs="Calibri"/>
          <w:color w:val="000000"/>
        </w:rPr>
        <w:t xml:space="preserve">Celková </w:t>
      </w:r>
      <w:r w:rsidR="00CC1A63">
        <w:rPr>
          <w:rFonts w:ascii="Calibri" w:hAnsi="Calibri" w:cs="Calibri"/>
          <w:color w:val="000000"/>
        </w:rPr>
        <w:t>výše</w:t>
      </w:r>
      <w:r w:rsidR="002857BF">
        <w:rPr>
          <w:rFonts w:ascii="Calibri" w:hAnsi="Calibri" w:cs="Calibri"/>
          <w:color w:val="000000"/>
        </w:rPr>
        <w:t xml:space="preserve"> stálého měsíčního platu</w:t>
      </w:r>
      <w:r w:rsidR="00CC1A63">
        <w:rPr>
          <w:rFonts w:ascii="Calibri" w:hAnsi="Calibri" w:cs="Calibri"/>
          <w:color w:val="000000"/>
        </w:rPr>
        <w:t xml:space="preserve"> bude</w:t>
      </w:r>
      <w:r w:rsidR="002857BF">
        <w:rPr>
          <w:rFonts w:ascii="Calibri" w:hAnsi="Calibri" w:cs="Calibri"/>
          <w:color w:val="000000"/>
        </w:rPr>
        <w:t xml:space="preserve"> vypočtena jako součin (součtu výše stálého měsíčního platu za všechna odběrná místa uvedená v</w:t>
      </w:r>
      <w:r w:rsidR="00CC1A63">
        <w:rPr>
          <w:rFonts w:ascii="Calibri" w:hAnsi="Calibri" w:cs="Calibri"/>
          <w:color w:val="000000"/>
        </w:rPr>
        <w:t> </w:t>
      </w:r>
      <w:r w:rsidR="002857BF">
        <w:rPr>
          <w:rFonts w:ascii="Calibri" w:hAnsi="Calibri" w:cs="Calibri"/>
          <w:color w:val="000000"/>
        </w:rPr>
        <w:t xml:space="preserve">příloze č. 3 zadávací dokumentace) a délky trvání smlouvy 12 měsíců. </w:t>
      </w:r>
      <w:r w:rsidR="002857BF" w:rsidRPr="007F78AF">
        <w:rPr>
          <w:rFonts w:ascii="Calibri" w:hAnsi="Calibri" w:cs="Calibri"/>
          <w:b/>
          <w:bCs/>
          <w:color w:val="000000"/>
        </w:rPr>
        <w:t>Celková výše stálého měsíčního platu bude dodavatelem uvedena v</w:t>
      </w:r>
      <w:r w:rsidR="00CC1A63">
        <w:rPr>
          <w:rFonts w:ascii="Calibri" w:hAnsi="Calibri" w:cs="Calibri"/>
          <w:b/>
          <w:bCs/>
          <w:color w:val="000000"/>
        </w:rPr>
        <w:t> </w:t>
      </w:r>
      <w:r w:rsidR="002857BF" w:rsidRPr="007F78AF">
        <w:rPr>
          <w:rFonts w:ascii="Calibri" w:hAnsi="Calibri" w:cs="Calibri"/>
          <w:b/>
          <w:bCs/>
          <w:color w:val="000000"/>
        </w:rPr>
        <w:t>krycím listu nabídky dle přílohy č. 1b zadávací</w:t>
      </w:r>
      <w:r w:rsidR="00CC1A63">
        <w:rPr>
          <w:rFonts w:ascii="Calibri" w:hAnsi="Calibri" w:cs="Calibri"/>
          <w:b/>
          <w:bCs/>
          <w:color w:val="000000"/>
        </w:rPr>
        <w:t xml:space="preserve"> dokumentace</w:t>
      </w:r>
      <w:r w:rsidR="002857BF">
        <w:rPr>
          <w:rFonts w:ascii="Calibri" w:hAnsi="Calibri" w:cs="Calibri"/>
          <w:color w:val="000000"/>
        </w:rPr>
        <w:t>.</w:t>
      </w:r>
    </w:p>
    <w:p w14:paraId="7A82CB21" w14:textId="1A2A6344" w:rsidR="007D0A4E" w:rsidRDefault="007D0A4E" w:rsidP="007F78A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Nabídky se pak seřadí vzestupně od nabídky s nejnižší celkovou nabídkovou cenou v Kč bez DPH po nabídku s nejvyšší celkovou nabídkovou cenou</w:t>
      </w:r>
      <w:r w:rsidR="00291149">
        <w:rPr>
          <w:rFonts w:ascii="Calibri" w:hAnsi="Calibri" w:cs="Calibri"/>
          <w:sz w:val="22"/>
          <w:szCs w:val="22"/>
          <w:lang w:val="cs-CZ" w:eastAsia="cs-CZ"/>
        </w:rPr>
        <w:t xml:space="preserve"> v Kč bez DPH</w:t>
      </w:r>
      <w:r>
        <w:rPr>
          <w:rFonts w:ascii="Calibri" w:hAnsi="Calibri" w:cs="Calibri"/>
          <w:sz w:val="22"/>
          <w:szCs w:val="22"/>
          <w:lang w:val="cs-CZ" w:eastAsia="cs-CZ"/>
        </w:rPr>
        <w:t xml:space="preserve">. </w:t>
      </w:r>
    </w:p>
    <w:p w14:paraId="06B7AE92" w14:textId="3AB35F0C" w:rsidR="007D0A4E" w:rsidRDefault="007D0A4E" w:rsidP="007F78AF">
      <w:pPr>
        <w:pStyle w:val="bno"/>
        <w:spacing w:before="120" w:after="0" w:line="276" w:lineRule="auto"/>
        <w:ind w:left="0"/>
        <w:rPr>
          <w:rFonts w:asciiTheme="minorHAnsi" w:hAnsiTheme="minorHAnsi"/>
          <w:sz w:val="22"/>
          <w:szCs w:val="22"/>
          <w:lang w:val="cs-CZ" w:eastAsia="cs-CZ"/>
        </w:rPr>
      </w:pPr>
      <w:r>
        <w:rPr>
          <w:rFonts w:ascii="Calibri" w:hAnsi="Calibri" w:cs="Calibri"/>
          <w:sz w:val="22"/>
          <w:szCs w:val="22"/>
          <w:lang w:val="cs-CZ" w:eastAsia="cs-CZ"/>
        </w:rPr>
        <w:t>Smlouva v rámci dané části veřejné zakázky bude uzavřena s dodavatelem, jehož nabídka se umístí na prvním místě (s nejnižší celkovou nabídkovou cenou</w:t>
      </w:r>
      <w:r w:rsidR="0017541C">
        <w:rPr>
          <w:rFonts w:ascii="Calibri" w:hAnsi="Calibri" w:cs="Calibri"/>
          <w:sz w:val="22"/>
          <w:szCs w:val="22"/>
          <w:lang w:val="cs-CZ" w:eastAsia="cs-CZ"/>
        </w:rPr>
        <w:t xml:space="preserve"> v Kč bez DPH</w:t>
      </w:r>
      <w:r>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60E76F8A"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sidR="007F0BA4">
        <w:rPr>
          <w:rFonts w:cs="Arial"/>
        </w:rPr>
        <w:t>v</w:t>
      </w:r>
      <w:r>
        <w:rPr>
          <w:rFonts w:cs="Arial"/>
        </w:rPr>
        <w:t>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1FFB71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7F0BA4">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má být plněna prostřednictvím poddodavatele (ideálně vyjádřeno procenty odpovídajícími poměru finančního objemu poddodávky k finančnímu objemu celé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a stručným popisem části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 xml:space="preserve">adávacího řízení v nabídce uvedl identifikační údaje každého poddodavatele, pokud jsou účastníkovi známi (včetně uvedení, jakou část </w:t>
      </w:r>
      <w:r w:rsidR="00466B2E">
        <w:rPr>
          <w:rFonts w:asciiTheme="minorHAnsi" w:hAnsiTheme="minorHAnsi" w:cs="Arial"/>
          <w:sz w:val="22"/>
          <w:szCs w:val="22"/>
        </w:rPr>
        <w:t>v</w:t>
      </w:r>
      <w:r w:rsidRPr="00FF72D0">
        <w:rPr>
          <w:rFonts w:asciiTheme="minorHAnsi" w:hAnsiTheme="minorHAnsi" w:cs="Arial"/>
          <w:sz w:val="22"/>
          <w:szCs w:val="22"/>
        </w:rPr>
        <w:t>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0C4225D7" w:rsidR="00925266" w:rsidRPr="00E20E5E" w:rsidRDefault="007B6266" w:rsidP="00DF37AE">
      <w:pPr>
        <w:spacing w:before="120"/>
        <w:ind w:hanging="11"/>
        <w:rPr>
          <w:rFonts w:cs="Tahoma"/>
          <w:b/>
          <w:bCs/>
        </w:rPr>
      </w:pPr>
      <w:r w:rsidRPr="00E20E5E">
        <w:rPr>
          <w:rFonts w:cs="Tahoma"/>
          <w:b/>
          <w:bCs/>
          <w:szCs w:val="24"/>
        </w:rPr>
        <w:lastRenderedPageBreak/>
        <w:t xml:space="preserve">V případě, že účastník seznam poddodavatelského plnění v nabídce nepředloží, má se za to, že </w:t>
      </w:r>
      <w:r w:rsidR="002E1EFF">
        <w:rPr>
          <w:rFonts w:cs="Tahoma"/>
          <w:b/>
          <w:bCs/>
          <w:szCs w:val="24"/>
        </w:rPr>
        <w:t xml:space="preserve">ke dni uzavření </w:t>
      </w:r>
      <w:r w:rsidR="00B41E05">
        <w:rPr>
          <w:rFonts w:cs="Tahoma"/>
          <w:b/>
          <w:bCs/>
          <w:szCs w:val="24"/>
        </w:rPr>
        <w:t>Smlouvy</w:t>
      </w:r>
      <w:r w:rsidR="002E1EFF">
        <w:rPr>
          <w:rFonts w:cs="Tahoma"/>
          <w:b/>
          <w:bCs/>
          <w:szCs w:val="24"/>
        </w:rPr>
        <w:t xml:space="preserve"> </w:t>
      </w:r>
      <w:r w:rsidRPr="00E20E5E">
        <w:rPr>
          <w:rFonts w:cs="Tahoma"/>
          <w:b/>
          <w:bCs/>
          <w:szCs w:val="24"/>
        </w:rPr>
        <w:t>neplánuje využít poddodavatele.</w:t>
      </w:r>
    </w:p>
    <w:p w14:paraId="2A59FC40" w14:textId="6A6B35F6"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466B2E">
        <w:rPr>
          <w:rFonts w:asciiTheme="minorHAnsi" w:hAnsiTheme="minorHAnsi" w:cs="Tahoma"/>
          <w:sz w:val="22"/>
          <w:szCs w:val="24"/>
        </w:rPr>
        <w:t>5</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BF9CA0"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B41E05">
        <w:rPr>
          <w:rFonts w:asciiTheme="minorHAnsi" w:hAnsiTheme="minorHAnsi" w:cs="Arial"/>
          <w:sz w:val="22"/>
          <w:szCs w:val="22"/>
        </w:rPr>
        <w:t>Smlouvy</w:t>
      </w:r>
      <w:r w:rsidRPr="000808D4">
        <w:rPr>
          <w:rFonts w:asciiTheme="minorHAnsi" w:hAnsiTheme="minorHAnsi" w:cs="Arial"/>
          <w:sz w:val="22"/>
          <w:szCs w:val="22"/>
        </w:rPr>
        <w:t xml:space="preserve">,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55427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6B58A26A"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B41E05">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t>Střet zájmů</w:t>
      </w:r>
    </w:p>
    <w:p w14:paraId="51B31A26" w14:textId="1F33D95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554270">
        <w:rPr>
          <w:rFonts w:asciiTheme="minorHAnsi" w:hAnsiTheme="minorHAnsi" w:cs="Arial"/>
          <w:sz w:val="22"/>
          <w:szCs w:val="22"/>
        </w:rPr>
        <w:t>7</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11"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2" w:name="_Hlk51233192"/>
      <w:bookmarkEnd w:id="11"/>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2"/>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lastRenderedPageBreak/>
        <w:t xml:space="preserve">Veškeré doklady či prohlášení, u nichž je vyžadován podpis dodavatele, musí být podepsány statutárním orgánem dodavatele nebo osobou oprávněnou jednat za dodavatele. </w:t>
      </w:r>
    </w:p>
    <w:p w14:paraId="549361EE" w14:textId="77777777" w:rsidR="005613E7" w:rsidRPr="00A27A22"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558C1141" w14:textId="6A715097" w:rsidR="00FF066F" w:rsidRPr="00D91C68" w:rsidRDefault="00FF066F" w:rsidP="001F7F80">
      <w:pPr>
        <w:pStyle w:val="Nadpis2"/>
        <w:keepNext/>
        <w:ind w:left="936" w:hanging="431"/>
      </w:pPr>
      <w:bookmarkStart w:id="14" w:name="_Ref95325236"/>
      <w:r w:rsidRPr="00D91C68">
        <w:t>Požadavky na členění nabídky</w:t>
      </w:r>
      <w:bookmarkEnd w:id="13"/>
      <w:bookmarkEnd w:id="14"/>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3FA150EB" w:rsidR="008E01D1" w:rsidRPr="0018607C" w:rsidRDefault="008E01D1" w:rsidP="00891920">
      <w:pPr>
        <w:pStyle w:val="Odrky"/>
        <w:jc w:val="both"/>
      </w:pPr>
      <w:r>
        <w:t xml:space="preserve">Krycí list </w:t>
      </w:r>
      <w:r w:rsidRPr="0018607C">
        <w:t xml:space="preserve">nabídky dle přílohy č. </w:t>
      </w:r>
      <w:r w:rsidR="00E452FB" w:rsidRPr="0018607C">
        <w:t>1</w:t>
      </w:r>
      <w:r w:rsidR="000F7F30">
        <w:t>a nebo 1b</w:t>
      </w:r>
      <w:r w:rsidRPr="0018607C">
        <w:t xml:space="preserve"> </w:t>
      </w:r>
      <w:r w:rsidR="00963A1A">
        <w:t>z</w:t>
      </w:r>
      <w:r w:rsidRPr="0018607C">
        <w:t>adávací dokumentace</w:t>
      </w:r>
      <w:bookmarkStart w:id="15" w:name="_Hlk95410068"/>
      <w:r w:rsidR="00891920">
        <w:t xml:space="preserve"> </w:t>
      </w:r>
      <w:r w:rsidR="00891920">
        <w:rPr>
          <w:rFonts w:ascii="Calibri" w:hAnsi="Calibri" w:cs="Calibri"/>
        </w:rPr>
        <w:t>vč. uvedení nabídkové ceny (podle toho, na kterou část zakázky dodavatel podává nabídku) – přikládá se pro každou část zakázky samostatně</w:t>
      </w:r>
      <w:r w:rsidRPr="0018607C">
        <w:t>;</w:t>
      </w:r>
      <w:bookmarkEnd w:id="15"/>
    </w:p>
    <w:p w14:paraId="602C13BB" w14:textId="77777777" w:rsidR="00C06D7F" w:rsidRDefault="00C06D7F" w:rsidP="00C06D7F">
      <w:pPr>
        <w:pStyle w:val="Odrky"/>
        <w:jc w:val="both"/>
      </w:pPr>
      <w:r>
        <w:t>Návrh smlouvy dodavatele – podává-li dodavatel nabídku na obě části, předloží dva Návrhy smlouvy, a to pro každou část zakázky samostatně;</w:t>
      </w:r>
    </w:p>
    <w:p w14:paraId="0073418C" w14:textId="75200EA1" w:rsidR="00FF066F" w:rsidRDefault="004B1B60" w:rsidP="009C1E9D">
      <w:pPr>
        <w:pStyle w:val="Odrky"/>
        <w:jc w:val="both"/>
      </w:pPr>
      <w:r w:rsidRPr="0018607C">
        <w:t>Doklady k prokázání kvalifikace</w:t>
      </w:r>
      <w:r w:rsidR="009C1E9D" w:rsidRPr="009C1E9D">
        <w:rPr>
          <w:rFonts w:ascii="Calibri" w:hAnsi="Calibri" w:cs="Calibri"/>
        </w:rPr>
        <w:t xml:space="preserve"> </w:t>
      </w:r>
      <w:r w:rsidR="009C1E9D">
        <w:rPr>
          <w:rFonts w:ascii="Calibri" w:hAnsi="Calibri" w:cs="Calibri"/>
        </w:rPr>
        <w:t>dle čl. 4 zadávací dokumentace a přílohy č. 4 zadávací dokumentace – v případě podání nabídky na obě části veřejné zakázky postačuje předložit doklady k prokázání kvalifikace pouze jednou</w:t>
      </w:r>
      <w:r w:rsidR="005613E7" w:rsidRPr="0018607C">
        <w:t>;</w:t>
      </w:r>
    </w:p>
    <w:p w14:paraId="572D2EEF" w14:textId="7886167D" w:rsidR="005B30A4" w:rsidRDefault="00172E72" w:rsidP="00C041A2">
      <w:pPr>
        <w:pStyle w:val="Odrky"/>
        <w:jc w:val="both"/>
      </w:pPr>
      <w:r>
        <w:t>Čestné prohlášení ve vztahu k mezinárodním sankcím</w:t>
      </w:r>
      <w:r w:rsidR="00902342">
        <w:t xml:space="preserve"> dle přílohy č.</w:t>
      </w:r>
      <w:r w:rsidR="00554270">
        <w:t xml:space="preserve"> 6</w:t>
      </w:r>
      <w:r w:rsidR="00902342">
        <w:t xml:space="preserve"> </w:t>
      </w:r>
      <w:r w:rsidR="00172FB0">
        <w:t>z</w:t>
      </w:r>
      <w:r w:rsidR="00902342">
        <w:t>adávací dokumentace</w:t>
      </w:r>
      <w:r w:rsidR="00C041A2">
        <w:rPr>
          <w:rFonts w:ascii="Calibri" w:hAnsi="Calibri" w:cs="Calibri"/>
        </w:rPr>
        <w:t xml:space="preserve"> - v případě podání nabídky na obě části veřejné zakázky postačuje předložit pouze jednou</w:t>
      </w:r>
      <w:r w:rsidR="00902342">
        <w:t>;</w:t>
      </w:r>
    </w:p>
    <w:p w14:paraId="56E5AA08" w14:textId="07E9494B" w:rsidR="005B30A4" w:rsidRPr="00C45D37" w:rsidRDefault="005B30A4" w:rsidP="005B30A4">
      <w:pPr>
        <w:pStyle w:val="Odrky"/>
      </w:pPr>
      <w:r>
        <w:t xml:space="preserve">Čestné prohlášení o neexistenci střetu zájmů dle přílohy č. </w:t>
      </w:r>
      <w:r w:rsidR="00554270">
        <w:t>7</w:t>
      </w:r>
      <w:r>
        <w:t xml:space="preserve"> zadávací dokumentace</w:t>
      </w:r>
      <w:r w:rsidR="00C041A2">
        <w:t xml:space="preserve"> - </w:t>
      </w:r>
      <w:r w:rsidR="00C041A2">
        <w:rPr>
          <w:rFonts w:ascii="Calibri" w:hAnsi="Calibri" w:cs="Calibri"/>
        </w:rPr>
        <w:t>v případě podání nabídky na obě části veřejné zakázky postačuje předložit pouze jednou</w:t>
      </w:r>
      <w:r>
        <w:t>;</w:t>
      </w:r>
    </w:p>
    <w:p w14:paraId="649CAB52"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69655EA6" w14:textId="0175D2D0" w:rsidR="00FF066F" w:rsidRDefault="00FF066F" w:rsidP="00B547E6">
      <w:pPr>
        <w:pStyle w:val="Odrky"/>
        <w:rPr>
          <w:rFonts w:cs="Calibri"/>
        </w:rPr>
      </w:pPr>
      <w:r>
        <w:t>Seznam poddodavatelského plnění</w:t>
      </w:r>
      <w:r w:rsidR="00C041A2">
        <w:t xml:space="preserve"> dle </w:t>
      </w:r>
      <w:r w:rsidR="00507C8F">
        <w:t xml:space="preserve">přílohy č. </w:t>
      </w:r>
      <w:r w:rsidR="00D03B69">
        <w:t>5</w:t>
      </w:r>
      <w:r w:rsidR="00507C8F">
        <w:t xml:space="preserve"> </w:t>
      </w:r>
      <w:r w:rsidR="006C6C1F">
        <w:t>z</w:t>
      </w:r>
      <w:r w:rsidR="00507C8F">
        <w:t>adávací dokumentace,</w:t>
      </w:r>
      <w:r w:rsidR="00800934">
        <w:t xml:space="preserve"> pokud je relevantní</w:t>
      </w:r>
      <w:r>
        <w:rPr>
          <w:rFonts w:cs="Calibri"/>
        </w:rPr>
        <w:t>;</w:t>
      </w:r>
    </w:p>
    <w:p w14:paraId="70ECFBCA" w14:textId="4DC0041B" w:rsidR="00FF066F" w:rsidRPr="00871A74" w:rsidRDefault="009A65E8" w:rsidP="00B547E6">
      <w:pPr>
        <w:pStyle w:val="Odrky"/>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6"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2"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495BB4BF"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35398F">
        <w:rPr>
          <w:sz w:val="22"/>
          <w:lang w:eastAsia="cs-CZ"/>
        </w:rPr>
        <w:t>z</w:t>
      </w:r>
      <w:r w:rsidRPr="0069211C">
        <w:rPr>
          <w:sz w:val="22"/>
          <w:lang w:eastAsia="cs-CZ"/>
        </w:rPr>
        <w:t>adávací dokumentace.</w:t>
      </w:r>
    </w:p>
    <w:p w14:paraId="07D5CC3A" w14:textId="3ACFC26E"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35398F">
        <w:rPr>
          <w:rFonts w:eastAsia="Times New Roman" w:cs="Arial"/>
          <w:bCs/>
        </w:rPr>
        <w:t>8</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1C7AEEE4" w14:textId="2E2A2914" w:rsidR="006A36BB" w:rsidRDefault="006A36BB" w:rsidP="006A36BB">
      <w:pPr>
        <w:keepNext/>
        <w:jc w:val="center"/>
        <w:rPr>
          <w:rFonts w:ascii="Calibri" w:eastAsia="Times New Roman" w:hAnsi="Calibri" w:cs="Calibri"/>
          <w:b/>
          <w:bCs/>
          <w:sz w:val="32"/>
          <w:lang w:eastAsia="cs-CZ"/>
        </w:rPr>
      </w:pPr>
      <w:r>
        <w:rPr>
          <w:rFonts w:ascii="Calibri" w:eastAsia="Times New Roman" w:hAnsi="Calibri" w:cs="Calibri"/>
          <w:b/>
          <w:bCs/>
          <w:sz w:val="32"/>
          <w:lang w:eastAsia="cs-CZ"/>
        </w:rPr>
        <w:t xml:space="preserve">Lhůta pro podání nabídek </w:t>
      </w:r>
      <w:r w:rsidR="00E60A1C">
        <w:rPr>
          <w:rFonts w:ascii="Calibri" w:eastAsia="Times New Roman" w:hAnsi="Calibri" w:cs="Calibri"/>
          <w:b/>
          <w:bCs/>
          <w:sz w:val="32"/>
          <w:lang w:eastAsia="cs-CZ"/>
        </w:rPr>
        <w:t xml:space="preserve">pro obě části </w:t>
      </w:r>
      <w:r>
        <w:rPr>
          <w:rFonts w:ascii="Calibri" w:eastAsia="Times New Roman" w:hAnsi="Calibri" w:cs="Calibri"/>
          <w:b/>
          <w:bCs/>
          <w:sz w:val="32"/>
          <w:lang w:eastAsia="cs-CZ"/>
        </w:rPr>
        <w:t xml:space="preserve">končí </w:t>
      </w:r>
    </w:p>
    <w:p w14:paraId="332B5B6C" w14:textId="5968E67A" w:rsidR="006A36BB" w:rsidRDefault="008213A5" w:rsidP="006A36BB">
      <w:pPr>
        <w:jc w:val="center"/>
        <w:rPr>
          <w:rFonts w:ascii="Calibri" w:eastAsia="Times New Roman" w:hAnsi="Calibri" w:cs="Calibri"/>
          <w:b/>
          <w:bCs/>
          <w:sz w:val="32"/>
          <w:lang w:eastAsia="cs-CZ"/>
        </w:rPr>
      </w:pPr>
      <w:r w:rsidRPr="006D3019">
        <w:rPr>
          <w:rFonts w:ascii="Calibri" w:hAnsi="Calibri" w:cs="Calibri"/>
          <w:b/>
          <w:bCs/>
          <w:snapToGrid w:val="0"/>
          <w:sz w:val="32"/>
        </w:rPr>
        <w:t>1</w:t>
      </w:r>
      <w:r w:rsidR="006D3019" w:rsidRPr="006D3019">
        <w:rPr>
          <w:rFonts w:ascii="Calibri" w:hAnsi="Calibri" w:cs="Calibri"/>
          <w:b/>
          <w:bCs/>
          <w:snapToGrid w:val="0"/>
          <w:sz w:val="32"/>
        </w:rPr>
        <w:t>6</w:t>
      </w:r>
      <w:r w:rsidR="006A36BB" w:rsidRPr="006D3019">
        <w:rPr>
          <w:rFonts w:ascii="Calibri" w:hAnsi="Calibri" w:cs="Calibri"/>
          <w:b/>
          <w:bCs/>
          <w:snapToGrid w:val="0"/>
          <w:sz w:val="32"/>
        </w:rPr>
        <w:t xml:space="preserve">. </w:t>
      </w:r>
      <w:r w:rsidRPr="006D3019">
        <w:rPr>
          <w:rFonts w:ascii="Calibri" w:hAnsi="Calibri" w:cs="Calibri"/>
          <w:b/>
          <w:bCs/>
          <w:snapToGrid w:val="0"/>
          <w:sz w:val="32"/>
        </w:rPr>
        <w:t>10</w:t>
      </w:r>
      <w:r w:rsidR="006A36BB" w:rsidRPr="006D3019">
        <w:rPr>
          <w:rFonts w:ascii="Calibri" w:hAnsi="Calibri" w:cs="Calibri"/>
          <w:b/>
          <w:bCs/>
          <w:snapToGrid w:val="0"/>
          <w:sz w:val="32"/>
        </w:rPr>
        <w:t>. 2023 v 10:</w:t>
      </w:r>
      <w:r w:rsidR="006A36BB" w:rsidRPr="00596813">
        <w:rPr>
          <w:rFonts w:ascii="Calibri" w:hAnsi="Calibri" w:cs="Calibri"/>
          <w:b/>
          <w:bCs/>
          <w:snapToGrid w:val="0"/>
          <w:sz w:val="32"/>
        </w:rPr>
        <w:t>00 hodin</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lastRenderedPageBreak/>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6"/>
    <w:p w14:paraId="003652D5" w14:textId="77777777" w:rsidR="00B547E6" w:rsidRPr="0069211C" w:rsidRDefault="00B547E6" w:rsidP="00B41E05">
      <w:pPr>
        <w:pStyle w:val="Nadpis2"/>
        <w:keepNext/>
        <w:ind w:left="998" w:hanging="431"/>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1E98C841"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na</w:t>
      </w:r>
      <w:r w:rsidR="008B5430">
        <w:rPr>
          <w:rFonts w:eastAsia="Times New Roman" w:cs="Arial"/>
          <w:bCs/>
          <w:lang w:eastAsia="cs-CZ"/>
        </w:rPr>
        <w:t xml:space="preserve"> každou část</w:t>
      </w:r>
      <w:r w:rsidR="00B040C7" w:rsidRPr="0069211C">
        <w:rPr>
          <w:rFonts w:eastAsia="Times New Roman" w:cs="Arial"/>
          <w:bCs/>
          <w:lang w:eastAsia="cs-CZ"/>
        </w:rPr>
        <w:t xml:space="preserve"> </w:t>
      </w:r>
      <w:r w:rsidR="008B5430">
        <w:rPr>
          <w:rFonts w:eastAsia="Times New Roman" w:cs="Arial"/>
          <w:bCs/>
          <w:lang w:eastAsia="cs-CZ"/>
        </w:rPr>
        <w:t>v</w:t>
      </w:r>
      <w:r w:rsidRPr="0069211C">
        <w:rPr>
          <w:rFonts w:eastAsia="Times New Roman" w:cs="Arial"/>
          <w:bCs/>
          <w:lang w:eastAsia="cs-CZ"/>
        </w:rPr>
        <w:t>eřejn</w:t>
      </w:r>
      <w:r w:rsidR="008B5430">
        <w:rPr>
          <w:rFonts w:eastAsia="Times New Roman" w:cs="Arial"/>
          <w:bCs/>
          <w:lang w:eastAsia="cs-CZ"/>
        </w:rPr>
        <w:t>é</w:t>
      </w:r>
      <w:r w:rsidRPr="0069211C">
        <w:rPr>
          <w:rFonts w:eastAsia="Times New Roman" w:cs="Arial"/>
          <w:bCs/>
          <w:lang w:eastAsia="cs-CZ"/>
        </w:rPr>
        <w:t xml:space="preserve"> zakázk</w:t>
      </w:r>
      <w:r w:rsidR="008B5430">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253F18">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253F18">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V případě porušení těchto povinností Zadavatel přistoupí k vyloučení účastníka z</w:t>
      </w:r>
      <w:r w:rsidR="00253F18">
        <w:rPr>
          <w:rFonts w:eastAsia="Times New Roman" w:cs="Arial"/>
          <w:bCs/>
          <w:lang w:eastAsia="cs-CZ"/>
        </w:rPr>
        <w:t> příslušné části</w:t>
      </w:r>
      <w:r w:rsidR="008E01D1" w:rsidRPr="0069211C">
        <w:rPr>
          <w:rFonts w:eastAsia="Times New Roman" w:cs="Arial"/>
          <w:bCs/>
          <w:lang w:eastAsia="cs-CZ"/>
        </w:rPr>
        <w:t xml:space="preserve"> </w:t>
      </w:r>
      <w:r w:rsidR="00253F18">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603E06DF"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3"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F27E75" w:rsidRPr="00C72B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300996F2"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6112BC">
        <w:rPr>
          <w:rFonts w:cs="Arial"/>
          <w:b/>
          <w:bCs/>
        </w:rPr>
        <w:t>7</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E44C99">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2CB3C534" w:rsidR="00E20E5E" w:rsidRPr="00C36268" w:rsidRDefault="00C36268" w:rsidP="00C36268">
      <w:pPr>
        <w:pStyle w:val="text-nov"/>
        <w:rPr>
          <w:rFonts w:asciiTheme="minorHAnsi" w:hAnsiTheme="minorHAnsi"/>
          <w:sz w:val="22"/>
          <w:szCs w:val="22"/>
        </w:rPr>
      </w:pPr>
      <w:r w:rsidRPr="00C36268">
        <w:rPr>
          <w:rFonts w:asciiTheme="minorHAnsi" w:hAnsiTheme="minorHAnsi"/>
          <w:sz w:val="22"/>
          <w:szCs w:val="22"/>
        </w:rPr>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48CE587A" w:rsidR="00264773" w:rsidRDefault="00264773" w:rsidP="003810E1">
      <w:pPr>
        <w:pStyle w:val="Nadpis2"/>
        <w:keepNext/>
        <w:ind w:left="998" w:hanging="431"/>
        <w:rPr>
          <w:color w:val="000000"/>
        </w:rPr>
      </w:pPr>
      <w:r>
        <w:lastRenderedPageBreak/>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45E7814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7BEE8C87" w:rsidR="004C51F1" w:rsidRDefault="00E3220C" w:rsidP="00E3220C">
      <w:pPr>
        <w:pStyle w:val="slovn2"/>
        <w:numPr>
          <w:ilvl w:val="0"/>
          <w:numId w:val="0"/>
        </w:numPr>
        <w:contextualSpacing w:val="0"/>
      </w:pPr>
      <w:r w:rsidRPr="00732633">
        <w:t xml:space="preserve">Zadavatel upozorňuje, že vyloučí vybraného dodavatele, </w:t>
      </w:r>
      <w:r w:rsidR="00C66802">
        <w:t>který nepředložil výše uvedené údaje, doklady nebo vzorky dle požadavků Zadavatele</w:t>
      </w:r>
      <w:r w:rsidR="004C51F1" w:rsidRPr="004C51F1">
        <w:t>.</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05F93F19"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5030F0">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14153974" w:rsidR="00B547E6" w:rsidRDefault="00294C38" w:rsidP="00890492">
      <w:pPr>
        <w:pStyle w:val="psemnodrky"/>
        <w:numPr>
          <w:ilvl w:val="0"/>
          <w:numId w:val="10"/>
        </w:numPr>
      </w:pPr>
      <w:r>
        <w:t xml:space="preserve">právo </w:t>
      </w:r>
      <w:r w:rsidR="00B547E6" w:rsidRPr="00DD5531">
        <w:t xml:space="preserve">upřesnit nebo změnit ve lhůtě pro podání nabídek zadávací podmínky </w:t>
      </w:r>
      <w:r w:rsidR="005030F0">
        <w:t>v</w:t>
      </w:r>
      <w:r w:rsidR="00B547E6" w:rsidRPr="00DD5531">
        <w:t>eřejné zakázky;</w:t>
      </w:r>
    </w:p>
    <w:p w14:paraId="394CA804" w14:textId="60C957F1" w:rsidR="007674B9" w:rsidRPr="00DD5531" w:rsidRDefault="007674B9" w:rsidP="00890492">
      <w:pPr>
        <w:pStyle w:val="psemnodrky"/>
        <w:numPr>
          <w:ilvl w:val="0"/>
          <w:numId w:val="10"/>
        </w:numPr>
      </w:pPr>
      <w:r w:rsidRPr="007674B9">
        <w:t xml:space="preserve">právo uveřejnit oznámení o vyloučení účastníka zadávacího řízení nebo oznámení o výběru dodavatele na profilu </w:t>
      </w:r>
      <w:r>
        <w:t>Z</w:t>
      </w:r>
      <w:r w:rsidRPr="007674B9">
        <w:t>adavatele</w:t>
      </w:r>
      <w:r>
        <w:t>;</w:t>
      </w:r>
    </w:p>
    <w:p w14:paraId="116E4125" w14:textId="26035694"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v</w:t>
      </w:r>
      <w:r w:rsidR="00AA5E8E">
        <w:t> </w:t>
      </w:r>
      <w:r w:rsidR="00AA5E8E" w:rsidRPr="00AA5E8E">
        <w:t xml:space="preserve">seznamu </w:t>
      </w:r>
      <w:r w:rsidR="00146F08">
        <w:t>dodávek</w:t>
      </w:r>
      <w:r w:rsidR="00C86015">
        <w:t>;</w:t>
      </w:r>
    </w:p>
    <w:p w14:paraId="4DC5E8BB" w14:textId="62159FD9" w:rsidR="00B547E6" w:rsidRPr="00DD5531" w:rsidRDefault="000943DE" w:rsidP="00696DE6">
      <w:pPr>
        <w:pStyle w:val="psemnodrky"/>
      </w:pPr>
      <w:r>
        <w:t xml:space="preserve">právo </w:t>
      </w:r>
      <w:r w:rsidRPr="00DD5531">
        <w:t xml:space="preserve">uveřejnit uzavřenou </w:t>
      </w:r>
      <w:r w:rsidR="0065417E">
        <w:t>Smlouvu</w:t>
      </w:r>
      <w:r w:rsidRPr="00DD5531">
        <w:t xml:space="preserve"> včetně jejích příloh a dodatků a skutečně uhrazené ceny na profilu Zadavatele v souladu s § 219 ZZVZ a uveřejnit uzavřenou </w:t>
      </w:r>
      <w:r w:rsidR="0065417E">
        <w:t>Smlouvu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66757876" w:rsidR="004234C1" w:rsidRDefault="00B27CC7" w:rsidP="00696DE6">
      <w:pPr>
        <w:pStyle w:val="psemnodrky"/>
      </w:pPr>
      <w:r>
        <w:t xml:space="preserve">právo </w:t>
      </w:r>
      <w:r w:rsidR="00B547E6" w:rsidRPr="00DD5531">
        <w:t xml:space="preserve">vyloučit účastníky </w:t>
      </w:r>
      <w:r w:rsidR="005030F0">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 xml:space="preserve">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w:t>
      </w:r>
      <w:r w:rsidR="00B547E6" w:rsidRPr="00DD5531">
        <w:lastRenderedPageBreak/>
        <w:t>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22A842A7" w14:textId="54B7CD47" w:rsidR="00637BA7" w:rsidRDefault="00CC0180" w:rsidP="00890492">
      <w:pPr>
        <w:pStyle w:val="slovn"/>
        <w:numPr>
          <w:ilvl w:val="0"/>
          <w:numId w:val="8"/>
        </w:numPr>
        <w:spacing w:after="0"/>
        <w:ind w:left="851"/>
      </w:pPr>
      <w:bookmarkStart w:id="27" w:name="_Ref380758048"/>
      <w:r w:rsidRPr="00084847">
        <w:t>Krycí list nabídky</w:t>
      </w:r>
      <w:r w:rsidR="006778EC">
        <w:t>:</w:t>
      </w:r>
    </w:p>
    <w:p w14:paraId="24B59681" w14:textId="50852BBD" w:rsidR="006778EC" w:rsidRDefault="006778EC" w:rsidP="006778EC">
      <w:pPr>
        <w:pStyle w:val="slovn"/>
        <w:numPr>
          <w:ilvl w:val="0"/>
          <w:numId w:val="0"/>
        </w:numPr>
        <w:spacing w:after="0"/>
        <w:ind w:left="851"/>
      </w:pPr>
      <w:r>
        <w:t>Příloha 1a – Krycí list pro část 1 – VO</w:t>
      </w:r>
    </w:p>
    <w:p w14:paraId="1C095251" w14:textId="097FC6F2" w:rsidR="006778EC" w:rsidRPr="00084847" w:rsidRDefault="006778EC" w:rsidP="006778EC">
      <w:pPr>
        <w:pStyle w:val="slovn"/>
        <w:numPr>
          <w:ilvl w:val="0"/>
          <w:numId w:val="0"/>
        </w:numPr>
        <w:spacing w:after="0"/>
        <w:ind w:left="851"/>
      </w:pPr>
      <w:r>
        <w:t>Příloha 1b – Krycí list pro část 2 - MO</w:t>
      </w:r>
    </w:p>
    <w:bookmarkEnd w:id="27"/>
    <w:p w14:paraId="5EA20CD0" w14:textId="5B3DC1C9" w:rsidR="00BD13B8" w:rsidRDefault="00BD13B8" w:rsidP="00BF4641">
      <w:pPr>
        <w:pStyle w:val="slovn"/>
        <w:spacing w:after="0"/>
      </w:pPr>
      <w:r>
        <w:t>Seznam odběrných míst pro dodávky v režimu velkoodběr</w:t>
      </w:r>
    </w:p>
    <w:p w14:paraId="1892BC8E" w14:textId="0E0B982E" w:rsidR="00BD13B8" w:rsidRPr="00BD13B8" w:rsidRDefault="00BD13B8" w:rsidP="00BF4641">
      <w:pPr>
        <w:pStyle w:val="slovn"/>
        <w:spacing w:after="0"/>
      </w:pPr>
      <w:r>
        <w:t>Seznam odběrných míst pro dodávky v režimu maloodběr</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0B09C5B1" w14:textId="09751B60" w:rsidR="00372EA6" w:rsidRDefault="00372EA6" w:rsidP="001A7A97">
      <w:pPr>
        <w:pStyle w:val="slovn"/>
        <w:spacing w:after="0"/>
      </w:pPr>
      <w:r>
        <w:t>Vzor seznamu poddodavatelského plnění</w:t>
      </w:r>
    </w:p>
    <w:p w14:paraId="0167EB96" w14:textId="43C5819A"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744C245B" w14:textId="77777777" w:rsidR="00BD13B8" w:rsidRDefault="00BD13B8" w:rsidP="00BD13B8">
      <w:pPr>
        <w:pStyle w:val="slovn"/>
        <w:spacing w:after="0"/>
      </w:pPr>
      <w:r w:rsidRPr="00E936E6">
        <w:t xml:space="preserve">Požadavky na </w:t>
      </w:r>
      <w:r w:rsidRPr="00E472E8">
        <w:t>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E60EE88" w:rsidR="00FF1118" w:rsidRPr="000E7EEE" w:rsidRDefault="00FF1118" w:rsidP="000E7EEE">
      <w:pPr>
        <w:widowControl w:val="0"/>
        <w:jc w:val="left"/>
        <w:rPr>
          <w:rFonts w:cstheme="minorHAnsi"/>
          <w:b/>
          <w:bCs/>
        </w:rPr>
      </w:pPr>
      <w:r w:rsidRPr="000E7EEE">
        <w:rPr>
          <w:rFonts w:cstheme="minorHAnsi"/>
          <w:b/>
          <w:bCs/>
        </w:rPr>
        <w:lastRenderedPageBreak/>
        <w:t>Příloha č. 1</w:t>
      </w:r>
      <w:r w:rsidR="008D189E">
        <w:rPr>
          <w:rFonts w:cstheme="minorHAnsi"/>
          <w:b/>
          <w:bCs/>
        </w:rPr>
        <w:t>a</w:t>
      </w:r>
    </w:p>
    <w:p w14:paraId="28861EFE" w14:textId="2451ABAA" w:rsidR="001F7F80" w:rsidRPr="000D0AD3" w:rsidRDefault="001F7F80" w:rsidP="001F7F80">
      <w:pPr>
        <w:spacing w:before="360"/>
        <w:contextualSpacing/>
        <w:jc w:val="center"/>
        <w:rPr>
          <w:b/>
          <w:sz w:val="40"/>
        </w:rPr>
      </w:pPr>
      <w:r w:rsidRPr="000D0AD3">
        <w:rPr>
          <w:b/>
          <w:sz w:val="40"/>
        </w:rPr>
        <w:t>KRYCÍ LIST NABÍDKY</w:t>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340972A3" w14:textId="0D0F588A" w:rsidR="007547ED" w:rsidRDefault="005831B2" w:rsidP="005831B2">
      <w:pPr>
        <w:jc w:val="center"/>
        <w:rPr>
          <w:b/>
          <w:caps/>
          <w:color w:val="E36C0A" w:themeColor="accent6" w:themeShade="BF"/>
          <w:sz w:val="40"/>
        </w:rPr>
      </w:pPr>
      <w:r w:rsidRPr="005831B2">
        <w:rPr>
          <w:b/>
          <w:color w:val="E36C0A" w:themeColor="accent6" w:themeShade="BF"/>
          <w:sz w:val="40"/>
        </w:rPr>
        <w:t>DODÁVKY PLYNU NA ROK 2024</w:t>
      </w:r>
      <w:r>
        <w:rPr>
          <w:b/>
          <w:caps/>
          <w:color w:val="E36C0A" w:themeColor="accent6" w:themeShade="BF"/>
          <w:sz w:val="40"/>
        </w:rPr>
        <w:t xml:space="preserve"> </w:t>
      </w:r>
    </w:p>
    <w:p w14:paraId="4C701AA9" w14:textId="5ED0C8ED" w:rsidR="0069399C" w:rsidRPr="005A0818" w:rsidRDefault="0069399C" w:rsidP="005831B2">
      <w:pPr>
        <w:jc w:val="center"/>
        <w:rPr>
          <w:b/>
          <w:caps/>
          <w:color w:val="E36C0A" w:themeColor="accent6" w:themeShade="BF"/>
          <w:sz w:val="40"/>
        </w:rPr>
      </w:pPr>
      <w:r>
        <w:rPr>
          <w:b/>
          <w:caps/>
          <w:color w:val="E36C0A" w:themeColor="accent6" w:themeShade="BF"/>
          <w:sz w:val="40"/>
        </w:rPr>
        <w:t>Část 1 – velkoodběr (VO)</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42F12F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506EC1">
        <w:rPr>
          <w:rFonts w:eastAsia="Times New Roman" w:cs="Arial"/>
          <w:lang w:eastAsia="cs-CZ"/>
        </w:rPr>
        <w:t> </w:t>
      </w:r>
      <w:r w:rsidRPr="00485DC9">
        <w:rPr>
          <w:rFonts w:eastAsia="Times New Roman" w:cs="Arial"/>
          <w:lang w:eastAsia="cs-CZ"/>
        </w:rPr>
        <w:t>503</w:t>
      </w:r>
    </w:p>
    <w:p w14:paraId="13047888" w14:textId="5B8A70AF"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2"/>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20EAAE46" w:rsidR="001F7F80" w:rsidRDefault="005831B2" w:rsidP="005831B2">
      <w:pPr>
        <w:pStyle w:val="Nadpis2"/>
        <w:numPr>
          <w:ilvl w:val="0"/>
          <w:numId w:val="0"/>
        </w:numPr>
        <w:rPr>
          <w:lang w:eastAsia="cs-CZ"/>
        </w:rPr>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416"/>
        <w:gridCol w:w="3764"/>
      </w:tblGrid>
      <w:tr w:rsidR="00935937" w:rsidRPr="001A50E0" w14:paraId="1DABADEB" w14:textId="77777777" w:rsidTr="00935937">
        <w:tc>
          <w:tcPr>
            <w:tcW w:w="5416" w:type="dxa"/>
            <w:shd w:val="clear" w:color="auto" w:fill="auto"/>
            <w:vAlign w:val="center"/>
          </w:tcPr>
          <w:p w14:paraId="7DA7E218" w14:textId="6FC09662" w:rsidR="00935937" w:rsidRPr="000E7D16" w:rsidRDefault="00935937" w:rsidP="00061774">
            <w:pPr>
              <w:spacing w:before="40" w:after="40" w:line="240" w:lineRule="auto"/>
              <w:rPr>
                <w:b/>
                <w:lang w:eastAsia="cs-CZ"/>
              </w:rPr>
            </w:pPr>
            <w:r>
              <w:rPr>
                <w:b/>
                <w:lang w:eastAsia="cs-CZ"/>
              </w:rPr>
              <w:t>Nabídková cena za 1 MWh v KČ bez DPH pro velkoodběr</w:t>
            </w:r>
          </w:p>
        </w:tc>
        <w:tc>
          <w:tcPr>
            <w:tcW w:w="3764" w:type="dxa"/>
            <w:shd w:val="clear" w:color="auto" w:fill="auto"/>
            <w:vAlign w:val="center"/>
          </w:tcPr>
          <w:p w14:paraId="2C99A715" w14:textId="77777777" w:rsidR="00935937" w:rsidRPr="001A50E0" w:rsidRDefault="00935937" w:rsidP="00061774">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17B53337"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smlouvy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5831B2" w:rsidRPr="005831B2">
        <w:rPr>
          <w:rFonts w:eastAsia="Times New Roman" w:cs="Arial"/>
          <w:i/>
          <w:iCs/>
          <w:lang w:eastAsia="cs-CZ"/>
        </w:rPr>
        <w:t>D</w:t>
      </w:r>
      <w:r w:rsidR="005831B2">
        <w:rPr>
          <w:rFonts w:eastAsia="Times New Roman" w:cs="Arial"/>
          <w:i/>
          <w:iCs/>
          <w:lang w:eastAsia="cs-CZ"/>
        </w:rPr>
        <w:t>odávky plynu na rok</w:t>
      </w:r>
      <w:r w:rsidR="005831B2" w:rsidRPr="005831B2">
        <w:rPr>
          <w:rFonts w:eastAsia="Times New Roman" w:cs="Arial"/>
          <w:i/>
          <w:iCs/>
          <w:lang w:eastAsia="cs-CZ"/>
        </w:rPr>
        <w:t xml:space="preserve"> 2024</w:t>
      </w:r>
      <w:r w:rsidR="007B4002" w:rsidRPr="003D67D8">
        <w:rPr>
          <w:rFonts w:eastAsia="Times New Roman" w:cs="Arial"/>
          <w:i/>
          <w:iCs/>
          <w:lang w:eastAsia="cs-CZ"/>
        </w:rPr>
        <w:t>“</w:t>
      </w:r>
      <w:r w:rsidR="00F27E75" w:rsidRPr="00A65937">
        <w:rPr>
          <w:rFonts w:eastAsia="Times New Roman" w:cs="Arial"/>
          <w:lang w:eastAsia="cs-CZ"/>
        </w:rPr>
        <w:t>.</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podmínky uvedené</w:t>
      </w:r>
      <w:r w:rsidR="007B4002" w:rsidRPr="007B4002">
        <w:rPr>
          <w:rFonts w:eastAsia="Times New Roman" w:cs="Arial"/>
          <w:lang w:eastAsia="cs-CZ"/>
        </w:rPr>
        <w:t xml:space="preserve"> v zadávací dokumentaci tohoto zadávacího řízení. Prohlašujeme, že podáním této nabídky nabízíme realizaci </w:t>
      </w:r>
      <w:r w:rsidR="005831B2">
        <w:rPr>
          <w:rFonts w:eastAsia="Times New Roman" w:cs="Arial"/>
          <w:lang w:eastAsia="cs-CZ"/>
        </w:rPr>
        <w:t>smlouvy</w:t>
      </w:r>
      <w:r w:rsidR="007B4002" w:rsidRPr="007B4002">
        <w:rPr>
          <w:rFonts w:eastAsia="Times New Roman" w:cs="Arial"/>
          <w:lang w:eastAsia="cs-CZ"/>
        </w:rPr>
        <w:t xml:space="preserve"> na veřejnou zakázku v souladu se zadávací dokumentací</w:t>
      </w:r>
      <w:r w:rsidR="004F2874">
        <w:rPr>
          <w:rFonts w:eastAsia="Times New Roman" w:cs="Arial"/>
          <w:lang w:eastAsia="cs-CZ"/>
        </w:rPr>
        <w:t xml:space="preserve"> a</w:t>
      </w:r>
      <w:r w:rsidR="003810E1">
        <w:rPr>
          <w:rFonts w:eastAsia="Times New Roman" w:cs="Arial"/>
          <w:lang w:eastAsia="cs-CZ"/>
        </w:rPr>
        <w:t> </w:t>
      </w:r>
      <w:r w:rsidR="007B4002" w:rsidRPr="007B4002">
        <w:rPr>
          <w:rFonts w:eastAsia="Times New Roman" w:cs="Arial"/>
          <w:lang w:eastAsia="cs-CZ"/>
        </w:rPr>
        <w:t>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název účastníka</w:t>
      </w:r>
      <w:r w:rsidRPr="00FE753A">
        <w:rPr>
          <w:rFonts w:cs="Arial"/>
          <w:szCs w:val="20"/>
          <w:highlight w:val="green"/>
        </w:rPr>
        <w:t xml:space="preserve">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účastníka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oprávnění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7DC1882" w14:textId="6D1EB2BA" w:rsidR="00196C15" w:rsidRPr="00935937" w:rsidRDefault="00196C15" w:rsidP="00935937">
      <w:pPr>
        <w:spacing w:after="200"/>
        <w:jc w:val="left"/>
      </w:pPr>
      <w:r>
        <w:rPr>
          <w:rFonts w:cstheme="minorHAnsi"/>
        </w:rPr>
        <w:br w:type="page"/>
      </w:r>
    </w:p>
    <w:p w14:paraId="7D42985B" w14:textId="6AFA4378" w:rsidR="0069399C" w:rsidRPr="000E7EEE" w:rsidRDefault="0069399C" w:rsidP="0069399C">
      <w:pPr>
        <w:widowControl w:val="0"/>
        <w:jc w:val="left"/>
        <w:rPr>
          <w:rFonts w:cstheme="minorHAnsi"/>
          <w:b/>
          <w:bCs/>
        </w:rPr>
      </w:pPr>
      <w:r w:rsidRPr="000E7EEE">
        <w:rPr>
          <w:rFonts w:cstheme="minorHAnsi"/>
          <w:b/>
          <w:bCs/>
        </w:rPr>
        <w:lastRenderedPageBreak/>
        <w:t>Příloha č. 1</w:t>
      </w:r>
      <w:r w:rsidR="00366007">
        <w:rPr>
          <w:rFonts w:cstheme="minorHAnsi"/>
          <w:b/>
          <w:bCs/>
        </w:rPr>
        <w:t>b</w:t>
      </w:r>
    </w:p>
    <w:p w14:paraId="7EDBE23A" w14:textId="70502891" w:rsidR="0069399C" w:rsidRPr="000D0AD3" w:rsidRDefault="0069399C" w:rsidP="0069399C">
      <w:pPr>
        <w:spacing w:before="360"/>
        <w:contextualSpacing/>
        <w:jc w:val="center"/>
        <w:rPr>
          <w:b/>
          <w:sz w:val="40"/>
        </w:rPr>
      </w:pPr>
      <w:r w:rsidRPr="000D0AD3">
        <w:rPr>
          <w:b/>
          <w:sz w:val="40"/>
        </w:rPr>
        <w:t>KRYCÍ LIST NABÍDKY</w:t>
      </w:r>
    </w:p>
    <w:p w14:paraId="5482BEFC" w14:textId="77777777" w:rsidR="0069399C" w:rsidRPr="006E0B8E" w:rsidRDefault="0069399C" w:rsidP="0069399C">
      <w:pPr>
        <w:jc w:val="center"/>
        <w:rPr>
          <w:rFonts w:eastAsia="Times New Roman" w:cs="Arial"/>
          <w:szCs w:val="24"/>
          <w:lang w:eastAsia="cs-CZ"/>
        </w:rPr>
      </w:pPr>
      <w:r w:rsidRPr="006E0B8E">
        <w:rPr>
          <w:rFonts w:eastAsia="Times New Roman" w:cs="Arial"/>
          <w:szCs w:val="24"/>
          <w:lang w:eastAsia="cs-CZ"/>
        </w:rPr>
        <w:t xml:space="preserve">podané v řízení na veřejnou zakázku </w:t>
      </w:r>
    </w:p>
    <w:p w14:paraId="36E5A363" w14:textId="77777777" w:rsidR="0069399C" w:rsidRDefault="0069399C" w:rsidP="0069399C">
      <w:pPr>
        <w:jc w:val="center"/>
        <w:rPr>
          <w:b/>
          <w:caps/>
          <w:color w:val="E36C0A" w:themeColor="accent6" w:themeShade="BF"/>
          <w:sz w:val="40"/>
        </w:rPr>
      </w:pPr>
      <w:r w:rsidRPr="005831B2">
        <w:rPr>
          <w:b/>
          <w:color w:val="E36C0A" w:themeColor="accent6" w:themeShade="BF"/>
          <w:sz w:val="40"/>
        </w:rPr>
        <w:t>DODÁVKY PLYNU NA ROK 2024</w:t>
      </w:r>
      <w:r>
        <w:rPr>
          <w:b/>
          <w:caps/>
          <w:color w:val="E36C0A" w:themeColor="accent6" w:themeShade="BF"/>
          <w:sz w:val="40"/>
        </w:rPr>
        <w:t xml:space="preserve"> </w:t>
      </w:r>
    </w:p>
    <w:p w14:paraId="4E5BF779" w14:textId="12811EEA" w:rsidR="00366007" w:rsidRPr="005A0818" w:rsidRDefault="00366007" w:rsidP="0069399C">
      <w:pPr>
        <w:jc w:val="center"/>
        <w:rPr>
          <w:b/>
          <w:caps/>
          <w:color w:val="E36C0A" w:themeColor="accent6" w:themeShade="BF"/>
          <w:sz w:val="40"/>
        </w:rPr>
      </w:pPr>
      <w:r>
        <w:rPr>
          <w:b/>
          <w:caps/>
          <w:color w:val="E36C0A" w:themeColor="accent6" w:themeShade="BF"/>
          <w:sz w:val="40"/>
        </w:rPr>
        <w:t>Část 2 – maloodběr (MO)</w:t>
      </w:r>
    </w:p>
    <w:p w14:paraId="22B9DEA4" w14:textId="77777777" w:rsidR="0069399C" w:rsidRPr="005F305F" w:rsidRDefault="0069399C" w:rsidP="0069399C">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4F9EEC9B" w14:textId="77777777" w:rsidR="0069399C" w:rsidRPr="005F305F" w:rsidRDefault="0069399C" w:rsidP="0069399C">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EE7C489" w14:textId="77777777" w:rsidR="0069399C" w:rsidRPr="00580784" w:rsidRDefault="0069399C" w:rsidP="0069399C">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00BD0DB1" w14:textId="77777777" w:rsidR="0069399C" w:rsidRDefault="0069399C" w:rsidP="0069399C">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2C6BA546" w14:textId="77777777" w:rsidTr="006F2CFA">
        <w:tc>
          <w:tcPr>
            <w:tcW w:w="2977" w:type="dxa"/>
            <w:shd w:val="clear" w:color="auto" w:fill="auto"/>
            <w:vAlign w:val="center"/>
          </w:tcPr>
          <w:p w14:paraId="6FC2E403" w14:textId="77777777" w:rsidR="0069399C" w:rsidRPr="000E7D16" w:rsidRDefault="0069399C" w:rsidP="006F2CFA">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B24772" w14:textId="77777777" w:rsidR="0069399C" w:rsidRPr="001A50E0" w:rsidRDefault="0069399C" w:rsidP="006F2CF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69399C" w14:paraId="51E5EE18" w14:textId="77777777" w:rsidTr="006F2CFA">
        <w:tc>
          <w:tcPr>
            <w:tcW w:w="2977" w:type="dxa"/>
            <w:shd w:val="clear" w:color="auto" w:fill="auto"/>
            <w:vAlign w:val="center"/>
          </w:tcPr>
          <w:p w14:paraId="38B0457F" w14:textId="77777777" w:rsidR="0069399C" w:rsidRDefault="0069399C" w:rsidP="006F2CFA">
            <w:pPr>
              <w:spacing w:before="40" w:after="40" w:line="240" w:lineRule="auto"/>
              <w:rPr>
                <w:lang w:eastAsia="cs-CZ"/>
              </w:rPr>
            </w:pPr>
            <w:r>
              <w:rPr>
                <w:lang w:eastAsia="cs-CZ"/>
              </w:rPr>
              <w:t>IČ:</w:t>
            </w:r>
          </w:p>
        </w:tc>
        <w:tc>
          <w:tcPr>
            <w:tcW w:w="6203" w:type="dxa"/>
            <w:shd w:val="clear" w:color="auto" w:fill="auto"/>
          </w:tcPr>
          <w:p w14:paraId="5D66F58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BFDD7E" w14:textId="77777777" w:rsidTr="006F2CFA">
        <w:tc>
          <w:tcPr>
            <w:tcW w:w="2977" w:type="dxa"/>
            <w:shd w:val="clear" w:color="auto" w:fill="auto"/>
            <w:vAlign w:val="center"/>
          </w:tcPr>
          <w:p w14:paraId="7CEBF571" w14:textId="77777777" w:rsidR="0069399C" w:rsidRDefault="0069399C" w:rsidP="006F2CFA">
            <w:pPr>
              <w:spacing w:before="40" w:after="40" w:line="240" w:lineRule="auto"/>
              <w:rPr>
                <w:lang w:eastAsia="cs-CZ"/>
              </w:rPr>
            </w:pPr>
            <w:r>
              <w:rPr>
                <w:lang w:eastAsia="cs-CZ"/>
              </w:rPr>
              <w:t>DIČ:</w:t>
            </w:r>
          </w:p>
        </w:tc>
        <w:tc>
          <w:tcPr>
            <w:tcW w:w="6203" w:type="dxa"/>
            <w:shd w:val="clear" w:color="auto" w:fill="auto"/>
          </w:tcPr>
          <w:p w14:paraId="0333F162"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518031DF" w14:textId="77777777" w:rsidTr="006F2CFA">
        <w:tc>
          <w:tcPr>
            <w:tcW w:w="2977" w:type="dxa"/>
            <w:shd w:val="clear" w:color="auto" w:fill="auto"/>
            <w:vAlign w:val="center"/>
          </w:tcPr>
          <w:p w14:paraId="2DA12104" w14:textId="77777777" w:rsidR="0069399C" w:rsidRDefault="0069399C" w:rsidP="006F2CFA">
            <w:pPr>
              <w:spacing w:before="40" w:after="40" w:line="240" w:lineRule="auto"/>
              <w:rPr>
                <w:lang w:eastAsia="cs-CZ"/>
              </w:rPr>
            </w:pPr>
            <w:r>
              <w:rPr>
                <w:lang w:eastAsia="cs-CZ"/>
              </w:rPr>
              <w:t>Sídlo:</w:t>
            </w:r>
          </w:p>
        </w:tc>
        <w:tc>
          <w:tcPr>
            <w:tcW w:w="6203" w:type="dxa"/>
            <w:shd w:val="clear" w:color="auto" w:fill="auto"/>
          </w:tcPr>
          <w:p w14:paraId="197C52C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036EB18C" w14:textId="77777777" w:rsidTr="006F2CFA">
        <w:tc>
          <w:tcPr>
            <w:tcW w:w="2977" w:type="dxa"/>
            <w:shd w:val="clear" w:color="auto" w:fill="auto"/>
            <w:vAlign w:val="center"/>
          </w:tcPr>
          <w:p w14:paraId="3E061DD7" w14:textId="77777777" w:rsidR="0069399C" w:rsidRDefault="0069399C" w:rsidP="006F2CFA">
            <w:pPr>
              <w:spacing w:before="40" w:after="40" w:line="240" w:lineRule="auto"/>
              <w:rPr>
                <w:lang w:eastAsia="cs-CZ"/>
              </w:rPr>
            </w:pPr>
            <w:r>
              <w:rPr>
                <w:lang w:eastAsia="cs-CZ"/>
              </w:rPr>
              <w:t>Zastoupený:</w:t>
            </w:r>
          </w:p>
        </w:tc>
        <w:tc>
          <w:tcPr>
            <w:tcW w:w="6203" w:type="dxa"/>
            <w:shd w:val="clear" w:color="auto" w:fill="auto"/>
          </w:tcPr>
          <w:p w14:paraId="0BB3952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2C64DA" w14:textId="77777777" w:rsidTr="006F2CFA">
        <w:tc>
          <w:tcPr>
            <w:tcW w:w="2977" w:type="dxa"/>
            <w:shd w:val="clear" w:color="auto" w:fill="auto"/>
            <w:vAlign w:val="center"/>
          </w:tcPr>
          <w:p w14:paraId="489E054D" w14:textId="77777777" w:rsidR="0069399C" w:rsidRDefault="0069399C" w:rsidP="006F2CFA">
            <w:pPr>
              <w:spacing w:before="40" w:after="40" w:line="240" w:lineRule="auto"/>
              <w:rPr>
                <w:lang w:eastAsia="cs-CZ"/>
              </w:rPr>
            </w:pPr>
            <w:r>
              <w:rPr>
                <w:lang w:eastAsia="cs-CZ"/>
              </w:rPr>
              <w:t>Zapsaný:</w:t>
            </w:r>
          </w:p>
        </w:tc>
        <w:tc>
          <w:tcPr>
            <w:tcW w:w="6203" w:type="dxa"/>
            <w:shd w:val="clear" w:color="auto" w:fill="auto"/>
          </w:tcPr>
          <w:p w14:paraId="713E32B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405541D5" w14:textId="77777777" w:rsidTr="006F2CFA">
        <w:tc>
          <w:tcPr>
            <w:tcW w:w="2977" w:type="dxa"/>
            <w:shd w:val="clear" w:color="auto" w:fill="auto"/>
            <w:vAlign w:val="center"/>
          </w:tcPr>
          <w:p w14:paraId="1425FF67" w14:textId="77777777" w:rsidR="0069399C" w:rsidRDefault="0069399C" w:rsidP="006F2CFA">
            <w:pPr>
              <w:spacing w:before="40" w:after="40" w:line="240" w:lineRule="auto"/>
              <w:rPr>
                <w:lang w:eastAsia="cs-CZ"/>
              </w:rPr>
            </w:pPr>
            <w:r>
              <w:rPr>
                <w:lang w:eastAsia="cs-CZ"/>
              </w:rPr>
              <w:t>Telefon:</w:t>
            </w:r>
          </w:p>
        </w:tc>
        <w:tc>
          <w:tcPr>
            <w:tcW w:w="6203" w:type="dxa"/>
            <w:shd w:val="clear" w:color="auto" w:fill="auto"/>
          </w:tcPr>
          <w:p w14:paraId="10C3BDC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00D25CD" w14:textId="77777777" w:rsidTr="006F2CFA">
        <w:tc>
          <w:tcPr>
            <w:tcW w:w="2977" w:type="dxa"/>
            <w:shd w:val="clear" w:color="auto" w:fill="auto"/>
            <w:vAlign w:val="center"/>
          </w:tcPr>
          <w:p w14:paraId="21CB527C" w14:textId="77777777" w:rsidR="0069399C" w:rsidRDefault="0069399C" w:rsidP="006F2CFA">
            <w:pPr>
              <w:spacing w:before="40" w:after="40" w:line="240" w:lineRule="auto"/>
              <w:rPr>
                <w:lang w:eastAsia="cs-CZ"/>
              </w:rPr>
            </w:pPr>
            <w:r>
              <w:rPr>
                <w:lang w:eastAsia="cs-CZ"/>
              </w:rPr>
              <w:t xml:space="preserve">E-mail: </w:t>
            </w:r>
          </w:p>
        </w:tc>
        <w:tc>
          <w:tcPr>
            <w:tcW w:w="6203" w:type="dxa"/>
            <w:shd w:val="clear" w:color="auto" w:fill="auto"/>
          </w:tcPr>
          <w:p w14:paraId="10282B2D"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18F9E03D" w14:textId="77777777" w:rsidTr="006F2CFA">
        <w:tc>
          <w:tcPr>
            <w:tcW w:w="2977" w:type="dxa"/>
            <w:shd w:val="clear" w:color="auto" w:fill="auto"/>
            <w:vAlign w:val="center"/>
          </w:tcPr>
          <w:p w14:paraId="43701C1D" w14:textId="77777777" w:rsidR="0069399C" w:rsidRDefault="0069399C" w:rsidP="006F2CFA">
            <w:pPr>
              <w:spacing w:before="40" w:after="40" w:line="240" w:lineRule="auto"/>
              <w:rPr>
                <w:lang w:eastAsia="cs-CZ"/>
              </w:rPr>
            </w:pPr>
            <w:r>
              <w:rPr>
                <w:lang w:eastAsia="cs-CZ"/>
              </w:rPr>
              <w:t>Číslo bankovního účtu:</w:t>
            </w:r>
          </w:p>
        </w:tc>
        <w:tc>
          <w:tcPr>
            <w:tcW w:w="6203" w:type="dxa"/>
            <w:shd w:val="clear" w:color="auto" w:fill="auto"/>
          </w:tcPr>
          <w:p w14:paraId="3EF35B14" w14:textId="77777777" w:rsidR="0069399C" w:rsidRPr="000E7D16" w:rsidRDefault="0069399C" w:rsidP="006F2CFA">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451C530F" w14:textId="77777777" w:rsidR="0069399C" w:rsidRPr="00BE5EAF" w:rsidRDefault="0069399C" w:rsidP="0069399C">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71A553FE" w14:textId="77777777" w:rsidTr="006F2CFA">
        <w:tc>
          <w:tcPr>
            <w:tcW w:w="2977" w:type="dxa"/>
            <w:shd w:val="clear" w:color="auto" w:fill="auto"/>
            <w:vAlign w:val="center"/>
          </w:tcPr>
          <w:p w14:paraId="6AAB4A8D"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857F6D6"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1C257FA5" w14:textId="77777777" w:rsidTr="006F2CFA">
        <w:tc>
          <w:tcPr>
            <w:tcW w:w="2977" w:type="dxa"/>
            <w:shd w:val="clear" w:color="auto" w:fill="auto"/>
            <w:vAlign w:val="center"/>
          </w:tcPr>
          <w:p w14:paraId="6E9438D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754D2BD"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655AC4D6" w14:textId="77777777" w:rsidTr="006F2CFA">
        <w:tc>
          <w:tcPr>
            <w:tcW w:w="2977" w:type="dxa"/>
            <w:shd w:val="clear" w:color="auto" w:fill="auto"/>
            <w:vAlign w:val="center"/>
          </w:tcPr>
          <w:p w14:paraId="659E8E64"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EC98E0A"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663E3037" w14:textId="77777777" w:rsidR="0069399C" w:rsidRPr="00BE5EAF" w:rsidRDefault="0069399C" w:rsidP="0069399C">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3E0CCE9A" w14:textId="77777777" w:rsidTr="006F2CFA">
        <w:tc>
          <w:tcPr>
            <w:tcW w:w="2977" w:type="dxa"/>
            <w:shd w:val="clear" w:color="auto" w:fill="auto"/>
            <w:vAlign w:val="center"/>
          </w:tcPr>
          <w:p w14:paraId="7ACC8C16"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14272D98"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0541204B" w14:textId="77777777" w:rsidTr="006F2CFA">
        <w:tc>
          <w:tcPr>
            <w:tcW w:w="2977" w:type="dxa"/>
            <w:shd w:val="clear" w:color="auto" w:fill="auto"/>
            <w:vAlign w:val="center"/>
          </w:tcPr>
          <w:p w14:paraId="0C5EAE2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74B0D12"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490B4A20" w14:textId="77777777" w:rsidTr="006F2CFA">
        <w:tc>
          <w:tcPr>
            <w:tcW w:w="2977" w:type="dxa"/>
            <w:shd w:val="clear" w:color="auto" w:fill="auto"/>
            <w:vAlign w:val="center"/>
          </w:tcPr>
          <w:p w14:paraId="2E808BEE"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484E329"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1278A3C" w14:textId="77777777" w:rsidR="0069399C" w:rsidRDefault="0069399C" w:rsidP="0069399C">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02E47095" w14:textId="77777777" w:rsidTr="006F2CFA">
        <w:tc>
          <w:tcPr>
            <w:tcW w:w="2977" w:type="dxa"/>
            <w:shd w:val="clear" w:color="auto" w:fill="auto"/>
            <w:vAlign w:val="center"/>
          </w:tcPr>
          <w:p w14:paraId="74EF0D1D" w14:textId="77777777" w:rsidR="0069399C" w:rsidRPr="000E7D16" w:rsidRDefault="0069399C" w:rsidP="006F2C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11D71244" w14:textId="77777777" w:rsidR="0069399C" w:rsidRDefault="0069399C" w:rsidP="006F2CFA">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0BFA83F" w14:textId="77777777" w:rsidR="0069399C" w:rsidRDefault="0069399C" w:rsidP="0069399C">
      <w:pPr>
        <w:pStyle w:val="Nadpis2"/>
        <w:numPr>
          <w:ilvl w:val="0"/>
          <w:numId w:val="0"/>
        </w:numPr>
        <w:rPr>
          <w:lang w:eastAsia="cs-CZ"/>
        </w:rPr>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54143" w14:paraId="43A7FE0E"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279DCCB8" w14:textId="5AADF417" w:rsidR="00154143" w:rsidRDefault="00154143">
            <w:pPr>
              <w:spacing w:before="60" w:after="60" w:line="240" w:lineRule="auto"/>
              <w:rPr>
                <w:b/>
                <w:lang w:eastAsia="cs-CZ"/>
              </w:rPr>
            </w:pPr>
            <w:r>
              <w:rPr>
                <w:b/>
                <w:lang w:eastAsia="cs-CZ"/>
              </w:rPr>
              <w:t>Nabídková cena za 1 MWh v KČ bez DPH pro maloodběr</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BC36FE1" w14:textId="77777777" w:rsidR="00154143" w:rsidRDefault="00154143">
            <w:pPr>
              <w:spacing w:before="60" w:after="60" w:line="240" w:lineRule="auto"/>
              <w:rPr>
                <w:lang w:eastAsia="cs-CZ"/>
              </w:rPr>
            </w:pPr>
            <w:r>
              <w:rPr>
                <w:rFonts w:eastAsia="Times New Roman" w:cs="Arial"/>
                <w:highlight w:val="green"/>
                <w:lang w:eastAsia="cs-CZ"/>
              </w:rPr>
              <w:t>[DOPLNÍ DODAVATEL]</w:t>
            </w:r>
            <w:r>
              <w:rPr>
                <w:rFonts w:eastAsia="Times New Roman" w:cs="Arial"/>
                <w:lang w:eastAsia="cs-CZ"/>
              </w:rPr>
              <w:t>,- Kč bez DPH</w:t>
            </w:r>
          </w:p>
        </w:tc>
      </w:tr>
      <w:tr w:rsidR="00154143" w14:paraId="78A54152"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1ECA278B" w14:textId="77777777" w:rsidR="00154143" w:rsidRPr="00585C9A" w:rsidRDefault="00154143">
            <w:pPr>
              <w:spacing w:before="60" w:after="60" w:line="240" w:lineRule="auto"/>
              <w:rPr>
                <w:rFonts w:ascii="Calibri" w:hAnsi="Calibri" w:cs="Calibri"/>
                <w:b/>
                <w:bCs/>
                <w:color w:val="000000"/>
              </w:rPr>
            </w:pPr>
            <w:r w:rsidRPr="00585C9A">
              <w:rPr>
                <w:rFonts w:ascii="Calibri" w:hAnsi="Calibri" w:cs="Calibri"/>
                <w:b/>
                <w:bCs/>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4C5BCBC6" w14:textId="77777777" w:rsidR="00154143" w:rsidRDefault="00154143">
            <w:pPr>
              <w:spacing w:before="60" w:after="60" w:line="240" w:lineRule="auto"/>
              <w:rPr>
                <w:rFonts w:eastAsia="Times New Roman" w:cs="Arial"/>
                <w:highlight w:val="green"/>
                <w:lang w:eastAsia="cs-CZ"/>
              </w:rPr>
            </w:pPr>
            <w:r>
              <w:rPr>
                <w:rFonts w:eastAsia="Times New Roman" w:cs="Arial"/>
                <w:highlight w:val="green"/>
                <w:lang w:eastAsia="cs-CZ"/>
              </w:rPr>
              <w:t>[DOPLNÍ DODAVATEL]</w:t>
            </w:r>
            <w:r>
              <w:rPr>
                <w:rFonts w:eastAsia="Times New Roman" w:cs="Arial"/>
                <w:lang w:eastAsia="cs-CZ"/>
              </w:rPr>
              <w:t>,- Kč bez DPH</w:t>
            </w:r>
          </w:p>
        </w:tc>
      </w:tr>
      <w:tr w:rsidR="00154143" w14:paraId="21CA1233"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76C7D12F" w14:textId="18A86CF0" w:rsidR="00154143" w:rsidRPr="00585C9A" w:rsidRDefault="00154143">
            <w:pPr>
              <w:spacing w:before="60" w:after="60" w:line="240" w:lineRule="auto"/>
              <w:rPr>
                <w:rFonts w:ascii="Calibri" w:hAnsi="Calibri" w:cs="Calibri"/>
                <w:b/>
                <w:bCs/>
                <w:color w:val="000000"/>
              </w:rPr>
            </w:pPr>
            <w:r w:rsidRPr="00585C9A">
              <w:rPr>
                <w:b/>
                <w:bCs/>
              </w:rPr>
              <w:t xml:space="preserve">Celková výše stálého měsíčního platu v Kč bez DPH (za </w:t>
            </w:r>
            <w:r w:rsidR="002530B7" w:rsidRPr="00585C9A">
              <w:rPr>
                <w:b/>
                <w:bCs/>
              </w:rPr>
              <w:t>1</w:t>
            </w:r>
            <w:r w:rsidRPr="00585C9A">
              <w:rPr>
                <w:b/>
                <w:bCs/>
              </w:rPr>
              <w:t>0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AB0F594" w14:textId="77777777" w:rsidR="00154143" w:rsidRDefault="00154143">
            <w:pPr>
              <w:spacing w:before="60" w:after="60" w:line="240" w:lineRule="auto"/>
              <w:rPr>
                <w:rFonts w:eastAsia="Times New Roman" w:cs="Arial"/>
                <w:highlight w:val="green"/>
                <w:lang w:eastAsia="cs-CZ"/>
              </w:rPr>
            </w:pPr>
            <w:r>
              <w:rPr>
                <w:rFonts w:eastAsia="Times New Roman" w:cs="Arial"/>
                <w:highlight w:val="green"/>
                <w:lang w:eastAsia="cs-CZ"/>
              </w:rPr>
              <w:t>[DOPLNÍ DODAVATEL]</w:t>
            </w:r>
            <w:r>
              <w:rPr>
                <w:rFonts w:eastAsia="Times New Roman" w:cs="Arial"/>
                <w:lang w:eastAsia="cs-CZ"/>
              </w:rPr>
              <w:t>,- Kč bez DPH</w:t>
            </w:r>
          </w:p>
        </w:tc>
      </w:tr>
    </w:tbl>
    <w:p w14:paraId="18DE8001" w14:textId="77777777" w:rsidR="00585C9A" w:rsidRDefault="00585C9A" w:rsidP="00585C9A">
      <w:pPr>
        <w:widowControl w:val="0"/>
        <w:autoSpaceDE w:val="0"/>
        <w:autoSpaceDN w:val="0"/>
        <w:adjustRightInd w:val="0"/>
        <w:spacing w:before="120"/>
        <w:outlineLvl w:val="0"/>
        <w:rPr>
          <w:i/>
          <w:iCs/>
          <w:lang w:eastAsia="cs-CZ"/>
        </w:rPr>
      </w:pPr>
      <w:r>
        <w:rPr>
          <w:i/>
          <w:iCs/>
          <w:lang w:eastAsia="cs-CZ"/>
        </w:rPr>
        <w:t>*Údaje označeny * jsou předmětem hodnocení nabídek</w:t>
      </w:r>
    </w:p>
    <w:p w14:paraId="394605AA" w14:textId="77777777" w:rsidR="0069399C" w:rsidRPr="00997F1E" w:rsidRDefault="0069399C" w:rsidP="0069399C">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4E542426" w14:textId="008224F9" w:rsidR="0069399C" w:rsidRDefault="0069399C" w:rsidP="0069399C">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w:t>
      </w:r>
      <w:r w:rsidRPr="00A65937">
        <w:rPr>
          <w:rFonts w:eastAsia="Times New Roman" w:cs="Arial"/>
          <w:lang w:eastAsia="cs-CZ"/>
        </w:rPr>
        <w:t xml:space="preserve">nabídky prohlašujeme, že jsme se seznámili se zněním zadávací dokumentace na uzavření smlouvy na veřejnou zakázku s názvem </w:t>
      </w:r>
      <w:r w:rsidRPr="006E0B8E">
        <w:rPr>
          <w:rFonts w:eastAsia="Times New Roman" w:cs="Arial"/>
          <w:i/>
          <w:iCs/>
          <w:lang w:eastAsia="cs-CZ"/>
        </w:rPr>
        <w:t>„</w:t>
      </w:r>
      <w:r w:rsidRPr="005831B2">
        <w:rPr>
          <w:rFonts w:eastAsia="Times New Roman" w:cs="Arial"/>
          <w:i/>
          <w:iCs/>
          <w:lang w:eastAsia="cs-CZ"/>
        </w:rPr>
        <w:t>D</w:t>
      </w:r>
      <w:r>
        <w:rPr>
          <w:rFonts w:eastAsia="Times New Roman" w:cs="Arial"/>
          <w:i/>
          <w:iCs/>
          <w:lang w:eastAsia="cs-CZ"/>
        </w:rPr>
        <w:t>odávky plynu na rok</w:t>
      </w:r>
      <w:r w:rsidRPr="005831B2">
        <w:rPr>
          <w:rFonts w:eastAsia="Times New Roman" w:cs="Arial"/>
          <w:i/>
          <w:iCs/>
          <w:lang w:eastAsia="cs-CZ"/>
        </w:rPr>
        <w:t xml:space="preserve"> 2024</w:t>
      </w:r>
      <w:r w:rsidRPr="003D67D8">
        <w:rPr>
          <w:rFonts w:eastAsia="Times New Roman" w:cs="Arial"/>
          <w:i/>
          <w:iCs/>
          <w:lang w:eastAsia="cs-CZ"/>
        </w:rPr>
        <w:t>“</w:t>
      </w:r>
      <w:r w:rsidRPr="00A65937">
        <w:rPr>
          <w:rFonts w:eastAsia="Times New Roman" w:cs="Arial"/>
          <w:lang w:eastAsia="cs-CZ"/>
        </w:rPr>
        <w:t>. Akceptujeme všechny obchodní, technické a další podmínky uvedené</w:t>
      </w:r>
      <w:r w:rsidRPr="007B4002">
        <w:rPr>
          <w:rFonts w:eastAsia="Times New Roman" w:cs="Arial"/>
          <w:lang w:eastAsia="cs-CZ"/>
        </w:rPr>
        <w:t xml:space="preserve"> v zadávací dokumentaci tohoto zadávacího řízení. Prohlašujeme, že podáním této nabídky nabízíme realizaci </w:t>
      </w:r>
      <w:r>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 </w:t>
      </w:r>
      <w:r w:rsidRPr="007B4002">
        <w:rPr>
          <w:rFonts w:eastAsia="Times New Roman" w:cs="Arial"/>
          <w:lang w:eastAsia="cs-CZ"/>
        </w:rPr>
        <w:t>touto nabídkou</w:t>
      </w:r>
      <w:r>
        <w:rPr>
          <w:rFonts w:eastAsia="Times New Roman" w:cs="Arial"/>
          <w:lang w:eastAsia="cs-CZ"/>
        </w:rPr>
        <w:t>.</w:t>
      </w:r>
    </w:p>
    <w:p w14:paraId="0CFB9409"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2A6AC2A9" w14:textId="77777777" w:rsidR="0069399C" w:rsidRDefault="0069399C" w:rsidP="0069399C">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Pr="00A558E9">
        <w:rPr>
          <w:rFonts w:cstheme="minorHAnsi"/>
        </w:rPr>
        <w:t>[</w:t>
      </w:r>
      <w:r w:rsidRPr="00A558E9">
        <w:rPr>
          <w:rFonts w:cstheme="minorHAnsi"/>
          <w:highlight w:val="green"/>
        </w:rPr>
        <w:t>DOPLNÍ DODAVATEL</w:t>
      </w:r>
      <w:r w:rsidRPr="00A558E9">
        <w:rPr>
          <w:rFonts w:cstheme="minorHAnsi"/>
        </w:rPr>
        <w:t>]</w:t>
      </w:r>
      <w:r w:rsidRPr="005F305F">
        <w:rPr>
          <w:rFonts w:eastAsia="Times New Roman" w:cs="Arial"/>
          <w:lang w:eastAsia="cs-CZ"/>
        </w:rPr>
        <w:tab/>
      </w:r>
    </w:p>
    <w:p w14:paraId="5CBA995F"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7D9AB264"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2BAA136"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CC76A43" w14:textId="77777777" w:rsidR="0069399C" w:rsidRPr="005F305F" w:rsidRDefault="0069399C" w:rsidP="0069399C">
      <w:pPr>
        <w:spacing w:after="0"/>
        <w:rPr>
          <w:rFonts w:cs="Arial"/>
          <w:szCs w:val="20"/>
        </w:rPr>
      </w:pPr>
      <w:r w:rsidRPr="005F305F">
        <w:rPr>
          <w:rFonts w:cs="Arial"/>
          <w:szCs w:val="20"/>
        </w:rPr>
        <w:t>_______________________________________</w:t>
      </w:r>
    </w:p>
    <w:p w14:paraId="4944576B" w14:textId="77777777" w:rsidR="0069399C" w:rsidRPr="00BD0725" w:rsidRDefault="0069399C" w:rsidP="0069399C">
      <w:pPr>
        <w:spacing w:after="0"/>
        <w:rPr>
          <w:rFonts w:cs="Arial"/>
          <w:b/>
          <w:szCs w:val="20"/>
        </w:rPr>
      </w:pPr>
      <w:r w:rsidRPr="005F305F">
        <w:rPr>
          <w:rFonts w:cs="Arial"/>
          <w:szCs w:val="20"/>
        </w:rPr>
        <w:t>[</w:t>
      </w:r>
      <w:r w:rsidRPr="00FE753A">
        <w:rPr>
          <w:rFonts w:cs="Arial"/>
          <w:b/>
          <w:szCs w:val="20"/>
          <w:highlight w:val="green"/>
        </w:rPr>
        <w:t>název účastníka</w:t>
      </w:r>
      <w:r w:rsidRPr="00FE753A">
        <w:rPr>
          <w:rFonts w:cs="Arial"/>
          <w:szCs w:val="20"/>
          <w:highlight w:val="green"/>
        </w:rPr>
        <w:t xml:space="preserve">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p>
    <w:p w14:paraId="5DDA7DDC" w14:textId="77777777" w:rsidR="0069399C" w:rsidRPr="00BD0725" w:rsidRDefault="0069399C" w:rsidP="0069399C">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účastníka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p>
    <w:p w14:paraId="221B4088" w14:textId="77777777" w:rsidR="0069399C" w:rsidRPr="005F305F" w:rsidRDefault="0069399C" w:rsidP="0069399C">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oprávnění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A87728F" w14:textId="77777777" w:rsidR="0069399C" w:rsidRPr="00935937" w:rsidRDefault="0069399C" w:rsidP="0069399C">
      <w:pPr>
        <w:spacing w:after="200"/>
        <w:jc w:val="left"/>
      </w:pPr>
      <w:r>
        <w:rPr>
          <w:rFonts w:cstheme="minorHAnsi"/>
        </w:rPr>
        <w:br w:type="page"/>
      </w:r>
    </w:p>
    <w:p w14:paraId="132F9FBF" w14:textId="68B6AC1E" w:rsidR="0013292A" w:rsidRDefault="0013292A" w:rsidP="0013292A">
      <w:pPr>
        <w:spacing w:after="200"/>
        <w:jc w:val="left"/>
        <w:rPr>
          <w:rFonts w:cstheme="minorHAnsi"/>
          <w:b/>
          <w:bCs/>
        </w:rPr>
      </w:pPr>
      <w:r>
        <w:rPr>
          <w:rFonts w:cstheme="minorHAnsi"/>
          <w:b/>
          <w:bCs/>
        </w:rPr>
        <w:lastRenderedPageBreak/>
        <w:t xml:space="preserve">Příloha č. 2 – Seznam odběrných míst pro dodávky </w:t>
      </w:r>
      <w:r w:rsidRPr="0013292A">
        <w:rPr>
          <w:b/>
          <w:bCs/>
        </w:rPr>
        <w:t>v režimu velkoodběr</w:t>
      </w:r>
    </w:p>
    <w:p w14:paraId="25101CD5" w14:textId="77777777" w:rsidR="0013292A" w:rsidRDefault="0013292A" w:rsidP="0013292A">
      <w:pPr>
        <w:spacing w:after="200"/>
        <w:jc w:val="left"/>
        <w:rPr>
          <w:rFonts w:cstheme="minorHAnsi"/>
        </w:rPr>
      </w:pPr>
      <w:r>
        <w:rPr>
          <w:rFonts w:cstheme="minorHAnsi"/>
        </w:rPr>
        <w:t>(</w:t>
      </w:r>
      <w:r>
        <w:rPr>
          <w:rFonts w:cstheme="minorHAnsi"/>
          <w:i/>
          <w:iCs/>
        </w:rPr>
        <w:t>samostatný dokument</w:t>
      </w:r>
      <w:r>
        <w:rPr>
          <w:rFonts w:cstheme="minorHAnsi"/>
        </w:rPr>
        <w:t>)</w:t>
      </w:r>
    </w:p>
    <w:p w14:paraId="762EE4ED" w14:textId="1B7EC0C9" w:rsidR="0013292A" w:rsidRDefault="0013292A" w:rsidP="0013292A">
      <w:pPr>
        <w:spacing w:after="200"/>
        <w:jc w:val="left"/>
        <w:rPr>
          <w:rFonts w:cstheme="minorHAnsi"/>
          <w:b/>
          <w:bCs/>
        </w:rPr>
      </w:pPr>
      <w:r>
        <w:rPr>
          <w:rFonts w:cstheme="minorHAnsi"/>
          <w:b/>
          <w:bCs/>
        </w:rPr>
        <w:t xml:space="preserve">Příloha č. 3 – Seznam odběrných míst </w:t>
      </w:r>
      <w:r w:rsidRPr="0013292A">
        <w:rPr>
          <w:b/>
          <w:bCs/>
        </w:rPr>
        <w:t xml:space="preserve">pro dodávky v režimu </w:t>
      </w:r>
      <w:r>
        <w:rPr>
          <w:b/>
          <w:bCs/>
        </w:rPr>
        <w:t>maloodběr</w:t>
      </w:r>
    </w:p>
    <w:p w14:paraId="0011583B" w14:textId="77777777" w:rsidR="0013292A" w:rsidRDefault="0013292A" w:rsidP="0013292A">
      <w:pPr>
        <w:spacing w:after="200"/>
        <w:jc w:val="left"/>
        <w:rPr>
          <w:rFonts w:cstheme="minorHAnsi"/>
        </w:rPr>
      </w:pPr>
      <w:r>
        <w:rPr>
          <w:rFonts w:cstheme="minorHAnsi"/>
        </w:rPr>
        <w:t>(</w:t>
      </w:r>
      <w:r>
        <w:rPr>
          <w:rFonts w:cstheme="minorHAnsi"/>
          <w:i/>
          <w:iCs/>
        </w:rPr>
        <w:t>samostatný dokument</w:t>
      </w:r>
      <w:r>
        <w:rPr>
          <w:rFonts w:cstheme="minorHAnsi"/>
        </w:rPr>
        <w:t>)</w:t>
      </w:r>
    </w:p>
    <w:p w14:paraId="33E542DB" w14:textId="77777777" w:rsidR="0069399C" w:rsidRDefault="0069399C">
      <w:pPr>
        <w:spacing w:after="200"/>
        <w:jc w:val="left"/>
        <w:rPr>
          <w:rFonts w:cstheme="minorHAnsi"/>
          <w:b/>
          <w:bCs/>
        </w:rPr>
      </w:pPr>
      <w:r>
        <w:rPr>
          <w:rFonts w:cstheme="minorHAnsi"/>
          <w:b/>
          <w:bCs/>
        </w:rPr>
        <w:br w:type="page"/>
      </w:r>
    </w:p>
    <w:p w14:paraId="4C141181" w14:textId="15BAEB9D" w:rsidR="00196C15" w:rsidRDefault="00872B49" w:rsidP="007F7763">
      <w:pPr>
        <w:widowControl w:val="0"/>
        <w:jc w:val="left"/>
        <w:rPr>
          <w:rFonts w:cstheme="minorHAnsi"/>
          <w:b/>
          <w:bCs/>
        </w:rPr>
      </w:pPr>
      <w:r w:rsidRPr="000E7EEE">
        <w:rPr>
          <w:rFonts w:cstheme="minorHAnsi"/>
          <w:b/>
          <w:bCs/>
        </w:rPr>
        <w:lastRenderedPageBreak/>
        <w:t xml:space="preserve">Příloha č. </w:t>
      </w:r>
      <w:r w:rsidR="001D6BCF">
        <w:rPr>
          <w:rFonts w:cstheme="minorHAnsi"/>
          <w:b/>
          <w:bCs/>
        </w:rPr>
        <w:t>4</w:t>
      </w:r>
    </w:p>
    <w:p w14:paraId="0C5D2E61" w14:textId="77777777" w:rsidR="001D6BCF" w:rsidRPr="00F87288" w:rsidRDefault="001D6BCF" w:rsidP="001D6BCF">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DC8F017" w14:textId="77777777" w:rsidR="001D6BCF" w:rsidRDefault="001D6BCF" w:rsidP="001D6BCF">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50AF8CAE" w14:textId="77777777" w:rsidR="001D6BCF" w:rsidRPr="005A0818" w:rsidRDefault="001D6BCF" w:rsidP="001D6BCF">
      <w:pPr>
        <w:jc w:val="center"/>
        <w:rPr>
          <w:b/>
          <w:caps/>
          <w:color w:val="E36C0A" w:themeColor="accent6" w:themeShade="BF"/>
          <w:sz w:val="40"/>
        </w:rPr>
      </w:pPr>
      <w:r>
        <w:rPr>
          <w:b/>
          <w:color w:val="E36C0A" w:themeColor="accent6" w:themeShade="BF"/>
          <w:sz w:val="40"/>
        </w:rPr>
        <w:t>DODÁVKY PLYNU NA ROK 2024</w:t>
      </w:r>
    </w:p>
    <w:tbl>
      <w:tblPr>
        <w:tblStyle w:val="Mkatabulky"/>
        <w:tblW w:w="5000" w:type="pct"/>
        <w:tblLook w:val="04A0" w:firstRow="1" w:lastRow="0" w:firstColumn="1" w:lastColumn="0" w:noHBand="0" w:noVBand="1"/>
      </w:tblPr>
      <w:tblGrid>
        <w:gridCol w:w="2938"/>
        <w:gridCol w:w="6642"/>
        <w:gridCol w:w="343"/>
      </w:tblGrid>
      <w:tr w:rsidR="001D6BCF" w:rsidRPr="00A324F6" w14:paraId="7BB30F39" w14:textId="77777777" w:rsidTr="006F2CFA">
        <w:trPr>
          <w:gridAfter w:val="1"/>
          <w:wAfter w:w="173" w:type="pct"/>
        </w:trPr>
        <w:tc>
          <w:tcPr>
            <w:tcW w:w="4827" w:type="pct"/>
            <w:gridSpan w:val="2"/>
            <w:tcBorders>
              <w:top w:val="nil"/>
              <w:left w:val="nil"/>
              <w:right w:val="nil"/>
            </w:tcBorders>
          </w:tcPr>
          <w:p w14:paraId="79B4BF75" w14:textId="77777777" w:rsidR="001D6BCF" w:rsidRDefault="001D6BCF" w:rsidP="006F2CFA">
            <w:pPr>
              <w:spacing w:after="0" w:line="276" w:lineRule="auto"/>
              <w:rPr>
                <w:rFonts w:cstheme="minorHAnsi"/>
                <w:b/>
              </w:rPr>
            </w:pPr>
          </w:p>
          <w:p w14:paraId="2621D9F3" w14:textId="77777777" w:rsidR="001D6BCF" w:rsidRPr="00A324F6" w:rsidRDefault="001D6BCF" w:rsidP="006F2CFA">
            <w:pPr>
              <w:spacing w:after="0" w:line="276" w:lineRule="auto"/>
              <w:rPr>
                <w:rFonts w:cstheme="minorHAnsi"/>
                <w:b/>
              </w:rPr>
            </w:pPr>
            <w:r w:rsidRPr="00A324F6">
              <w:rPr>
                <w:rFonts w:cstheme="minorHAnsi"/>
                <w:b/>
              </w:rPr>
              <w:t>Prohlašující dodavatel:</w:t>
            </w:r>
          </w:p>
        </w:tc>
      </w:tr>
      <w:tr w:rsidR="001D6BCF" w:rsidRPr="00A324F6" w14:paraId="14B28E2A" w14:textId="77777777" w:rsidTr="006F2CFA">
        <w:trPr>
          <w:trHeight w:val="510"/>
        </w:trPr>
        <w:tc>
          <w:tcPr>
            <w:tcW w:w="1480" w:type="pct"/>
            <w:vAlign w:val="center"/>
          </w:tcPr>
          <w:p w14:paraId="1F5BF6A5" w14:textId="77777777" w:rsidR="001D6BCF" w:rsidRPr="00A324F6" w:rsidRDefault="001D6BCF" w:rsidP="006F2CFA">
            <w:pPr>
              <w:spacing w:after="0" w:line="276" w:lineRule="auto"/>
              <w:rPr>
                <w:rFonts w:cstheme="minorHAnsi"/>
              </w:rPr>
            </w:pPr>
            <w:r w:rsidRPr="00A324F6">
              <w:rPr>
                <w:rFonts w:cstheme="minorHAnsi"/>
              </w:rPr>
              <w:t>Název dodavatele:</w:t>
            </w:r>
          </w:p>
        </w:tc>
        <w:tc>
          <w:tcPr>
            <w:tcW w:w="3520" w:type="pct"/>
            <w:gridSpan w:val="2"/>
            <w:vAlign w:val="center"/>
          </w:tcPr>
          <w:p w14:paraId="2611D203"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4FDD7686" w14:textId="77777777" w:rsidTr="006F2CFA">
        <w:trPr>
          <w:trHeight w:val="510"/>
        </w:trPr>
        <w:tc>
          <w:tcPr>
            <w:tcW w:w="1480" w:type="pct"/>
            <w:vAlign w:val="center"/>
          </w:tcPr>
          <w:p w14:paraId="2104A944" w14:textId="77777777" w:rsidR="001D6BCF" w:rsidRPr="00A324F6" w:rsidRDefault="001D6BCF" w:rsidP="006F2CFA">
            <w:pPr>
              <w:spacing w:after="0" w:line="276" w:lineRule="auto"/>
              <w:rPr>
                <w:rFonts w:cstheme="minorHAnsi"/>
              </w:rPr>
            </w:pPr>
            <w:r w:rsidRPr="00A324F6">
              <w:rPr>
                <w:rFonts w:cstheme="minorHAnsi"/>
              </w:rPr>
              <w:t>Sídlo:</w:t>
            </w:r>
          </w:p>
        </w:tc>
        <w:tc>
          <w:tcPr>
            <w:tcW w:w="3520" w:type="pct"/>
            <w:gridSpan w:val="2"/>
            <w:vAlign w:val="center"/>
          </w:tcPr>
          <w:p w14:paraId="4ADE5E88"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D0F537E" w14:textId="77777777" w:rsidTr="006F2CFA">
        <w:trPr>
          <w:trHeight w:val="510"/>
        </w:trPr>
        <w:tc>
          <w:tcPr>
            <w:tcW w:w="1480" w:type="pct"/>
            <w:vAlign w:val="center"/>
          </w:tcPr>
          <w:p w14:paraId="7E18DAD4" w14:textId="77777777" w:rsidR="001D6BCF" w:rsidRPr="00A324F6" w:rsidRDefault="001D6BCF" w:rsidP="006F2CFA">
            <w:pPr>
              <w:spacing w:after="0" w:line="276" w:lineRule="auto"/>
              <w:rPr>
                <w:rFonts w:cstheme="minorHAnsi"/>
              </w:rPr>
            </w:pPr>
            <w:r w:rsidRPr="00A324F6">
              <w:rPr>
                <w:rFonts w:cstheme="minorHAnsi"/>
              </w:rPr>
              <w:t>IČO (u subjektu se sídlem v ČR):</w:t>
            </w:r>
          </w:p>
        </w:tc>
        <w:tc>
          <w:tcPr>
            <w:tcW w:w="3520" w:type="pct"/>
            <w:gridSpan w:val="2"/>
            <w:vAlign w:val="center"/>
          </w:tcPr>
          <w:p w14:paraId="1A8FE34A"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F81338B" w14:textId="77777777" w:rsidTr="006F2CFA">
        <w:trPr>
          <w:trHeight w:val="510"/>
        </w:trPr>
        <w:tc>
          <w:tcPr>
            <w:tcW w:w="1480" w:type="pct"/>
            <w:vAlign w:val="center"/>
          </w:tcPr>
          <w:p w14:paraId="7002D8CB" w14:textId="77777777" w:rsidR="001D6BCF" w:rsidRPr="00A324F6" w:rsidRDefault="001D6BCF" w:rsidP="006F2CFA">
            <w:pPr>
              <w:spacing w:after="0" w:line="276" w:lineRule="auto"/>
              <w:rPr>
                <w:rFonts w:cstheme="minorHAnsi"/>
              </w:rPr>
            </w:pPr>
            <w:r w:rsidRPr="00A324F6">
              <w:rPr>
                <w:rFonts w:cstheme="minorHAnsi"/>
              </w:rPr>
              <w:t>Jednající/zastoupen:</w:t>
            </w:r>
          </w:p>
        </w:tc>
        <w:tc>
          <w:tcPr>
            <w:tcW w:w="3520" w:type="pct"/>
            <w:gridSpan w:val="2"/>
            <w:vAlign w:val="center"/>
          </w:tcPr>
          <w:p w14:paraId="3843E3A6"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81C86" w14:paraId="7FFDF138" w14:textId="77777777" w:rsidTr="00281C86">
        <w:trPr>
          <w:trHeight w:val="510"/>
        </w:trPr>
        <w:tc>
          <w:tcPr>
            <w:tcW w:w="1480" w:type="pct"/>
            <w:tcBorders>
              <w:top w:val="single" w:sz="4" w:space="0" w:color="auto"/>
              <w:left w:val="single" w:sz="4" w:space="0" w:color="auto"/>
              <w:bottom w:val="single" w:sz="4" w:space="0" w:color="auto"/>
              <w:right w:val="single" w:sz="4" w:space="0" w:color="auto"/>
            </w:tcBorders>
            <w:vAlign w:val="center"/>
            <w:hideMark/>
          </w:tcPr>
          <w:p w14:paraId="3FF18D3F" w14:textId="77777777" w:rsidR="00281C86" w:rsidRDefault="00281C86">
            <w:pPr>
              <w:spacing w:after="0"/>
              <w:rPr>
                <w:rFonts w:cstheme="minorHAnsi"/>
              </w:rPr>
            </w:pPr>
            <w:r>
              <w:rPr>
                <w:rFonts w:cstheme="minorHAnsi"/>
              </w:rPr>
              <w:t>Část zakázky</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30C49110" w14:textId="77777777" w:rsidR="00281C86" w:rsidRPr="00281C86" w:rsidRDefault="00281C86">
            <w:pPr>
              <w:spacing w:after="0"/>
              <w:rPr>
                <w:rFonts w:eastAsia="Times New Roman" w:cs="Arial"/>
                <w:lang w:eastAsia="cs-CZ"/>
              </w:rPr>
            </w:pPr>
            <w:r w:rsidRPr="00281C86">
              <w:rPr>
                <w:rFonts w:cstheme="minorHAnsi"/>
              </w:rPr>
              <w:t>[</w:t>
            </w:r>
            <w:r w:rsidRPr="00281C86">
              <w:rPr>
                <w:rFonts w:cstheme="minorHAnsi"/>
                <w:highlight w:val="green"/>
              </w:rPr>
              <w:t>DOPLNÍ DODAVATEL – všechny části (1 až 2), ne které podává účastník nabídku</w:t>
            </w:r>
            <w:r w:rsidRPr="00281C86">
              <w:rPr>
                <w:rFonts w:cstheme="minorHAnsi"/>
              </w:rPr>
              <w:t>]</w:t>
            </w:r>
          </w:p>
        </w:tc>
      </w:tr>
    </w:tbl>
    <w:p w14:paraId="3AA325FA" w14:textId="77777777" w:rsidR="001D6BCF" w:rsidRPr="00A324F6" w:rsidRDefault="001D6BCF" w:rsidP="001D6BCF">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FF4B06E" w14:textId="77777777" w:rsidR="001D6BCF" w:rsidRPr="00A324F6" w:rsidRDefault="001D6BCF" w:rsidP="001D6BCF">
      <w:pPr>
        <w:spacing w:after="0"/>
        <w:jc w:val="center"/>
        <w:rPr>
          <w:rFonts w:cstheme="minorHAnsi"/>
          <w:b/>
        </w:rPr>
      </w:pPr>
    </w:p>
    <w:p w14:paraId="77C32C86" w14:textId="77777777" w:rsidR="00EF3549" w:rsidRDefault="00EF3549" w:rsidP="00EF3549">
      <w:pPr>
        <w:spacing w:before="120"/>
        <w:rPr>
          <w:rFonts w:ascii="Calibri" w:hAnsi="Calibri" w:cs="Calibri"/>
          <w:b/>
          <w:bCs/>
        </w:rPr>
      </w:pPr>
      <w:r>
        <w:rPr>
          <w:rFonts w:ascii="Calibri" w:hAnsi="Calibri" w:cs="Calibri"/>
          <w:b/>
          <w:bCs/>
        </w:rPr>
        <w:t>Dodavatel tímto čestně prohlašuje, že:</w:t>
      </w:r>
    </w:p>
    <w:p w14:paraId="1590068B" w14:textId="77777777" w:rsidR="00EF3549" w:rsidRDefault="00EF3549" w:rsidP="00EF3549">
      <w:pPr>
        <w:pStyle w:val="Odstavecseseznamem"/>
        <w:numPr>
          <w:ilvl w:val="3"/>
          <w:numId w:val="22"/>
        </w:numPr>
        <w:spacing w:before="120"/>
        <w:ind w:left="284" w:hanging="284"/>
        <w:rPr>
          <w:rFonts w:ascii="Calibri" w:hAnsi="Calibri" w:cs="Calibri"/>
        </w:rPr>
      </w:pPr>
      <w:r>
        <w:rPr>
          <w:rFonts w:ascii="Calibri" w:hAnsi="Calibri" w:cs="Calibri"/>
        </w:rPr>
        <w:t xml:space="preserve">Splňuje požadavky Zadavatele na </w:t>
      </w:r>
      <w:r>
        <w:rPr>
          <w:rFonts w:ascii="Calibri" w:hAnsi="Calibri" w:cs="Calibri"/>
          <w:u w:val="single"/>
        </w:rPr>
        <w:t>základní způsobilost</w:t>
      </w:r>
      <w:r>
        <w:rPr>
          <w:rFonts w:ascii="Calibri" w:hAnsi="Calibri" w:cs="Calibri"/>
        </w:rPr>
        <w:t>, neboť:</w:t>
      </w:r>
    </w:p>
    <w:p w14:paraId="5157D1B2" w14:textId="77777777" w:rsidR="00EF3549" w:rsidRDefault="00EF3549" w:rsidP="00EF3549">
      <w:pPr>
        <w:numPr>
          <w:ilvl w:val="0"/>
          <w:numId w:val="23"/>
        </w:numPr>
        <w:spacing w:before="120"/>
        <w:rPr>
          <w:rFonts w:ascii="Calibri" w:hAnsi="Calibri" w:cs="Calibri"/>
        </w:rPr>
      </w:pPr>
      <w:r>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31147348"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v evidenci daní zachycen splatný daňový nedoplatek;</w:t>
      </w:r>
    </w:p>
    <w:p w14:paraId="78974DE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F953C7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7B3E54A8" w14:textId="77777777" w:rsidR="00EF3549" w:rsidRDefault="00EF3549" w:rsidP="00EF3549">
      <w:pPr>
        <w:numPr>
          <w:ilvl w:val="0"/>
          <w:numId w:val="23"/>
        </w:numPr>
        <w:spacing w:before="120"/>
        <w:rPr>
          <w:rFonts w:ascii="Calibri" w:hAnsi="Calibri" w:cs="Calibri"/>
        </w:rPr>
      </w:pPr>
      <w:r>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2142BBA7" w14:textId="77777777" w:rsidR="00EF3549" w:rsidRDefault="00EF3549" w:rsidP="00EF3549">
      <w:pPr>
        <w:ind w:left="284"/>
        <w:rPr>
          <w:rFonts w:ascii="Calibri" w:hAnsi="Calibri" w:cs="Calibri"/>
        </w:rPr>
      </w:pPr>
      <w:r>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1825AAA5" w14:textId="77777777" w:rsidR="00EF3549" w:rsidRDefault="00EF3549" w:rsidP="00EF3549">
      <w:pPr>
        <w:ind w:left="284"/>
        <w:rPr>
          <w:rFonts w:ascii="Calibri" w:hAnsi="Calibri" w:cs="Calibri"/>
        </w:rPr>
      </w:pPr>
      <w:r>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78103F86" w14:textId="77777777" w:rsidR="00EF3549" w:rsidRDefault="00EF3549" w:rsidP="00EF3549">
      <w:pPr>
        <w:pStyle w:val="Odstavecseseznamem"/>
        <w:numPr>
          <w:ilvl w:val="3"/>
          <w:numId w:val="22"/>
        </w:numPr>
        <w:spacing w:before="120"/>
        <w:ind w:left="284" w:hanging="284"/>
        <w:contextualSpacing w:val="0"/>
        <w:rPr>
          <w:rFonts w:cstheme="minorHAnsi"/>
          <w:bCs/>
        </w:rPr>
      </w:pPr>
      <w:r>
        <w:rPr>
          <w:rFonts w:ascii="Calibri" w:hAnsi="Calibri" w:cs="Calibri"/>
        </w:rPr>
        <w:t xml:space="preserve">Splňuje požadavky Zadavatele na </w:t>
      </w:r>
      <w:r>
        <w:rPr>
          <w:rFonts w:ascii="Calibri" w:hAnsi="Calibri" w:cs="Calibri"/>
          <w:u w:val="single"/>
        </w:rPr>
        <w:t>profesní způsobilost</w:t>
      </w:r>
      <w:r>
        <w:rPr>
          <w:rFonts w:ascii="Calibri" w:hAnsi="Calibri" w:cs="Calibri"/>
        </w:rPr>
        <w:t xml:space="preserve">, neboť </w:t>
      </w:r>
    </w:p>
    <w:p w14:paraId="2261F1BD" w14:textId="77777777" w:rsidR="00EF3549" w:rsidRDefault="00EF3549" w:rsidP="00EF3549">
      <w:pPr>
        <w:pStyle w:val="Odstavecseseznamem"/>
        <w:numPr>
          <w:ilvl w:val="0"/>
          <w:numId w:val="23"/>
        </w:numPr>
        <w:spacing w:before="120"/>
        <w:contextualSpacing w:val="0"/>
        <w:rPr>
          <w:rFonts w:cstheme="minorHAnsi"/>
          <w:bCs/>
        </w:rPr>
      </w:pPr>
      <w:r>
        <w:rPr>
          <w:rFonts w:ascii="Calibri" w:hAnsi="Calibri" w:cs="Calibri"/>
        </w:rPr>
        <w:t>je zapsán v obchodním rejstříku nebo jiné obdobné evidenci, pokud jiný právní předpis zápis do takové evidence vyžaduje;</w:t>
      </w:r>
    </w:p>
    <w:p w14:paraId="2283B575" w14:textId="51A1C912" w:rsidR="00EF3549" w:rsidRDefault="00EF3549" w:rsidP="00EF3549">
      <w:pPr>
        <w:pStyle w:val="Odstavecseseznamem"/>
        <w:numPr>
          <w:ilvl w:val="0"/>
          <w:numId w:val="23"/>
        </w:numPr>
        <w:spacing w:before="120"/>
        <w:contextualSpacing w:val="0"/>
        <w:rPr>
          <w:rFonts w:cstheme="minorHAnsi"/>
          <w:bCs/>
        </w:rPr>
      </w:pPr>
      <w:r>
        <w:rPr>
          <w:rFonts w:cstheme="minorHAnsi"/>
        </w:rPr>
        <w:t xml:space="preserve">disponuje příslušným dokladem dokladu o oprávnění k podnikání, a </w:t>
      </w:r>
      <w:r w:rsidR="00127056">
        <w:rPr>
          <w:rFonts w:cstheme="minorHAnsi"/>
        </w:rPr>
        <w:t>to platnou licencí na obchod se</w:t>
      </w:r>
      <w:r w:rsidR="001E7691">
        <w:rPr>
          <w:rFonts w:cstheme="minorHAnsi"/>
        </w:rPr>
        <w:t> </w:t>
      </w:r>
      <w:r w:rsidR="00127056">
        <w:rPr>
          <w:rFonts w:cstheme="minorHAnsi"/>
        </w:rPr>
        <w:t xml:space="preserve">zemním plynem dle </w:t>
      </w:r>
      <w:r w:rsidR="00127056" w:rsidRPr="001316E3">
        <w:rPr>
          <w:rFonts w:cstheme="minorHAnsi"/>
        </w:rPr>
        <w:t>energetického zákona</w:t>
      </w:r>
      <w:r w:rsidR="00127056">
        <w:rPr>
          <w:rFonts w:cstheme="minorHAnsi"/>
        </w:rPr>
        <w:t xml:space="preserve"> </w:t>
      </w:r>
      <w:r w:rsidR="00127056" w:rsidRPr="001316E3">
        <w:rPr>
          <w:rFonts w:cstheme="minorHAnsi"/>
        </w:rPr>
        <w:t>a prováděcí vyhlášky ERÚ č. 8/2016 Sb., o podrobnostech udělování licencí</w:t>
      </w:r>
      <w:r w:rsidR="00127056">
        <w:rPr>
          <w:rFonts w:cstheme="minorHAnsi"/>
        </w:rPr>
        <w:t xml:space="preserve"> </w:t>
      </w:r>
      <w:r w:rsidR="00127056" w:rsidRPr="001316E3">
        <w:rPr>
          <w:rFonts w:cstheme="minorHAnsi"/>
        </w:rPr>
        <w:t>pro podnikání v</w:t>
      </w:r>
      <w:r w:rsidR="00127056">
        <w:rPr>
          <w:rFonts w:cstheme="minorHAnsi"/>
        </w:rPr>
        <w:t> </w:t>
      </w:r>
      <w:r w:rsidR="00127056" w:rsidRPr="001316E3">
        <w:rPr>
          <w:rFonts w:cstheme="minorHAnsi"/>
        </w:rPr>
        <w:t>energetických odvětvích, ve znění pozdějších předpisů</w:t>
      </w:r>
      <w:r w:rsidR="00A155E4">
        <w:rPr>
          <w:rFonts w:cstheme="minorHAnsi"/>
        </w:rPr>
        <w:t>.</w:t>
      </w:r>
    </w:p>
    <w:p w14:paraId="78DA8690" w14:textId="77777777" w:rsidR="001D6BCF" w:rsidRPr="00A324F6" w:rsidRDefault="001D6BCF" w:rsidP="001D6BCF">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72693F37" w14:textId="77777777" w:rsidR="001D6BCF" w:rsidRPr="00A324F6" w:rsidRDefault="001D6BCF" w:rsidP="001D6BCF">
      <w:pPr>
        <w:rPr>
          <w:rFonts w:cstheme="minorHAnsi"/>
        </w:rPr>
      </w:pPr>
    </w:p>
    <w:p w14:paraId="4AAB1964" w14:textId="77777777" w:rsidR="001D6BCF" w:rsidRPr="00A324F6" w:rsidRDefault="001D6BCF" w:rsidP="001D6BCF">
      <w:pPr>
        <w:rPr>
          <w:rFonts w:cstheme="minorHAnsi"/>
        </w:rPr>
      </w:pPr>
    </w:p>
    <w:p w14:paraId="20F9E746" w14:textId="77777777" w:rsidR="001D6BCF" w:rsidRPr="00A324F6" w:rsidRDefault="001D6BCF" w:rsidP="001D6BCF">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E2A2905" w14:textId="77777777" w:rsidR="001D6BCF" w:rsidRPr="00A324F6" w:rsidRDefault="001D6BCF" w:rsidP="001D6BCF">
      <w:pPr>
        <w:spacing w:after="160" w:line="259" w:lineRule="auto"/>
        <w:rPr>
          <w:rFonts w:eastAsia="Calibri" w:cstheme="minorHAnsi"/>
        </w:rPr>
      </w:pPr>
    </w:p>
    <w:p w14:paraId="22746E53" w14:textId="77777777" w:rsidR="001D6BCF" w:rsidRPr="00A324F6" w:rsidRDefault="001D6BCF" w:rsidP="001D6BCF">
      <w:pPr>
        <w:spacing w:after="160" w:line="259" w:lineRule="auto"/>
        <w:rPr>
          <w:rFonts w:eastAsia="Calibri" w:cstheme="minorHAnsi"/>
        </w:rPr>
      </w:pPr>
      <w:r w:rsidRPr="00A324F6">
        <w:rPr>
          <w:rFonts w:eastAsia="Calibri" w:cstheme="minorHAnsi"/>
        </w:rPr>
        <w:t>_______________________________</w:t>
      </w:r>
    </w:p>
    <w:p w14:paraId="67B920E5" w14:textId="77777777" w:rsidR="001D6BCF" w:rsidRDefault="001D6BCF" w:rsidP="001D6BCF">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42FDA9E" w14:textId="77777777" w:rsidR="001D6BCF" w:rsidRPr="00A324F6" w:rsidRDefault="001D6BCF" w:rsidP="001D6BCF">
      <w:pPr>
        <w:spacing w:after="160" w:line="259" w:lineRule="auto"/>
        <w:contextualSpacing/>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CF8DED2" w14:textId="77777777" w:rsidR="001D6BCF" w:rsidRDefault="001D6BCF" w:rsidP="007F7763">
      <w:pPr>
        <w:widowControl w:val="0"/>
        <w:jc w:val="left"/>
        <w:rPr>
          <w:rFonts w:cstheme="minorHAnsi"/>
          <w:b/>
          <w:bCs/>
        </w:rPr>
      </w:pPr>
    </w:p>
    <w:p w14:paraId="23D302A6" w14:textId="77777777" w:rsidR="00A155E4" w:rsidRDefault="00A155E4">
      <w:pPr>
        <w:spacing w:after="200"/>
        <w:jc w:val="left"/>
        <w:rPr>
          <w:b/>
          <w:color w:val="000000" w:themeColor="text1"/>
          <w:sz w:val="40"/>
          <w:szCs w:val="36"/>
        </w:rPr>
      </w:pPr>
      <w:r>
        <w:rPr>
          <w:b/>
          <w:color w:val="000000" w:themeColor="text1"/>
          <w:sz w:val="40"/>
          <w:szCs w:val="36"/>
        </w:rPr>
        <w:br w:type="page"/>
      </w:r>
    </w:p>
    <w:p w14:paraId="5F6B1E7A" w14:textId="77777777" w:rsidR="002346CA" w:rsidRDefault="002346CA" w:rsidP="002346CA">
      <w:pPr>
        <w:tabs>
          <w:tab w:val="left" w:pos="6096"/>
        </w:tabs>
        <w:spacing w:before="480"/>
        <w:jc w:val="left"/>
        <w:rPr>
          <w:rFonts w:cstheme="minorHAnsi"/>
          <w:b/>
          <w:bCs/>
        </w:rPr>
      </w:pPr>
      <w:r>
        <w:rPr>
          <w:rFonts w:cstheme="minorHAnsi"/>
          <w:b/>
          <w:bCs/>
        </w:rPr>
        <w:lastRenderedPageBreak/>
        <w:t>Příloha č. 5</w:t>
      </w:r>
    </w:p>
    <w:p w14:paraId="64A0B8CC" w14:textId="65E05F4F"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9A3ABE1"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A03B40C" w14:textId="1D2280B0" w:rsidR="00351979" w:rsidRDefault="00935937" w:rsidP="00351979">
      <w:pPr>
        <w:spacing w:before="240" w:after="0" w:line="240" w:lineRule="auto"/>
        <w:jc w:val="center"/>
        <w:rPr>
          <w:b/>
          <w:color w:val="E36C0A" w:themeColor="accent6" w:themeShade="BF"/>
          <w:sz w:val="40"/>
        </w:rPr>
      </w:pPr>
      <w:r>
        <w:rPr>
          <w:b/>
          <w:color w:val="E36C0A" w:themeColor="accent6" w:themeShade="BF"/>
          <w:sz w:val="40"/>
        </w:rPr>
        <w:t>DODÁVKY PLYNU NA ROK 2024</w:t>
      </w:r>
    </w:p>
    <w:p w14:paraId="3DECD87B" w14:textId="77777777" w:rsidR="00935937" w:rsidRDefault="00935937"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65"/>
        <w:gridCol w:w="2949"/>
        <w:gridCol w:w="2517"/>
        <w:gridCol w:w="1974"/>
      </w:tblGrid>
      <w:tr w:rsidR="007B7514" w14:paraId="09072E94" w14:textId="588209E8" w:rsidTr="009309A4">
        <w:trPr>
          <w:trHeight w:val="1365"/>
        </w:trPr>
        <w:tc>
          <w:tcPr>
            <w:tcW w:w="2365" w:type="dxa"/>
            <w:shd w:val="clear" w:color="auto" w:fill="auto"/>
            <w:vAlign w:val="center"/>
          </w:tcPr>
          <w:p w14:paraId="3007C727" w14:textId="77777777" w:rsidR="007B7514" w:rsidRPr="007F2302" w:rsidRDefault="007B7514" w:rsidP="007B7514">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7B7514" w:rsidRPr="000E7D16" w:rsidRDefault="007B7514" w:rsidP="007B7514">
            <w:pPr>
              <w:spacing w:before="40" w:after="40" w:line="240" w:lineRule="auto"/>
              <w:jc w:val="center"/>
              <w:rPr>
                <w:b/>
                <w:lang w:eastAsia="cs-CZ"/>
              </w:rPr>
            </w:pPr>
            <w:r w:rsidRPr="007F2302">
              <w:rPr>
                <w:b/>
              </w:rPr>
              <w:t>(Obchodní název, sídlo, IČ</w:t>
            </w:r>
            <w:r>
              <w:rPr>
                <w:b/>
              </w:rPr>
              <w:t>)</w:t>
            </w:r>
          </w:p>
        </w:tc>
        <w:tc>
          <w:tcPr>
            <w:tcW w:w="2949" w:type="dxa"/>
            <w:shd w:val="clear" w:color="auto" w:fill="auto"/>
            <w:vAlign w:val="center"/>
          </w:tcPr>
          <w:p w14:paraId="0E4A958F" w14:textId="107B7059" w:rsidR="007B7514" w:rsidRDefault="007B7514" w:rsidP="007B7514">
            <w:pPr>
              <w:spacing w:before="40" w:after="40" w:line="240" w:lineRule="auto"/>
              <w:jc w:val="center"/>
              <w:rPr>
                <w:lang w:eastAsia="cs-CZ"/>
              </w:rPr>
            </w:pPr>
            <w:r w:rsidRPr="007F2302">
              <w:rPr>
                <w:b/>
                <w:color w:val="000000"/>
              </w:rPr>
              <w:t>Slovní popis plnění poddodavatele</w:t>
            </w:r>
          </w:p>
        </w:tc>
        <w:tc>
          <w:tcPr>
            <w:tcW w:w="2517" w:type="dxa"/>
            <w:vAlign w:val="center"/>
          </w:tcPr>
          <w:p w14:paraId="7D1E2891" w14:textId="67361CFF" w:rsidR="007B7514" w:rsidRPr="000E7D16" w:rsidRDefault="007B7514" w:rsidP="007B7514">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c>
          <w:tcPr>
            <w:tcW w:w="1974" w:type="dxa"/>
            <w:vAlign w:val="center"/>
          </w:tcPr>
          <w:p w14:paraId="0FC2F2DC" w14:textId="0B641DCF" w:rsidR="007B7514" w:rsidRPr="007F2302" w:rsidRDefault="007B7514" w:rsidP="007B7514">
            <w:pPr>
              <w:spacing w:before="40" w:after="40" w:line="240" w:lineRule="auto"/>
              <w:jc w:val="center"/>
              <w:rPr>
                <w:b/>
                <w:color w:val="000000"/>
              </w:rPr>
            </w:pPr>
            <w:r>
              <w:rPr>
                <w:b/>
                <w:color w:val="000000"/>
              </w:rPr>
              <w:t>Část zakázky</w:t>
            </w:r>
          </w:p>
        </w:tc>
      </w:tr>
      <w:tr w:rsidR="007B7514" w:rsidRPr="00351979" w14:paraId="4B8C3222" w14:textId="4192ADC9" w:rsidTr="000D445E">
        <w:trPr>
          <w:trHeight w:val="549"/>
        </w:trPr>
        <w:tc>
          <w:tcPr>
            <w:tcW w:w="2365" w:type="dxa"/>
            <w:shd w:val="clear" w:color="auto" w:fill="auto"/>
            <w:vAlign w:val="center"/>
          </w:tcPr>
          <w:p w14:paraId="73928674" w14:textId="1C342911" w:rsidR="007B7514" w:rsidRPr="00351979" w:rsidRDefault="007B7514" w:rsidP="007B7514">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2949" w:type="dxa"/>
            <w:shd w:val="clear" w:color="auto" w:fill="auto"/>
            <w:vAlign w:val="center"/>
          </w:tcPr>
          <w:p w14:paraId="573D142A" w14:textId="751FBFD9" w:rsidR="007B7514" w:rsidRPr="00E9508A" w:rsidRDefault="007B7514" w:rsidP="007B7514">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2517" w:type="dxa"/>
            <w:vAlign w:val="center"/>
          </w:tcPr>
          <w:p w14:paraId="5D3B6B32" w14:textId="237930B1" w:rsidR="007B7514" w:rsidRPr="00351979" w:rsidRDefault="007B7514" w:rsidP="007B7514">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1974" w:type="dxa"/>
          </w:tcPr>
          <w:p w14:paraId="3321DF7F" w14:textId="1AD84EB7" w:rsidR="007B7514" w:rsidRPr="007B7514" w:rsidRDefault="007B7514" w:rsidP="007B7514">
            <w:pPr>
              <w:spacing w:before="40" w:after="40" w:line="240" w:lineRule="auto"/>
              <w:rPr>
                <w:rFonts w:cstheme="minorHAnsi"/>
                <w:bCs/>
              </w:rPr>
            </w:pPr>
            <w:r w:rsidRPr="007B7514">
              <w:rPr>
                <w:rFonts w:eastAsia="Times New Roman" w:cs="Arial"/>
                <w:bCs/>
                <w:lang w:eastAsia="cs-CZ"/>
              </w:rPr>
              <w:t>[</w:t>
            </w:r>
            <w:r w:rsidRPr="007B7514">
              <w:rPr>
                <w:bCs/>
                <w:highlight w:val="green"/>
              </w:rPr>
              <w:t>DOPLNÍ DODAVATEL</w:t>
            </w:r>
            <w:r w:rsidRPr="007B7514">
              <w:rPr>
                <w:rFonts w:eastAsia="Times New Roman" w:cs="Arial"/>
                <w:bCs/>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73CAE91C" w14:textId="71E82990" w:rsidR="00B547E6" w:rsidRDefault="00EB3C0E" w:rsidP="0070290F">
      <w:pPr>
        <w:spacing w:after="200"/>
        <w:jc w:val="left"/>
        <w:rPr>
          <w:rFonts w:cstheme="minorHAnsi"/>
          <w:b/>
          <w:bCs/>
        </w:rPr>
      </w:pPr>
      <w:r>
        <w:rPr>
          <w:rFonts w:cstheme="minorHAnsi"/>
          <w:b/>
          <w:bCs/>
        </w:rPr>
        <w:lastRenderedPageBreak/>
        <w:t xml:space="preserve">Příloha č. </w:t>
      </w:r>
      <w:r w:rsidR="00554270">
        <w:rPr>
          <w:rFonts w:cstheme="minorHAnsi"/>
          <w:b/>
          <w:bCs/>
        </w:rPr>
        <w:t>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6AFFB98" w14:textId="292A8351" w:rsidR="003622B2" w:rsidRPr="005A0818" w:rsidRDefault="00915BA6" w:rsidP="003622B2">
      <w:pPr>
        <w:jc w:val="center"/>
        <w:rPr>
          <w:b/>
          <w:caps/>
          <w:color w:val="E36C0A" w:themeColor="accent6" w:themeShade="BF"/>
          <w:sz w:val="40"/>
        </w:rPr>
      </w:pPr>
      <w:r>
        <w:rPr>
          <w:b/>
          <w:color w:val="E36C0A" w:themeColor="accent6" w:themeShade="BF"/>
          <w:sz w:val="40"/>
        </w:rPr>
        <w:t>DODÁVKY PLYNU NA ROK 2024</w:t>
      </w:r>
    </w:p>
    <w:tbl>
      <w:tblPr>
        <w:tblStyle w:val="Mkatabulky"/>
        <w:tblW w:w="5000" w:type="pct"/>
        <w:tblLook w:val="04A0" w:firstRow="1" w:lastRow="0" w:firstColumn="1" w:lastColumn="0" w:noHBand="0" w:noVBand="1"/>
      </w:tblPr>
      <w:tblGrid>
        <w:gridCol w:w="2938"/>
        <w:gridCol w:w="6642"/>
        <w:gridCol w:w="343"/>
      </w:tblGrid>
      <w:tr w:rsidR="003622B2" w:rsidRPr="00A324F6" w14:paraId="46D50CFF" w14:textId="77777777" w:rsidTr="00CA5A17">
        <w:trPr>
          <w:gridAfter w:val="1"/>
          <w:wAfter w:w="173" w:type="pct"/>
        </w:trPr>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gridSpan w:val="2"/>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gridSpan w:val="2"/>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gridSpan w:val="2"/>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gridSpan w:val="2"/>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26A73FF4"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915BA6">
        <w:rPr>
          <w:rFonts w:cstheme="minorHAnsi"/>
          <w:bCs/>
          <w:iCs/>
        </w:rPr>
        <w:t>smlouvy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6431B441"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B41E05">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5E29A323" w14:textId="77777777" w:rsidR="005B5117" w:rsidRPr="005B5117" w:rsidRDefault="005B5117" w:rsidP="005B5117">
      <w:pPr>
        <w:spacing w:line="300" w:lineRule="atLeast"/>
        <w:rPr>
          <w:rFonts w:cstheme="minorHAnsi"/>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5BCD21E2" w:rsidR="006E0B8E" w:rsidRDefault="005B5117" w:rsidP="005B5117">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03B46009" w:rsidR="005047F5" w:rsidRDefault="005047F5" w:rsidP="005047F5">
      <w:pPr>
        <w:spacing w:after="200"/>
        <w:jc w:val="left"/>
        <w:rPr>
          <w:rFonts w:cstheme="minorHAnsi"/>
          <w:b/>
          <w:bCs/>
        </w:rPr>
      </w:pPr>
      <w:r>
        <w:rPr>
          <w:rFonts w:cstheme="minorHAnsi"/>
          <w:b/>
          <w:bCs/>
        </w:rPr>
        <w:lastRenderedPageBreak/>
        <w:t xml:space="preserve">Příloha č. </w:t>
      </w:r>
      <w:r w:rsidR="00554270">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0EACE63" w14:textId="1152AB23" w:rsidR="005047F5" w:rsidRPr="005A0818" w:rsidRDefault="00915BA6" w:rsidP="005047F5">
      <w:pPr>
        <w:jc w:val="center"/>
        <w:rPr>
          <w:b/>
          <w:caps/>
          <w:color w:val="E36C0A" w:themeColor="accent6" w:themeShade="BF"/>
          <w:sz w:val="40"/>
        </w:rPr>
      </w:pPr>
      <w:r>
        <w:rPr>
          <w:b/>
          <w:color w:val="E36C0A" w:themeColor="accent6" w:themeShade="BF"/>
          <w:sz w:val="40"/>
        </w:rPr>
        <w:t>DODÁVKY PLYNU NA ROK 2024</w:t>
      </w:r>
    </w:p>
    <w:tbl>
      <w:tblPr>
        <w:tblStyle w:val="Mkatabulky"/>
        <w:tblW w:w="5000" w:type="pct"/>
        <w:tblLook w:val="04A0" w:firstRow="1" w:lastRow="0" w:firstColumn="1" w:lastColumn="0" w:noHBand="0" w:noVBand="1"/>
      </w:tblPr>
      <w:tblGrid>
        <w:gridCol w:w="2938"/>
        <w:gridCol w:w="6642"/>
        <w:gridCol w:w="343"/>
      </w:tblGrid>
      <w:tr w:rsidR="005047F5" w:rsidRPr="00A324F6" w14:paraId="109E9233" w14:textId="77777777" w:rsidTr="005F20DA">
        <w:trPr>
          <w:gridAfter w:val="1"/>
          <w:wAfter w:w="173" w:type="pct"/>
        </w:trPr>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gridSpan w:val="2"/>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gridSpan w:val="2"/>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gridSpan w:val="2"/>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gridSpan w:val="2"/>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0C9D3F76" w:rsidR="00101FE0" w:rsidRDefault="00101FE0">
      <w:pPr>
        <w:spacing w:after="200"/>
        <w:jc w:val="left"/>
        <w:rPr>
          <w:rFonts w:cs="Tahoma"/>
          <w:i/>
          <w:iCs/>
        </w:rPr>
      </w:pPr>
      <w:r>
        <w:rPr>
          <w:i/>
          <w:iCs/>
        </w:rPr>
        <w:br w:type="page"/>
      </w:r>
    </w:p>
    <w:p w14:paraId="44D57E14" w14:textId="0AA2A6E2" w:rsidR="00101FE0" w:rsidRDefault="00101FE0" w:rsidP="00101FE0">
      <w:pPr>
        <w:spacing w:after="200"/>
        <w:jc w:val="left"/>
        <w:rPr>
          <w:rFonts w:cstheme="minorHAnsi"/>
          <w:b/>
          <w:bCs/>
        </w:rPr>
      </w:pPr>
      <w:r>
        <w:rPr>
          <w:rFonts w:cstheme="minorHAnsi"/>
          <w:b/>
          <w:bCs/>
        </w:rPr>
        <w:lastRenderedPageBreak/>
        <w:t xml:space="preserve">Příloha č. 8 – </w:t>
      </w:r>
      <w:r w:rsidR="005E43CF">
        <w:rPr>
          <w:rFonts w:cstheme="minorHAnsi"/>
          <w:b/>
          <w:bCs/>
        </w:rPr>
        <w:t>Požadavky na elektronickou komunikaci JOSEPHINE</w:t>
      </w:r>
    </w:p>
    <w:p w14:paraId="4D52AE04" w14:textId="77777777" w:rsidR="00101FE0" w:rsidRDefault="00101FE0" w:rsidP="00101FE0">
      <w:pPr>
        <w:spacing w:after="200"/>
        <w:jc w:val="left"/>
        <w:rPr>
          <w:rFonts w:cstheme="minorHAnsi"/>
        </w:rPr>
      </w:pPr>
      <w:r>
        <w:rPr>
          <w:rFonts w:cstheme="minorHAnsi"/>
        </w:rPr>
        <w:t>(</w:t>
      </w:r>
      <w:r>
        <w:rPr>
          <w:rFonts w:cstheme="minorHAnsi"/>
          <w:i/>
          <w:iCs/>
        </w:rPr>
        <w:t>samostatný dokument</w:t>
      </w:r>
      <w:r>
        <w:rPr>
          <w:rFonts w:cstheme="minorHAnsi"/>
        </w:rPr>
        <w:t>)</w:t>
      </w:r>
    </w:p>
    <w:p w14:paraId="079859F4" w14:textId="77777777" w:rsidR="00CB56C0" w:rsidRPr="00A03488" w:rsidRDefault="00CB56C0" w:rsidP="00A03488">
      <w:pPr>
        <w:pStyle w:val="Odrky"/>
        <w:numPr>
          <w:ilvl w:val="0"/>
          <w:numId w:val="0"/>
        </w:numPr>
        <w:rPr>
          <w:i/>
          <w:iCs/>
        </w:rPr>
      </w:pPr>
    </w:p>
    <w:sectPr w:rsidR="00CB56C0" w:rsidRPr="00A03488" w:rsidSect="001F7F80">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E07E" w14:textId="77777777" w:rsidR="00EA45B0" w:rsidRDefault="00EA45B0" w:rsidP="00AB5244">
      <w:r>
        <w:separator/>
      </w:r>
    </w:p>
  </w:endnote>
  <w:endnote w:type="continuationSeparator" w:id="0">
    <w:p w14:paraId="43330FE9" w14:textId="77777777" w:rsidR="00EA45B0" w:rsidRDefault="00EA45B0" w:rsidP="00AB5244">
      <w:r>
        <w:continuationSeparator/>
      </w:r>
    </w:p>
  </w:endnote>
  <w:endnote w:type="continuationNotice" w:id="1">
    <w:p w14:paraId="3A0312FA" w14:textId="77777777" w:rsidR="00EA45B0" w:rsidRDefault="00EA4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A29E" w14:textId="77777777" w:rsidR="00EA45B0" w:rsidRDefault="00EA45B0" w:rsidP="00AB5244">
      <w:r>
        <w:separator/>
      </w:r>
    </w:p>
  </w:footnote>
  <w:footnote w:type="continuationSeparator" w:id="0">
    <w:p w14:paraId="64D54371" w14:textId="77777777" w:rsidR="00EA45B0" w:rsidRDefault="00EA45B0" w:rsidP="00AB5244">
      <w:r>
        <w:continuationSeparator/>
      </w:r>
    </w:p>
  </w:footnote>
  <w:footnote w:type="continuationNotice" w:id="1">
    <w:p w14:paraId="7CC711EB" w14:textId="77777777" w:rsidR="00EA45B0" w:rsidRDefault="00EA45B0">
      <w:pPr>
        <w:spacing w:after="0" w:line="240" w:lineRule="auto"/>
      </w:pPr>
    </w:p>
  </w:footnote>
  <w:footnote w:id="2">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890492">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935937" w:rsidRDefault="003F1294" w:rsidP="00890492">
      <w:pPr>
        <w:numPr>
          <w:ilvl w:val="0"/>
          <w:numId w:val="11"/>
        </w:numPr>
        <w:spacing w:after="0"/>
        <w:ind w:left="714" w:hanging="357"/>
        <w:rPr>
          <w:sz w:val="16"/>
          <w:szCs w:val="16"/>
        </w:rPr>
      </w:pPr>
      <w:r w:rsidRPr="00935937">
        <w:rPr>
          <w:sz w:val="16"/>
          <w:szCs w:val="16"/>
        </w:rPr>
        <w:t>střední podnik – méně než 250 zaměstnanců a roční obrat do 50 mil. EUR nebo rozvaha do 43 mil. EUR.</w:t>
      </w:r>
    </w:p>
  </w:footnote>
  <w:footnote w:id="3">
    <w:p w14:paraId="574AD905" w14:textId="77777777" w:rsidR="0069399C" w:rsidRPr="003F1294" w:rsidRDefault="0069399C" w:rsidP="0069399C">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D74844F" w14:textId="77777777" w:rsidR="0069399C" w:rsidRPr="003F1294" w:rsidRDefault="0069399C" w:rsidP="0069399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2A04AF54" w14:textId="77777777" w:rsidR="0069399C" w:rsidRPr="00935937" w:rsidRDefault="0069399C" w:rsidP="0069399C">
      <w:pPr>
        <w:numPr>
          <w:ilvl w:val="0"/>
          <w:numId w:val="11"/>
        </w:numPr>
        <w:spacing w:after="0"/>
        <w:ind w:left="714" w:hanging="357"/>
        <w:rPr>
          <w:sz w:val="16"/>
          <w:szCs w:val="16"/>
        </w:rPr>
      </w:pPr>
      <w:r w:rsidRPr="00935937">
        <w:rPr>
          <w:sz w:val="16"/>
          <w:szCs w:val="16"/>
        </w:rPr>
        <w:t>střední podnik – méně než 250 zaměstnanců a roční obrat do 50 mil. EUR nebo rozvaha do 43 mil.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92398A"/>
    <w:multiLevelType w:val="hybridMultilevel"/>
    <w:tmpl w:val="FA2E7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9" w15:restartNumberingAfterBreak="0">
    <w:nsid w:val="473D33AD"/>
    <w:multiLevelType w:val="hybridMultilevel"/>
    <w:tmpl w:val="6EF8B3E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0A4755E"/>
    <w:multiLevelType w:val="hybridMultilevel"/>
    <w:tmpl w:val="EF82F654"/>
    <w:lvl w:ilvl="0" w:tplc="0E7865D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FB779D"/>
    <w:multiLevelType w:val="hybridMultilevel"/>
    <w:tmpl w:val="FA2E7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7D64EDD"/>
    <w:multiLevelType w:val="hybridMultilevel"/>
    <w:tmpl w:val="7F4CFE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2"/>
  </w:num>
  <w:num w:numId="2" w16cid:durableId="1488747865">
    <w:abstractNumId w:val="3"/>
  </w:num>
  <w:num w:numId="3" w16cid:durableId="430861918">
    <w:abstractNumId w:val="8"/>
  </w:num>
  <w:num w:numId="4" w16cid:durableId="1735277212">
    <w:abstractNumId w:val="17"/>
  </w:num>
  <w:num w:numId="5" w16cid:durableId="537475871">
    <w:abstractNumId w:val="1"/>
  </w:num>
  <w:num w:numId="6" w16cid:durableId="1681850868">
    <w:abstractNumId w:val="13"/>
  </w:num>
  <w:num w:numId="7" w16cid:durableId="1984653596">
    <w:abstractNumId w:val="5"/>
  </w:num>
  <w:num w:numId="8" w16cid:durableId="216092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541080">
    <w:abstractNumId w:val="4"/>
  </w:num>
  <w:num w:numId="10" w16cid:durableId="700283307">
    <w:abstractNumId w:val="13"/>
    <w:lvlOverride w:ilvl="0">
      <w:startOverride w:val="1"/>
    </w:lvlOverride>
  </w:num>
  <w:num w:numId="11" w16cid:durableId="1144933651">
    <w:abstractNumId w:val="10"/>
  </w:num>
  <w:num w:numId="12" w16cid:durableId="855577647">
    <w:abstractNumId w:val="18"/>
  </w:num>
  <w:num w:numId="13" w16cid:durableId="1490100157">
    <w:abstractNumId w:val="12"/>
  </w:num>
  <w:num w:numId="14" w16cid:durableId="6638291">
    <w:abstractNumId w:val="6"/>
  </w:num>
  <w:num w:numId="15" w16cid:durableId="900680634">
    <w:abstractNumId w:val="16"/>
  </w:num>
  <w:num w:numId="16" w16cid:durableId="1038509130">
    <w:abstractNumId w:val="14"/>
  </w:num>
  <w:num w:numId="17" w16cid:durableId="1018510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9244386">
    <w:abstractNumId w:val="7"/>
  </w:num>
  <w:num w:numId="19" w16cid:durableId="276182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030885">
    <w:abstractNumId w:val="1"/>
  </w:num>
  <w:num w:numId="21" w16cid:durableId="158885537">
    <w:abstractNumId w:val="13"/>
  </w:num>
  <w:num w:numId="22" w16cid:durableId="86654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052537">
    <w:abstractNumId w:val="18"/>
  </w:num>
  <w:num w:numId="24" w16cid:durableId="1047798527">
    <w:abstractNumId w:val="9"/>
  </w:num>
  <w:num w:numId="25" w16cid:durableId="65407105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2569"/>
    <w:rsid w:val="0000290C"/>
    <w:rsid w:val="00005676"/>
    <w:rsid w:val="00010608"/>
    <w:rsid w:val="0001060F"/>
    <w:rsid w:val="00011F56"/>
    <w:rsid w:val="000124EF"/>
    <w:rsid w:val="0001297A"/>
    <w:rsid w:val="000143D3"/>
    <w:rsid w:val="00015510"/>
    <w:rsid w:val="0001559A"/>
    <w:rsid w:val="00015A43"/>
    <w:rsid w:val="00017EDD"/>
    <w:rsid w:val="000202F8"/>
    <w:rsid w:val="00021AA2"/>
    <w:rsid w:val="00021EA8"/>
    <w:rsid w:val="000228FC"/>
    <w:rsid w:val="000231D4"/>
    <w:rsid w:val="00024EF1"/>
    <w:rsid w:val="0002549E"/>
    <w:rsid w:val="00027D24"/>
    <w:rsid w:val="000339D4"/>
    <w:rsid w:val="00034A18"/>
    <w:rsid w:val="00035368"/>
    <w:rsid w:val="00036E5B"/>
    <w:rsid w:val="000375D5"/>
    <w:rsid w:val="00040132"/>
    <w:rsid w:val="000417FA"/>
    <w:rsid w:val="0004278F"/>
    <w:rsid w:val="00042FCF"/>
    <w:rsid w:val="00044779"/>
    <w:rsid w:val="000475DB"/>
    <w:rsid w:val="00047CE5"/>
    <w:rsid w:val="0005070A"/>
    <w:rsid w:val="00051208"/>
    <w:rsid w:val="00051AC4"/>
    <w:rsid w:val="00052C3D"/>
    <w:rsid w:val="00053AD6"/>
    <w:rsid w:val="000548F9"/>
    <w:rsid w:val="00055048"/>
    <w:rsid w:val="000573CB"/>
    <w:rsid w:val="00064997"/>
    <w:rsid w:val="0006512C"/>
    <w:rsid w:val="000706A0"/>
    <w:rsid w:val="00071071"/>
    <w:rsid w:val="0007122F"/>
    <w:rsid w:val="0007315F"/>
    <w:rsid w:val="00075368"/>
    <w:rsid w:val="00075D89"/>
    <w:rsid w:val="00075FDB"/>
    <w:rsid w:val="00076E7F"/>
    <w:rsid w:val="00077196"/>
    <w:rsid w:val="00077671"/>
    <w:rsid w:val="000807DF"/>
    <w:rsid w:val="000808D4"/>
    <w:rsid w:val="00081B96"/>
    <w:rsid w:val="00081C3A"/>
    <w:rsid w:val="00084803"/>
    <w:rsid w:val="00084847"/>
    <w:rsid w:val="00087BA0"/>
    <w:rsid w:val="00090C3D"/>
    <w:rsid w:val="000915CA"/>
    <w:rsid w:val="00093B4C"/>
    <w:rsid w:val="000943DE"/>
    <w:rsid w:val="00094D15"/>
    <w:rsid w:val="000963A2"/>
    <w:rsid w:val="000969AF"/>
    <w:rsid w:val="000A2D4F"/>
    <w:rsid w:val="000A31A0"/>
    <w:rsid w:val="000A553A"/>
    <w:rsid w:val="000A68A6"/>
    <w:rsid w:val="000A7FE6"/>
    <w:rsid w:val="000B008A"/>
    <w:rsid w:val="000B39DD"/>
    <w:rsid w:val="000B3D1D"/>
    <w:rsid w:val="000B3FE8"/>
    <w:rsid w:val="000B7669"/>
    <w:rsid w:val="000C44EB"/>
    <w:rsid w:val="000C4605"/>
    <w:rsid w:val="000C4AE5"/>
    <w:rsid w:val="000C4AEE"/>
    <w:rsid w:val="000C696D"/>
    <w:rsid w:val="000C7C49"/>
    <w:rsid w:val="000C7E01"/>
    <w:rsid w:val="000D0652"/>
    <w:rsid w:val="000D43B1"/>
    <w:rsid w:val="000D445E"/>
    <w:rsid w:val="000D4571"/>
    <w:rsid w:val="000D5DFE"/>
    <w:rsid w:val="000D7522"/>
    <w:rsid w:val="000D79FA"/>
    <w:rsid w:val="000D7EDA"/>
    <w:rsid w:val="000E33FE"/>
    <w:rsid w:val="000E6C54"/>
    <w:rsid w:val="000E730A"/>
    <w:rsid w:val="000E7EEE"/>
    <w:rsid w:val="000F3B3E"/>
    <w:rsid w:val="000F6355"/>
    <w:rsid w:val="000F65AC"/>
    <w:rsid w:val="000F6EA6"/>
    <w:rsid w:val="000F7F30"/>
    <w:rsid w:val="0010001B"/>
    <w:rsid w:val="00100726"/>
    <w:rsid w:val="00100DEA"/>
    <w:rsid w:val="00101FE0"/>
    <w:rsid w:val="00102ECC"/>
    <w:rsid w:val="001037BD"/>
    <w:rsid w:val="00106A2B"/>
    <w:rsid w:val="001112FA"/>
    <w:rsid w:val="0011259A"/>
    <w:rsid w:val="00114029"/>
    <w:rsid w:val="001178DD"/>
    <w:rsid w:val="00120004"/>
    <w:rsid w:val="001216FF"/>
    <w:rsid w:val="00121DCB"/>
    <w:rsid w:val="00122D1D"/>
    <w:rsid w:val="00123ABC"/>
    <w:rsid w:val="00123C25"/>
    <w:rsid w:val="001247F4"/>
    <w:rsid w:val="0012610D"/>
    <w:rsid w:val="00126C8C"/>
    <w:rsid w:val="00127056"/>
    <w:rsid w:val="00130448"/>
    <w:rsid w:val="00131D34"/>
    <w:rsid w:val="0013292A"/>
    <w:rsid w:val="001374FB"/>
    <w:rsid w:val="00137DA0"/>
    <w:rsid w:val="001411EB"/>
    <w:rsid w:val="00141886"/>
    <w:rsid w:val="00141B0A"/>
    <w:rsid w:val="001433A7"/>
    <w:rsid w:val="00144C29"/>
    <w:rsid w:val="001452E1"/>
    <w:rsid w:val="00146610"/>
    <w:rsid w:val="0014680B"/>
    <w:rsid w:val="00146F08"/>
    <w:rsid w:val="00150000"/>
    <w:rsid w:val="00151EB7"/>
    <w:rsid w:val="00153136"/>
    <w:rsid w:val="00154143"/>
    <w:rsid w:val="001576D5"/>
    <w:rsid w:val="001608C2"/>
    <w:rsid w:val="00160A84"/>
    <w:rsid w:val="00160F50"/>
    <w:rsid w:val="001612FC"/>
    <w:rsid w:val="001613EA"/>
    <w:rsid w:val="00162030"/>
    <w:rsid w:val="00163000"/>
    <w:rsid w:val="001631B5"/>
    <w:rsid w:val="001656F4"/>
    <w:rsid w:val="00165FDA"/>
    <w:rsid w:val="00166CF2"/>
    <w:rsid w:val="00166FE9"/>
    <w:rsid w:val="001720AF"/>
    <w:rsid w:val="00172E72"/>
    <w:rsid w:val="00172FB0"/>
    <w:rsid w:val="001753B1"/>
    <w:rsid w:val="0017541C"/>
    <w:rsid w:val="0017547A"/>
    <w:rsid w:val="00175B01"/>
    <w:rsid w:val="00176138"/>
    <w:rsid w:val="00176CB0"/>
    <w:rsid w:val="00177D5F"/>
    <w:rsid w:val="00183B8B"/>
    <w:rsid w:val="0018607C"/>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3FE5"/>
    <w:rsid w:val="001A50E0"/>
    <w:rsid w:val="001A5832"/>
    <w:rsid w:val="001A5AA8"/>
    <w:rsid w:val="001A6119"/>
    <w:rsid w:val="001A6587"/>
    <w:rsid w:val="001A7A97"/>
    <w:rsid w:val="001B1DE5"/>
    <w:rsid w:val="001B2067"/>
    <w:rsid w:val="001B2847"/>
    <w:rsid w:val="001B309F"/>
    <w:rsid w:val="001B66ED"/>
    <w:rsid w:val="001B7407"/>
    <w:rsid w:val="001B7C8D"/>
    <w:rsid w:val="001C247A"/>
    <w:rsid w:val="001C2576"/>
    <w:rsid w:val="001C2710"/>
    <w:rsid w:val="001C4AEB"/>
    <w:rsid w:val="001C5C04"/>
    <w:rsid w:val="001C62FF"/>
    <w:rsid w:val="001C777C"/>
    <w:rsid w:val="001D0232"/>
    <w:rsid w:val="001D1D08"/>
    <w:rsid w:val="001D3348"/>
    <w:rsid w:val="001D3974"/>
    <w:rsid w:val="001D41D9"/>
    <w:rsid w:val="001D6BCF"/>
    <w:rsid w:val="001D7F71"/>
    <w:rsid w:val="001E06DA"/>
    <w:rsid w:val="001E0713"/>
    <w:rsid w:val="001E2A2D"/>
    <w:rsid w:val="001E522E"/>
    <w:rsid w:val="001E5452"/>
    <w:rsid w:val="001E567F"/>
    <w:rsid w:val="001E7656"/>
    <w:rsid w:val="001E7691"/>
    <w:rsid w:val="001E7E62"/>
    <w:rsid w:val="001F0154"/>
    <w:rsid w:val="001F1B9D"/>
    <w:rsid w:val="001F2051"/>
    <w:rsid w:val="001F20D1"/>
    <w:rsid w:val="001F3782"/>
    <w:rsid w:val="001F3A6D"/>
    <w:rsid w:val="001F3DBA"/>
    <w:rsid w:val="001F3F68"/>
    <w:rsid w:val="001F42B4"/>
    <w:rsid w:val="001F4B6F"/>
    <w:rsid w:val="001F52FE"/>
    <w:rsid w:val="001F5C33"/>
    <w:rsid w:val="001F637B"/>
    <w:rsid w:val="001F75C5"/>
    <w:rsid w:val="001F7F80"/>
    <w:rsid w:val="00201797"/>
    <w:rsid w:val="002023AC"/>
    <w:rsid w:val="00204826"/>
    <w:rsid w:val="002052C2"/>
    <w:rsid w:val="002053A5"/>
    <w:rsid w:val="00207CCB"/>
    <w:rsid w:val="002100C5"/>
    <w:rsid w:val="002103D3"/>
    <w:rsid w:val="00212E51"/>
    <w:rsid w:val="00214FB7"/>
    <w:rsid w:val="002160E8"/>
    <w:rsid w:val="002218D7"/>
    <w:rsid w:val="00222D77"/>
    <w:rsid w:val="00226BB4"/>
    <w:rsid w:val="00233190"/>
    <w:rsid w:val="002346CA"/>
    <w:rsid w:val="00234FB2"/>
    <w:rsid w:val="00240E96"/>
    <w:rsid w:val="0024184E"/>
    <w:rsid w:val="00241A1A"/>
    <w:rsid w:val="0024402F"/>
    <w:rsid w:val="002441A0"/>
    <w:rsid w:val="002454F9"/>
    <w:rsid w:val="00247A56"/>
    <w:rsid w:val="00247E2D"/>
    <w:rsid w:val="00250F16"/>
    <w:rsid w:val="00250FC9"/>
    <w:rsid w:val="002530B7"/>
    <w:rsid w:val="00253100"/>
    <w:rsid w:val="00253F18"/>
    <w:rsid w:val="00256496"/>
    <w:rsid w:val="00260F45"/>
    <w:rsid w:val="00264773"/>
    <w:rsid w:val="00265D22"/>
    <w:rsid w:val="00266271"/>
    <w:rsid w:val="00266833"/>
    <w:rsid w:val="00267A7E"/>
    <w:rsid w:val="00270811"/>
    <w:rsid w:val="0027394C"/>
    <w:rsid w:val="00274F6E"/>
    <w:rsid w:val="00277794"/>
    <w:rsid w:val="00280901"/>
    <w:rsid w:val="00280FA1"/>
    <w:rsid w:val="00281C86"/>
    <w:rsid w:val="002857BF"/>
    <w:rsid w:val="00291149"/>
    <w:rsid w:val="0029168F"/>
    <w:rsid w:val="00292D3D"/>
    <w:rsid w:val="00294522"/>
    <w:rsid w:val="0029496E"/>
    <w:rsid w:val="00294C38"/>
    <w:rsid w:val="00295D1E"/>
    <w:rsid w:val="0029613A"/>
    <w:rsid w:val="0029623C"/>
    <w:rsid w:val="002A0183"/>
    <w:rsid w:val="002A371A"/>
    <w:rsid w:val="002A3805"/>
    <w:rsid w:val="002A6380"/>
    <w:rsid w:val="002A70F1"/>
    <w:rsid w:val="002B1E4D"/>
    <w:rsid w:val="002B212C"/>
    <w:rsid w:val="002B2BD0"/>
    <w:rsid w:val="002B36C4"/>
    <w:rsid w:val="002B49C0"/>
    <w:rsid w:val="002B4F77"/>
    <w:rsid w:val="002C1220"/>
    <w:rsid w:val="002C27B4"/>
    <w:rsid w:val="002C3D92"/>
    <w:rsid w:val="002C713D"/>
    <w:rsid w:val="002D03A2"/>
    <w:rsid w:val="002D04AE"/>
    <w:rsid w:val="002D30B2"/>
    <w:rsid w:val="002D39FE"/>
    <w:rsid w:val="002D4C06"/>
    <w:rsid w:val="002D5149"/>
    <w:rsid w:val="002D52AA"/>
    <w:rsid w:val="002D5736"/>
    <w:rsid w:val="002D7185"/>
    <w:rsid w:val="002D7907"/>
    <w:rsid w:val="002E1EFF"/>
    <w:rsid w:val="002E4022"/>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4B3C"/>
    <w:rsid w:val="002F600B"/>
    <w:rsid w:val="002F6559"/>
    <w:rsid w:val="002F6C39"/>
    <w:rsid w:val="002F7267"/>
    <w:rsid w:val="00301BB1"/>
    <w:rsid w:val="00302321"/>
    <w:rsid w:val="0030236C"/>
    <w:rsid w:val="00302FC1"/>
    <w:rsid w:val="00303095"/>
    <w:rsid w:val="00303595"/>
    <w:rsid w:val="003037D6"/>
    <w:rsid w:val="0030687D"/>
    <w:rsid w:val="00314C79"/>
    <w:rsid w:val="00316A19"/>
    <w:rsid w:val="00316CF8"/>
    <w:rsid w:val="00316E43"/>
    <w:rsid w:val="00317CFB"/>
    <w:rsid w:val="00325839"/>
    <w:rsid w:val="00325CB4"/>
    <w:rsid w:val="00326573"/>
    <w:rsid w:val="003315ED"/>
    <w:rsid w:val="00334631"/>
    <w:rsid w:val="0033490B"/>
    <w:rsid w:val="00341C06"/>
    <w:rsid w:val="00342EFB"/>
    <w:rsid w:val="003436EA"/>
    <w:rsid w:val="00343AE3"/>
    <w:rsid w:val="00344ABF"/>
    <w:rsid w:val="00346872"/>
    <w:rsid w:val="003479FB"/>
    <w:rsid w:val="00351071"/>
    <w:rsid w:val="003515C6"/>
    <w:rsid w:val="00351979"/>
    <w:rsid w:val="003531F0"/>
    <w:rsid w:val="0035398F"/>
    <w:rsid w:val="00353C2F"/>
    <w:rsid w:val="00354325"/>
    <w:rsid w:val="00355579"/>
    <w:rsid w:val="00355D64"/>
    <w:rsid w:val="003567B1"/>
    <w:rsid w:val="00361FF8"/>
    <w:rsid w:val="003622B2"/>
    <w:rsid w:val="003632E2"/>
    <w:rsid w:val="00364092"/>
    <w:rsid w:val="0036416E"/>
    <w:rsid w:val="00366007"/>
    <w:rsid w:val="00366AB3"/>
    <w:rsid w:val="0036752A"/>
    <w:rsid w:val="00370022"/>
    <w:rsid w:val="003713DE"/>
    <w:rsid w:val="0037150D"/>
    <w:rsid w:val="00372EA6"/>
    <w:rsid w:val="003736A6"/>
    <w:rsid w:val="00373718"/>
    <w:rsid w:val="00373A6F"/>
    <w:rsid w:val="00375D49"/>
    <w:rsid w:val="003810E1"/>
    <w:rsid w:val="00381FF7"/>
    <w:rsid w:val="00382541"/>
    <w:rsid w:val="003843B5"/>
    <w:rsid w:val="003848A6"/>
    <w:rsid w:val="00386AD5"/>
    <w:rsid w:val="00386EAD"/>
    <w:rsid w:val="00395A6C"/>
    <w:rsid w:val="00396FFB"/>
    <w:rsid w:val="00397844"/>
    <w:rsid w:val="003A1FCF"/>
    <w:rsid w:val="003A351B"/>
    <w:rsid w:val="003A4FE4"/>
    <w:rsid w:val="003A5789"/>
    <w:rsid w:val="003B017D"/>
    <w:rsid w:val="003B0915"/>
    <w:rsid w:val="003B1582"/>
    <w:rsid w:val="003B2404"/>
    <w:rsid w:val="003B354A"/>
    <w:rsid w:val="003B3F08"/>
    <w:rsid w:val="003B4D03"/>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31C3"/>
    <w:rsid w:val="003E4879"/>
    <w:rsid w:val="003E5E0E"/>
    <w:rsid w:val="003E688C"/>
    <w:rsid w:val="003E6B46"/>
    <w:rsid w:val="003E7430"/>
    <w:rsid w:val="003E745D"/>
    <w:rsid w:val="003F1257"/>
    <w:rsid w:val="003F1294"/>
    <w:rsid w:val="003F2EE5"/>
    <w:rsid w:val="003F5B27"/>
    <w:rsid w:val="003F5BF3"/>
    <w:rsid w:val="003F7863"/>
    <w:rsid w:val="00400647"/>
    <w:rsid w:val="004034E3"/>
    <w:rsid w:val="004062F8"/>
    <w:rsid w:val="0041365E"/>
    <w:rsid w:val="004162EA"/>
    <w:rsid w:val="0041696D"/>
    <w:rsid w:val="004201E7"/>
    <w:rsid w:val="004204A9"/>
    <w:rsid w:val="004227F2"/>
    <w:rsid w:val="0042325A"/>
    <w:rsid w:val="004234C1"/>
    <w:rsid w:val="00424672"/>
    <w:rsid w:val="00424E12"/>
    <w:rsid w:val="00426107"/>
    <w:rsid w:val="00427C9E"/>
    <w:rsid w:val="004301BF"/>
    <w:rsid w:val="004302E3"/>
    <w:rsid w:val="00431838"/>
    <w:rsid w:val="00432587"/>
    <w:rsid w:val="00433B54"/>
    <w:rsid w:val="00433FA8"/>
    <w:rsid w:val="00437F61"/>
    <w:rsid w:val="00440310"/>
    <w:rsid w:val="004409A8"/>
    <w:rsid w:val="00441CFF"/>
    <w:rsid w:val="0044437D"/>
    <w:rsid w:val="0044573D"/>
    <w:rsid w:val="00445804"/>
    <w:rsid w:val="00446A17"/>
    <w:rsid w:val="00446DEF"/>
    <w:rsid w:val="00450AE7"/>
    <w:rsid w:val="004510FC"/>
    <w:rsid w:val="00451B08"/>
    <w:rsid w:val="0045218B"/>
    <w:rsid w:val="00453D8C"/>
    <w:rsid w:val="004551BE"/>
    <w:rsid w:val="004560C7"/>
    <w:rsid w:val="00463601"/>
    <w:rsid w:val="00466B2E"/>
    <w:rsid w:val="00467E00"/>
    <w:rsid w:val="00474B20"/>
    <w:rsid w:val="004751F0"/>
    <w:rsid w:val="00475234"/>
    <w:rsid w:val="004846E3"/>
    <w:rsid w:val="00491D44"/>
    <w:rsid w:val="004A01D0"/>
    <w:rsid w:val="004A02BA"/>
    <w:rsid w:val="004A0FBE"/>
    <w:rsid w:val="004A2D12"/>
    <w:rsid w:val="004A561D"/>
    <w:rsid w:val="004B1B60"/>
    <w:rsid w:val="004B572C"/>
    <w:rsid w:val="004C1591"/>
    <w:rsid w:val="004C51F1"/>
    <w:rsid w:val="004C6337"/>
    <w:rsid w:val="004C680B"/>
    <w:rsid w:val="004C74C1"/>
    <w:rsid w:val="004C7D07"/>
    <w:rsid w:val="004D096B"/>
    <w:rsid w:val="004D0E5B"/>
    <w:rsid w:val="004D3C77"/>
    <w:rsid w:val="004D47BB"/>
    <w:rsid w:val="004D4B04"/>
    <w:rsid w:val="004D70EB"/>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30F0"/>
    <w:rsid w:val="005047F5"/>
    <w:rsid w:val="0050515C"/>
    <w:rsid w:val="00505208"/>
    <w:rsid w:val="00506EC1"/>
    <w:rsid w:val="00507C8F"/>
    <w:rsid w:val="00507E28"/>
    <w:rsid w:val="0051038E"/>
    <w:rsid w:val="00510650"/>
    <w:rsid w:val="0051072F"/>
    <w:rsid w:val="00510E46"/>
    <w:rsid w:val="00511B41"/>
    <w:rsid w:val="00512CE5"/>
    <w:rsid w:val="00512D4D"/>
    <w:rsid w:val="00512D81"/>
    <w:rsid w:val="00513AE1"/>
    <w:rsid w:val="00517DC5"/>
    <w:rsid w:val="00520EBB"/>
    <w:rsid w:val="0052198B"/>
    <w:rsid w:val="00522E93"/>
    <w:rsid w:val="0052301B"/>
    <w:rsid w:val="00523E33"/>
    <w:rsid w:val="005313FD"/>
    <w:rsid w:val="00532231"/>
    <w:rsid w:val="00535969"/>
    <w:rsid w:val="0054353F"/>
    <w:rsid w:val="00544254"/>
    <w:rsid w:val="0054645C"/>
    <w:rsid w:val="00552D9B"/>
    <w:rsid w:val="00553561"/>
    <w:rsid w:val="00554270"/>
    <w:rsid w:val="005547BB"/>
    <w:rsid w:val="0055595B"/>
    <w:rsid w:val="00557552"/>
    <w:rsid w:val="0055798C"/>
    <w:rsid w:val="00560767"/>
    <w:rsid w:val="00560C46"/>
    <w:rsid w:val="005613E7"/>
    <w:rsid w:val="00561754"/>
    <w:rsid w:val="00562396"/>
    <w:rsid w:val="00562AFC"/>
    <w:rsid w:val="00565294"/>
    <w:rsid w:val="00566551"/>
    <w:rsid w:val="00567711"/>
    <w:rsid w:val="00567A97"/>
    <w:rsid w:val="005704D5"/>
    <w:rsid w:val="00571060"/>
    <w:rsid w:val="00573D03"/>
    <w:rsid w:val="00573E06"/>
    <w:rsid w:val="00580784"/>
    <w:rsid w:val="0058091E"/>
    <w:rsid w:val="00580C99"/>
    <w:rsid w:val="00580E03"/>
    <w:rsid w:val="00581A5D"/>
    <w:rsid w:val="00582AE7"/>
    <w:rsid w:val="005831B2"/>
    <w:rsid w:val="00584D5B"/>
    <w:rsid w:val="00585012"/>
    <w:rsid w:val="005850FC"/>
    <w:rsid w:val="00585C9A"/>
    <w:rsid w:val="005870AE"/>
    <w:rsid w:val="00590F2C"/>
    <w:rsid w:val="00593863"/>
    <w:rsid w:val="00595980"/>
    <w:rsid w:val="00596813"/>
    <w:rsid w:val="005971B6"/>
    <w:rsid w:val="00597BE8"/>
    <w:rsid w:val="005A0431"/>
    <w:rsid w:val="005A0818"/>
    <w:rsid w:val="005A138F"/>
    <w:rsid w:val="005A21F9"/>
    <w:rsid w:val="005A3423"/>
    <w:rsid w:val="005A35D8"/>
    <w:rsid w:val="005A38E9"/>
    <w:rsid w:val="005A3FF2"/>
    <w:rsid w:val="005A48BD"/>
    <w:rsid w:val="005A5802"/>
    <w:rsid w:val="005A6C1E"/>
    <w:rsid w:val="005B30A4"/>
    <w:rsid w:val="005B3571"/>
    <w:rsid w:val="005B45BE"/>
    <w:rsid w:val="005B5117"/>
    <w:rsid w:val="005B7D40"/>
    <w:rsid w:val="005C1E2D"/>
    <w:rsid w:val="005C3D05"/>
    <w:rsid w:val="005C4133"/>
    <w:rsid w:val="005C6617"/>
    <w:rsid w:val="005C6801"/>
    <w:rsid w:val="005C6B96"/>
    <w:rsid w:val="005C6C30"/>
    <w:rsid w:val="005C6DBF"/>
    <w:rsid w:val="005C70FB"/>
    <w:rsid w:val="005C7135"/>
    <w:rsid w:val="005C75D0"/>
    <w:rsid w:val="005C7A55"/>
    <w:rsid w:val="005D0251"/>
    <w:rsid w:val="005D0DB9"/>
    <w:rsid w:val="005D11D9"/>
    <w:rsid w:val="005D7CAE"/>
    <w:rsid w:val="005D7FB9"/>
    <w:rsid w:val="005E0871"/>
    <w:rsid w:val="005E3A71"/>
    <w:rsid w:val="005E3B15"/>
    <w:rsid w:val="005E43CF"/>
    <w:rsid w:val="005E5C0B"/>
    <w:rsid w:val="005E6193"/>
    <w:rsid w:val="005F077E"/>
    <w:rsid w:val="005F131A"/>
    <w:rsid w:val="005F13BC"/>
    <w:rsid w:val="005F3A98"/>
    <w:rsid w:val="005F4164"/>
    <w:rsid w:val="005F7EFD"/>
    <w:rsid w:val="006006C0"/>
    <w:rsid w:val="00601EF0"/>
    <w:rsid w:val="00604BF6"/>
    <w:rsid w:val="00605ADB"/>
    <w:rsid w:val="006062B2"/>
    <w:rsid w:val="00606AEE"/>
    <w:rsid w:val="00607C06"/>
    <w:rsid w:val="006112BC"/>
    <w:rsid w:val="00612516"/>
    <w:rsid w:val="00616E4C"/>
    <w:rsid w:val="00617E6B"/>
    <w:rsid w:val="00620F50"/>
    <w:rsid w:val="006213E1"/>
    <w:rsid w:val="006251B0"/>
    <w:rsid w:val="00625AA1"/>
    <w:rsid w:val="00625B41"/>
    <w:rsid w:val="00626043"/>
    <w:rsid w:val="00630E9F"/>
    <w:rsid w:val="0063199B"/>
    <w:rsid w:val="00631DF1"/>
    <w:rsid w:val="0063210C"/>
    <w:rsid w:val="006337E9"/>
    <w:rsid w:val="00633F51"/>
    <w:rsid w:val="006344C2"/>
    <w:rsid w:val="00634CA0"/>
    <w:rsid w:val="00637BA7"/>
    <w:rsid w:val="00637BDC"/>
    <w:rsid w:val="006411F6"/>
    <w:rsid w:val="00645A7B"/>
    <w:rsid w:val="00646540"/>
    <w:rsid w:val="00646D52"/>
    <w:rsid w:val="006501AE"/>
    <w:rsid w:val="0065247C"/>
    <w:rsid w:val="00653F0A"/>
    <w:rsid w:val="0065417E"/>
    <w:rsid w:val="00655D9A"/>
    <w:rsid w:val="006562F4"/>
    <w:rsid w:val="006572CF"/>
    <w:rsid w:val="00662E15"/>
    <w:rsid w:val="00663F58"/>
    <w:rsid w:val="006640FC"/>
    <w:rsid w:val="00664216"/>
    <w:rsid w:val="00665940"/>
    <w:rsid w:val="00667074"/>
    <w:rsid w:val="006679C5"/>
    <w:rsid w:val="006703DD"/>
    <w:rsid w:val="00675472"/>
    <w:rsid w:val="00675EE0"/>
    <w:rsid w:val="00676C12"/>
    <w:rsid w:val="006778EC"/>
    <w:rsid w:val="00677EAE"/>
    <w:rsid w:val="00682D33"/>
    <w:rsid w:val="006835C3"/>
    <w:rsid w:val="00685541"/>
    <w:rsid w:val="00685C83"/>
    <w:rsid w:val="006865E2"/>
    <w:rsid w:val="006879A3"/>
    <w:rsid w:val="00690EC6"/>
    <w:rsid w:val="0069138B"/>
    <w:rsid w:val="0069211C"/>
    <w:rsid w:val="00693375"/>
    <w:rsid w:val="0069399C"/>
    <w:rsid w:val="00693FAE"/>
    <w:rsid w:val="00695540"/>
    <w:rsid w:val="0069575A"/>
    <w:rsid w:val="006961FE"/>
    <w:rsid w:val="00696DA5"/>
    <w:rsid w:val="00696DE6"/>
    <w:rsid w:val="00697972"/>
    <w:rsid w:val="006A0553"/>
    <w:rsid w:val="006A366A"/>
    <w:rsid w:val="006A36BB"/>
    <w:rsid w:val="006A3FD3"/>
    <w:rsid w:val="006A4869"/>
    <w:rsid w:val="006A59EF"/>
    <w:rsid w:val="006A7B90"/>
    <w:rsid w:val="006B16B6"/>
    <w:rsid w:val="006B5B25"/>
    <w:rsid w:val="006B7E86"/>
    <w:rsid w:val="006C147A"/>
    <w:rsid w:val="006C2036"/>
    <w:rsid w:val="006C3C77"/>
    <w:rsid w:val="006C3F0F"/>
    <w:rsid w:val="006C4548"/>
    <w:rsid w:val="006C50C7"/>
    <w:rsid w:val="006C5417"/>
    <w:rsid w:val="006C6C1F"/>
    <w:rsid w:val="006D0887"/>
    <w:rsid w:val="006D14B7"/>
    <w:rsid w:val="006D1DB5"/>
    <w:rsid w:val="006D3019"/>
    <w:rsid w:val="006D39C8"/>
    <w:rsid w:val="006D3BA3"/>
    <w:rsid w:val="006D4A3B"/>
    <w:rsid w:val="006D4BE1"/>
    <w:rsid w:val="006E0B8E"/>
    <w:rsid w:val="006E255F"/>
    <w:rsid w:val="006E30CF"/>
    <w:rsid w:val="006E56A1"/>
    <w:rsid w:val="006E6C6A"/>
    <w:rsid w:val="006F1450"/>
    <w:rsid w:val="006F2D8B"/>
    <w:rsid w:val="006F49CA"/>
    <w:rsid w:val="006F7608"/>
    <w:rsid w:val="006F7867"/>
    <w:rsid w:val="007001E9"/>
    <w:rsid w:val="00700F7F"/>
    <w:rsid w:val="0070290F"/>
    <w:rsid w:val="007049D4"/>
    <w:rsid w:val="00704B41"/>
    <w:rsid w:val="00705276"/>
    <w:rsid w:val="0070569C"/>
    <w:rsid w:val="007057E1"/>
    <w:rsid w:val="00705ECD"/>
    <w:rsid w:val="0070755C"/>
    <w:rsid w:val="00710FB1"/>
    <w:rsid w:val="0071173C"/>
    <w:rsid w:val="007125C4"/>
    <w:rsid w:val="00713C77"/>
    <w:rsid w:val="00713F61"/>
    <w:rsid w:val="00713FC3"/>
    <w:rsid w:val="00715AC1"/>
    <w:rsid w:val="00716EAF"/>
    <w:rsid w:val="00717C6C"/>
    <w:rsid w:val="00717DE2"/>
    <w:rsid w:val="0072100E"/>
    <w:rsid w:val="007217B0"/>
    <w:rsid w:val="007217F8"/>
    <w:rsid w:val="00721952"/>
    <w:rsid w:val="00721D71"/>
    <w:rsid w:val="0072382E"/>
    <w:rsid w:val="00723F01"/>
    <w:rsid w:val="007253BC"/>
    <w:rsid w:val="00725778"/>
    <w:rsid w:val="00727990"/>
    <w:rsid w:val="00732633"/>
    <w:rsid w:val="0073264C"/>
    <w:rsid w:val="0073355B"/>
    <w:rsid w:val="00733C22"/>
    <w:rsid w:val="007345DD"/>
    <w:rsid w:val="00734CC7"/>
    <w:rsid w:val="00735B49"/>
    <w:rsid w:val="00740852"/>
    <w:rsid w:val="00740C26"/>
    <w:rsid w:val="007416F7"/>
    <w:rsid w:val="007418EB"/>
    <w:rsid w:val="00742C02"/>
    <w:rsid w:val="007479BD"/>
    <w:rsid w:val="00747EA2"/>
    <w:rsid w:val="007526FF"/>
    <w:rsid w:val="00752A91"/>
    <w:rsid w:val="0075373F"/>
    <w:rsid w:val="007547ED"/>
    <w:rsid w:val="00756069"/>
    <w:rsid w:val="00756D01"/>
    <w:rsid w:val="00760451"/>
    <w:rsid w:val="00760B83"/>
    <w:rsid w:val="0076147E"/>
    <w:rsid w:val="00761978"/>
    <w:rsid w:val="0076197C"/>
    <w:rsid w:val="00762AE6"/>
    <w:rsid w:val="00763162"/>
    <w:rsid w:val="00765404"/>
    <w:rsid w:val="0076626D"/>
    <w:rsid w:val="007674B9"/>
    <w:rsid w:val="0076780A"/>
    <w:rsid w:val="0077614D"/>
    <w:rsid w:val="00781C6C"/>
    <w:rsid w:val="00782614"/>
    <w:rsid w:val="00785A82"/>
    <w:rsid w:val="007915EE"/>
    <w:rsid w:val="00792817"/>
    <w:rsid w:val="00792A5D"/>
    <w:rsid w:val="00792AD6"/>
    <w:rsid w:val="00792EF6"/>
    <w:rsid w:val="007943A4"/>
    <w:rsid w:val="007967FA"/>
    <w:rsid w:val="00797665"/>
    <w:rsid w:val="00797C3F"/>
    <w:rsid w:val="007A038F"/>
    <w:rsid w:val="007A0C92"/>
    <w:rsid w:val="007A228E"/>
    <w:rsid w:val="007A4741"/>
    <w:rsid w:val="007A6D99"/>
    <w:rsid w:val="007A75E2"/>
    <w:rsid w:val="007B158F"/>
    <w:rsid w:val="007B3FCE"/>
    <w:rsid w:val="007B4002"/>
    <w:rsid w:val="007B4BFD"/>
    <w:rsid w:val="007B6215"/>
    <w:rsid w:val="007B6266"/>
    <w:rsid w:val="007B7514"/>
    <w:rsid w:val="007C144C"/>
    <w:rsid w:val="007C16D0"/>
    <w:rsid w:val="007C2443"/>
    <w:rsid w:val="007C5466"/>
    <w:rsid w:val="007C5A01"/>
    <w:rsid w:val="007C6602"/>
    <w:rsid w:val="007D052D"/>
    <w:rsid w:val="007D0A4E"/>
    <w:rsid w:val="007D169C"/>
    <w:rsid w:val="007D3961"/>
    <w:rsid w:val="007D47D6"/>
    <w:rsid w:val="007D5B70"/>
    <w:rsid w:val="007D5D4B"/>
    <w:rsid w:val="007E1BCA"/>
    <w:rsid w:val="007E38C6"/>
    <w:rsid w:val="007E54A2"/>
    <w:rsid w:val="007F0BA4"/>
    <w:rsid w:val="007F0E05"/>
    <w:rsid w:val="007F0FA6"/>
    <w:rsid w:val="007F10CE"/>
    <w:rsid w:val="007F1305"/>
    <w:rsid w:val="007F1ACC"/>
    <w:rsid w:val="007F1BE1"/>
    <w:rsid w:val="007F32E6"/>
    <w:rsid w:val="007F3D3D"/>
    <w:rsid w:val="007F5201"/>
    <w:rsid w:val="007F7763"/>
    <w:rsid w:val="007F78AF"/>
    <w:rsid w:val="00800934"/>
    <w:rsid w:val="008010EF"/>
    <w:rsid w:val="00801AA0"/>
    <w:rsid w:val="00801CE8"/>
    <w:rsid w:val="00803665"/>
    <w:rsid w:val="00807B6D"/>
    <w:rsid w:val="00810A0C"/>
    <w:rsid w:val="00812A68"/>
    <w:rsid w:val="00813761"/>
    <w:rsid w:val="00813F66"/>
    <w:rsid w:val="008146C7"/>
    <w:rsid w:val="00816220"/>
    <w:rsid w:val="008213A5"/>
    <w:rsid w:val="00822EAE"/>
    <w:rsid w:val="00823779"/>
    <w:rsid w:val="00824458"/>
    <w:rsid w:val="00824715"/>
    <w:rsid w:val="0082623C"/>
    <w:rsid w:val="00826F54"/>
    <w:rsid w:val="008305AC"/>
    <w:rsid w:val="00832F9D"/>
    <w:rsid w:val="008336FB"/>
    <w:rsid w:val="00833C9B"/>
    <w:rsid w:val="008340A7"/>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40CC"/>
    <w:rsid w:val="00866762"/>
    <w:rsid w:val="00866A54"/>
    <w:rsid w:val="00867D70"/>
    <w:rsid w:val="00870FC7"/>
    <w:rsid w:val="0087148D"/>
    <w:rsid w:val="00871A74"/>
    <w:rsid w:val="00872B49"/>
    <w:rsid w:val="0087611D"/>
    <w:rsid w:val="00880500"/>
    <w:rsid w:val="00880647"/>
    <w:rsid w:val="00880672"/>
    <w:rsid w:val="0088345A"/>
    <w:rsid w:val="00887AF8"/>
    <w:rsid w:val="00887B27"/>
    <w:rsid w:val="0089032C"/>
    <w:rsid w:val="00890492"/>
    <w:rsid w:val="00890619"/>
    <w:rsid w:val="00891120"/>
    <w:rsid w:val="00891920"/>
    <w:rsid w:val="00892389"/>
    <w:rsid w:val="008927BC"/>
    <w:rsid w:val="00892FAA"/>
    <w:rsid w:val="008944F6"/>
    <w:rsid w:val="00895217"/>
    <w:rsid w:val="008956B3"/>
    <w:rsid w:val="00895A43"/>
    <w:rsid w:val="00897595"/>
    <w:rsid w:val="008A316F"/>
    <w:rsid w:val="008A3A0A"/>
    <w:rsid w:val="008A5243"/>
    <w:rsid w:val="008A78B5"/>
    <w:rsid w:val="008A7E9A"/>
    <w:rsid w:val="008B0B6B"/>
    <w:rsid w:val="008B4EE1"/>
    <w:rsid w:val="008B4FC8"/>
    <w:rsid w:val="008B5430"/>
    <w:rsid w:val="008B569F"/>
    <w:rsid w:val="008B6377"/>
    <w:rsid w:val="008B7192"/>
    <w:rsid w:val="008B7921"/>
    <w:rsid w:val="008C06AF"/>
    <w:rsid w:val="008C5CB9"/>
    <w:rsid w:val="008C7CE2"/>
    <w:rsid w:val="008D16C8"/>
    <w:rsid w:val="008D189E"/>
    <w:rsid w:val="008D5451"/>
    <w:rsid w:val="008D6351"/>
    <w:rsid w:val="008D687B"/>
    <w:rsid w:val="008D6ED3"/>
    <w:rsid w:val="008D7DC5"/>
    <w:rsid w:val="008E01D1"/>
    <w:rsid w:val="008E085D"/>
    <w:rsid w:val="008E3310"/>
    <w:rsid w:val="008E3E1F"/>
    <w:rsid w:val="008E418D"/>
    <w:rsid w:val="008E5B51"/>
    <w:rsid w:val="008E720D"/>
    <w:rsid w:val="008F1C99"/>
    <w:rsid w:val="008F22A9"/>
    <w:rsid w:val="008F2B70"/>
    <w:rsid w:val="008F5AC1"/>
    <w:rsid w:val="008F6127"/>
    <w:rsid w:val="008F6B8C"/>
    <w:rsid w:val="009003C6"/>
    <w:rsid w:val="0090079C"/>
    <w:rsid w:val="009008D8"/>
    <w:rsid w:val="00900947"/>
    <w:rsid w:val="00901A8A"/>
    <w:rsid w:val="00901C7A"/>
    <w:rsid w:val="0090201F"/>
    <w:rsid w:val="00902342"/>
    <w:rsid w:val="00902FCF"/>
    <w:rsid w:val="00904521"/>
    <w:rsid w:val="009066E9"/>
    <w:rsid w:val="00910A53"/>
    <w:rsid w:val="00911F70"/>
    <w:rsid w:val="00913E39"/>
    <w:rsid w:val="00915BA6"/>
    <w:rsid w:val="009178F1"/>
    <w:rsid w:val="0092113A"/>
    <w:rsid w:val="00921BF3"/>
    <w:rsid w:val="00922C14"/>
    <w:rsid w:val="00922F2D"/>
    <w:rsid w:val="00925266"/>
    <w:rsid w:val="00927168"/>
    <w:rsid w:val="0093071C"/>
    <w:rsid w:val="00931A6A"/>
    <w:rsid w:val="009333C2"/>
    <w:rsid w:val="00933EE9"/>
    <w:rsid w:val="0093522E"/>
    <w:rsid w:val="00935937"/>
    <w:rsid w:val="009366CB"/>
    <w:rsid w:val="009367B9"/>
    <w:rsid w:val="00937A4D"/>
    <w:rsid w:val="0094392B"/>
    <w:rsid w:val="00943BFD"/>
    <w:rsid w:val="009466B3"/>
    <w:rsid w:val="00951705"/>
    <w:rsid w:val="00952A29"/>
    <w:rsid w:val="00953179"/>
    <w:rsid w:val="00955B05"/>
    <w:rsid w:val="0095608F"/>
    <w:rsid w:val="009570D8"/>
    <w:rsid w:val="0096000B"/>
    <w:rsid w:val="00963A1A"/>
    <w:rsid w:val="009642F5"/>
    <w:rsid w:val="009660C0"/>
    <w:rsid w:val="00966288"/>
    <w:rsid w:val="0096629E"/>
    <w:rsid w:val="00981341"/>
    <w:rsid w:val="00981B80"/>
    <w:rsid w:val="009839ED"/>
    <w:rsid w:val="00983A38"/>
    <w:rsid w:val="00987748"/>
    <w:rsid w:val="00987AE2"/>
    <w:rsid w:val="00990879"/>
    <w:rsid w:val="0099383A"/>
    <w:rsid w:val="009948CC"/>
    <w:rsid w:val="00994983"/>
    <w:rsid w:val="00997691"/>
    <w:rsid w:val="00997F1E"/>
    <w:rsid w:val="009A0794"/>
    <w:rsid w:val="009A09EC"/>
    <w:rsid w:val="009A2889"/>
    <w:rsid w:val="009A394E"/>
    <w:rsid w:val="009A45F0"/>
    <w:rsid w:val="009A5DED"/>
    <w:rsid w:val="009A65E8"/>
    <w:rsid w:val="009A66BB"/>
    <w:rsid w:val="009A6E01"/>
    <w:rsid w:val="009B04C4"/>
    <w:rsid w:val="009B1B41"/>
    <w:rsid w:val="009B393E"/>
    <w:rsid w:val="009B45F4"/>
    <w:rsid w:val="009B4929"/>
    <w:rsid w:val="009C05E4"/>
    <w:rsid w:val="009C064B"/>
    <w:rsid w:val="009C0949"/>
    <w:rsid w:val="009C135B"/>
    <w:rsid w:val="009C1E9D"/>
    <w:rsid w:val="009C1EAE"/>
    <w:rsid w:val="009C2014"/>
    <w:rsid w:val="009C2426"/>
    <w:rsid w:val="009C37FB"/>
    <w:rsid w:val="009C46E6"/>
    <w:rsid w:val="009C4B4D"/>
    <w:rsid w:val="009C6FC7"/>
    <w:rsid w:val="009D0741"/>
    <w:rsid w:val="009D0C53"/>
    <w:rsid w:val="009D33B4"/>
    <w:rsid w:val="009D441E"/>
    <w:rsid w:val="009D57F3"/>
    <w:rsid w:val="009D7BAC"/>
    <w:rsid w:val="009E2568"/>
    <w:rsid w:val="009F0933"/>
    <w:rsid w:val="009F0A5D"/>
    <w:rsid w:val="009F13A8"/>
    <w:rsid w:val="009F18A7"/>
    <w:rsid w:val="009F332D"/>
    <w:rsid w:val="009F36C6"/>
    <w:rsid w:val="009F49AA"/>
    <w:rsid w:val="009F4B8C"/>
    <w:rsid w:val="009F5050"/>
    <w:rsid w:val="009F5235"/>
    <w:rsid w:val="009F566E"/>
    <w:rsid w:val="009F7F36"/>
    <w:rsid w:val="00A009DF"/>
    <w:rsid w:val="00A02C00"/>
    <w:rsid w:val="00A03488"/>
    <w:rsid w:val="00A04171"/>
    <w:rsid w:val="00A0419F"/>
    <w:rsid w:val="00A1027D"/>
    <w:rsid w:val="00A10573"/>
    <w:rsid w:val="00A10B35"/>
    <w:rsid w:val="00A123C4"/>
    <w:rsid w:val="00A138D9"/>
    <w:rsid w:val="00A13F8F"/>
    <w:rsid w:val="00A155E4"/>
    <w:rsid w:val="00A1674B"/>
    <w:rsid w:val="00A21A07"/>
    <w:rsid w:val="00A21BDE"/>
    <w:rsid w:val="00A22271"/>
    <w:rsid w:val="00A22EF6"/>
    <w:rsid w:val="00A234F1"/>
    <w:rsid w:val="00A24FE7"/>
    <w:rsid w:val="00A263BA"/>
    <w:rsid w:val="00A26668"/>
    <w:rsid w:val="00A26900"/>
    <w:rsid w:val="00A26BB0"/>
    <w:rsid w:val="00A27A22"/>
    <w:rsid w:val="00A304CE"/>
    <w:rsid w:val="00A30520"/>
    <w:rsid w:val="00A306C4"/>
    <w:rsid w:val="00A31BC4"/>
    <w:rsid w:val="00A347B7"/>
    <w:rsid w:val="00A354D0"/>
    <w:rsid w:val="00A358E1"/>
    <w:rsid w:val="00A37FE0"/>
    <w:rsid w:val="00A424B0"/>
    <w:rsid w:val="00A42E34"/>
    <w:rsid w:val="00A432F1"/>
    <w:rsid w:val="00A437AF"/>
    <w:rsid w:val="00A44126"/>
    <w:rsid w:val="00A46D64"/>
    <w:rsid w:val="00A50704"/>
    <w:rsid w:val="00A60D3B"/>
    <w:rsid w:val="00A61401"/>
    <w:rsid w:val="00A62CC1"/>
    <w:rsid w:val="00A630C1"/>
    <w:rsid w:val="00A63A39"/>
    <w:rsid w:val="00A64C92"/>
    <w:rsid w:val="00A6501C"/>
    <w:rsid w:val="00A65937"/>
    <w:rsid w:val="00A67895"/>
    <w:rsid w:val="00A71357"/>
    <w:rsid w:val="00A765A1"/>
    <w:rsid w:val="00A76C92"/>
    <w:rsid w:val="00A77733"/>
    <w:rsid w:val="00A81979"/>
    <w:rsid w:val="00A838D6"/>
    <w:rsid w:val="00A86139"/>
    <w:rsid w:val="00A90600"/>
    <w:rsid w:val="00A93D3F"/>
    <w:rsid w:val="00A949B2"/>
    <w:rsid w:val="00A95535"/>
    <w:rsid w:val="00A961B1"/>
    <w:rsid w:val="00A96E6C"/>
    <w:rsid w:val="00A973EA"/>
    <w:rsid w:val="00AA0C47"/>
    <w:rsid w:val="00AA106B"/>
    <w:rsid w:val="00AA11D0"/>
    <w:rsid w:val="00AA273F"/>
    <w:rsid w:val="00AA5DEA"/>
    <w:rsid w:val="00AA5E8E"/>
    <w:rsid w:val="00AA71AD"/>
    <w:rsid w:val="00AB0897"/>
    <w:rsid w:val="00AB1A88"/>
    <w:rsid w:val="00AB20DB"/>
    <w:rsid w:val="00AB3D2A"/>
    <w:rsid w:val="00AB454A"/>
    <w:rsid w:val="00AB5244"/>
    <w:rsid w:val="00AB56E9"/>
    <w:rsid w:val="00AC0109"/>
    <w:rsid w:val="00AC0681"/>
    <w:rsid w:val="00AC07D7"/>
    <w:rsid w:val="00AC0C01"/>
    <w:rsid w:val="00AC1B58"/>
    <w:rsid w:val="00AC3477"/>
    <w:rsid w:val="00AC47C8"/>
    <w:rsid w:val="00AC56B0"/>
    <w:rsid w:val="00AC5A7B"/>
    <w:rsid w:val="00AC76AC"/>
    <w:rsid w:val="00AD2D25"/>
    <w:rsid w:val="00AD529D"/>
    <w:rsid w:val="00AD660B"/>
    <w:rsid w:val="00AD684D"/>
    <w:rsid w:val="00AD7289"/>
    <w:rsid w:val="00AD7FC4"/>
    <w:rsid w:val="00AE0CAD"/>
    <w:rsid w:val="00AE1468"/>
    <w:rsid w:val="00AE45B5"/>
    <w:rsid w:val="00AE4631"/>
    <w:rsid w:val="00AE4869"/>
    <w:rsid w:val="00AE6581"/>
    <w:rsid w:val="00AE7740"/>
    <w:rsid w:val="00AF0BF0"/>
    <w:rsid w:val="00AF1ED3"/>
    <w:rsid w:val="00AF3810"/>
    <w:rsid w:val="00AF4D73"/>
    <w:rsid w:val="00AF739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4653"/>
    <w:rsid w:val="00B26934"/>
    <w:rsid w:val="00B271F3"/>
    <w:rsid w:val="00B27CC7"/>
    <w:rsid w:val="00B316EC"/>
    <w:rsid w:val="00B32FCE"/>
    <w:rsid w:val="00B33840"/>
    <w:rsid w:val="00B345B0"/>
    <w:rsid w:val="00B35492"/>
    <w:rsid w:val="00B362E6"/>
    <w:rsid w:val="00B364BA"/>
    <w:rsid w:val="00B36B39"/>
    <w:rsid w:val="00B3728E"/>
    <w:rsid w:val="00B40ED8"/>
    <w:rsid w:val="00B41E05"/>
    <w:rsid w:val="00B42635"/>
    <w:rsid w:val="00B42CB2"/>
    <w:rsid w:val="00B42E85"/>
    <w:rsid w:val="00B42F01"/>
    <w:rsid w:val="00B44CE5"/>
    <w:rsid w:val="00B45AE8"/>
    <w:rsid w:val="00B46393"/>
    <w:rsid w:val="00B4678C"/>
    <w:rsid w:val="00B51D09"/>
    <w:rsid w:val="00B524C1"/>
    <w:rsid w:val="00B5259D"/>
    <w:rsid w:val="00B54315"/>
    <w:rsid w:val="00B547E6"/>
    <w:rsid w:val="00B555FC"/>
    <w:rsid w:val="00B576D5"/>
    <w:rsid w:val="00B60289"/>
    <w:rsid w:val="00B60E78"/>
    <w:rsid w:val="00B61706"/>
    <w:rsid w:val="00B6296C"/>
    <w:rsid w:val="00B63269"/>
    <w:rsid w:val="00B63374"/>
    <w:rsid w:val="00B63671"/>
    <w:rsid w:val="00B63CED"/>
    <w:rsid w:val="00B63E01"/>
    <w:rsid w:val="00B64AA1"/>
    <w:rsid w:val="00B65A08"/>
    <w:rsid w:val="00B66725"/>
    <w:rsid w:val="00B70288"/>
    <w:rsid w:val="00B74019"/>
    <w:rsid w:val="00B74B7F"/>
    <w:rsid w:val="00B767C0"/>
    <w:rsid w:val="00B77623"/>
    <w:rsid w:val="00B778FF"/>
    <w:rsid w:val="00B8021C"/>
    <w:rsid w:val="00B82201"/>
    <w:rsid w:val="00B82C70"/>
    <w:rsid w:val="00B84FB0"/>
    <w:rsid w:val="00B858BF"/>
    <w:rsid w:val="00B8735C"/>
    <w:rsid w:val="00B87EF6"/>
    <w:rsid w:val="00B90439"/>
    <w:rsid w:val="00B90A53"/>
    <w:rsid w:val="00B93CCC"/>
    <w:rsid w:val="00B949B1"/>
    <w:rsid w:val="00B96394"/>
    <w:rsid w:val="00B977DF"/>
    <w:rsid w:val="00B97834"/>
    <w:rsid w:val="00BA0041"/>
    <w:rsid w:val="00BA248A"/>
    <w:rsid w:val="00BA2537"/>
    <w:rsid w:val="00BA2603"/>
    <w:rsid w:val="00BA3709"/>
    <w:rsid w:val="00BB1788"/>
    <w:rsid w:val="00BB1A34"/>
    <w:rsid w:val="00BB1D01"/>
    <w:rsid w:val="00BB2F95"/>
    <w:rsid w:val="00BB36A0"/>
    <w:rsid w:val="00BB4FE5"/>
    <w:rsid w:val="00BB561D"/>
    <w:rsid w:val="00BB57A4"/>
    <w:rsid w:val="00BB5CFA"/>
    <w:rsid w:val="00BB6B56"/>
    <w:rsid w:val="00BB7F6C"/>
    <w:rsid w:val="00BC09E6"/>
    <w:rsid w:val="00BC4407"/>
    <w:rsid w:val="00BC63C2"/>
    <w:rsid w:val="00BC6791"/>
    <w:rsid w:val="00BD102F"/>
    <w:rsid w:val="00BD13B8"/>
    <w:rsid w:val="00BD1E69"/>
    <w:rsid w:val="00BD3ABD"/>
    <w:rsid w:val="00BD3FF8"/>
    <w:rsid w:val="00BD666D"/>
    <w:rsid w:val="00BD69FF"/>
    <w:rsid w:val="00BD6C08"/>
    <w:rsid w:val="00BD7C6E"/>
    <w:rsid w:val="00BD7E13"/>
    <w:rsid w:val="00BE4D3C"/>
    <w:rsid w:val="00BE4D5D"/>
    <w:rsid w:val="00BE7544"/>
    <w:rsid w:val="00BE79F6"/>
    <w:rsid w:val="00BF07F6"/>
    <w:rsid w:val="00BF0DDB"/>
    <w:rsid w:val="00BF1D93"/>
    <w:rsid w:val="00BF2302"/>
    <w:rsid w:val="00BF3C79"/>
    <w:rsid w:val="00BF4641"/>
    <w:rsid w:val="00BF6534"/>
    <w:rsid w:val="00BF6BB9"/>
    <w:rsid w:val="00BF7986"/>
    <w:rsid w:val="00C02180"/>
    <w:rsid w:val="00C02C72"/>
    <w:rsid w:val="00C041A2"/>
    <w:rsid w:val="00C04229"/>
    <w:rsid w:val="00C052A7"/>
    <w:rsid w:val="00C06B8A"/>
    <w:rsid w:val="00C06D7F"/>
    <w:rsid w:val="00C07A40"/>
    <w:rsid w:val="00C11EF7"/>
    <w:rsid w:val="00C1236A"/>
    <w:rsid w:val="00C1239D"/>
    <w:rsid w:val="00C13340"/>
    <w:rsid w:val="00C13730"/>
    <w:rsid w:val="00C13C34"/>
    <w:rsid w:val="00C13D0B"/>
    <w:rsid w:val="00C15E02"/>
    <w:rsid w:val="00C15F10"/>
    <w:rsid w:val="00C172DF"/>
    <w:rsid w:val="00C20310"/>
    <w:rsid w:val="00C20AC5"/>
    <w:rsid w:val="00C22DA8"/>
    <w:rsid w:val="00C238B6"/>
    <w:rsid w:val="00C31231"/>
    <w:rsid w:val="00C33E99"/>
    <w:rsid w:val="00C3437F"/>
    <w:rsid w:val="00C3455D"/>
    <w:rsid w:val="00C34A28"/>
    <w:rsid w:val="00C354BF"/>
    <w:rsid w:val="00C36268"/>
    <w:rsid w:val="00C40038"/>
    <w:rsid w:val="00C422B1"/>
    <w:rsid w:val="00C4293F"/>
    <w:rsid w:val="00C43389"/>
    <w:rsid w:val="00C45D37"/>
    <w:rsid w:val="00C45F55"/>
    <w:rsid w:val="00C4607F"/>
    <w:rsid w:val="00C46479"/>
    <w:rsid w:val="00C50276"/>
    <w:rsid w:val="00C5052C"/>
    <w:rsid w:val="00C5122E"/>
    <w:rsid w:val="00C51D82"/>
    <w:rsid w:val="00C52DA9"/>
    <w:rsid w:val="00C5387B"/>
    <w:rsid w:val="00C53B55"/>
    <w:rsid w:val="00C54242"/>
    <w:rsid w:val="00C566CB"/>
    <w:rsid w:val="00C60250"/>
    <w:rsid w:val="00C62055"/>
    <w:rsid w:val="00C62684"/>
    <w:rsid w:val="00C62D4B"/>
    <w:rsid w:val="00C6361D"/>
    <w:rsid w:val="00C649B0"/>
    <w:rsid w:val="00C66802"/>
    <w:rsid w:val="00C67D20"/>
    <w:rsid w:val="00C703FE"/>
    <w:rsid w:val="00C7267A"/>
    <w:rsid w:val="00C729A0"/>
    <w:rsid w:val="00C72B92"/>
    <w:rsid w:val="00C732E7"/>
    <w:rsid w:val="00C73655"/>
    <w:rsid w:val="00C73C61"/>
    <w:rsid w:val="00C73D3A"/>
    <w:rsid w:val="00C76299"/>
    <w:rsid w:val="00C76633"/>
    <w:rsid w:val="00C76C2E"/>
    <w:rsid w:val="00C82497"/>
    <w:rsid w:val="00C83FEA"/>
    <w:rsid w:val="00C84205"/>
    <w:rsid w:val="00C85071"/>
    <w:rsid w:val="00C86015"/>
    <w:rsid w:val="00C87922"/>
    <w:rsid w:val="00C911E1"/>
    <w:rsid w:val="00C91827"/>
    <w:rsid w:val="00C92B6D"/>
    <w:rsid w:val="00C9549F"/>
    <w:rsid w:val="00CA0357"/>
    <w:rsid w:val="00CA21E5"/>
    <w:rsid w:val="00CA3499"/>
    <w:rsid w:val="00CA5355"/>
    <w:rsid w:val="00CA7774"/>
    <w:rsid w:val="00CB292B"/>
    <w:rsid w:val="00CB41A7"/>
    <w:rsid w:val="00CB56C0"/>
    <w:rsid w:val="00CB7D4A"/>
    <w:rsid w:val="00CC0180"/>
    <w:rsid w:val="00CC06CE"/>
    <w:rsid w:val="00CC16A7"/>
    <w:rsid w:val="00CC1A63"/>
    <w:rsid w:val="00CC4696"/>
    <w:rsid w:val="00CC4974"/>
    <w:rsid w:val="00CC5CA6"/>
    <w:rsid w:val="00CC6EFE"/>
    <w:rsid w:val="00CC720F"/>
    <w:rsid w:val="00CD1765"/>
    <w:rsid w:val="00CD2434"/>
    <w:rsid w:val="00CD2496"/>
    <w:rsid w:val="00CD3FF3"/>
    <w:rsid w:val="00CD5C09"/>
    <w:rsid w:val="00CD6CC8"/>
    <w:rsid w:val="00CD73B4"/>
    <w:rsid w:val="00CE136A"/>
    <w:rsid w:val="00CE20AD"/>
    <w:rsid w:val="00CE46AC"/>
    <w:rsid w:val="00CE6D54"/>
    <w:rsid w:val="00CF43C7"/>
    <w:rsid w:val="00CF456A"/>
    <w:rsid w:val="00CF518E"/>
    <w:rsid w:val="00CF6A2C"/>
    <w:rsid w:val="00CF70F5"/>
    <w:rsid w:val="00CF7B7A"/>
    <w:rsid w:val="00D00D1F"/>
    <w:rsid w:val="00D02E08"/>
    <w:rsid w:val="00D03255"/>
    <w:rsid w:val="00D03B69"/>
    <w:rsid w:val="00D04DEA"/>
    <w:rsid w:val="00D075D4"/>
    <w:rsid w:val="00D123E7"/>
    <w:rsid w:val="00D13113"/>
    <w:rsid w:val="00D13CAC"/>
    <w:rsid w:val="00D14036"/>
    <w:rsid w:val="00D15734"/>
    <w:rsid w:val="00D169DA"/>
    <w:rsid w:val="00D224A2"/>
    <w:rsid w:val="00D2310F"/>
    <w:rsid w:val="00D23BB3"/>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236D"/>
    <w:rsid w:val="00D430AA"/>
    <w:rsid w:val="00D45DDF"/>
    <w:rsid w:val="00D46960"/>
    <w:rsid w:val="00D4750F"/>
    <w:rsid w:val="00D50867"/>
    <w:rsid w:val="00D50B0F"/>
    <w:rsid w:val="00D522CD"/>
    <w:rsid w:val="00D52915"/>
    <w:rsid w:val="00D536DE"/>
    <w:rsid w:val="00D55579"/>
    <w:rsid w:val="00D57663"/>
    <w:rsid w:val="00D576C3"/>
    <w:rsid w:val="00D60620"/>
    <w:rsid w:val="00D609B0"/>
    <w:rsid w:val="00D6314A"/>
    <w:rsid w:val="00D64EDD"/>
    <w:rsid w:val="00D650C0"/>
    <w:rsid w:val="00D65CC8"/>
    <w:rsid w:val="00D67C1A"/>
    <w:rsid w:val="00D70799"/>
    <w:rsid w:val="00D70ECE"/>
    <w:rsid w:val="00D71DAE"/>
    <w:rsid w:val="00D72677"/>
    <w:rsid w:val="00D75391"/>
    <w:rsid w:val="00D77517"/>
    <w:rsid w:val="00D77874"/>
    <w:rsid w:val="00D77C6E"/>
    <w:rsid w:val="00D80EED"/>
    <w:rsid w:val="00D81F0C"/>
    <w:rsid w:val="00D82578"/>
    <w:rsid w:val="00D846FC"/>
    <w:rsid w:val="00D84AC2"/>
    <w:rsid w:val="00D8656A"/>
    <w:rsid w:val="00D876EA"/>
    <w:rsid w:val="00D9138F"/>
    <w:rsid w:val="00D91737"/>
    <w:rsid w:val="00D91C68"/>
    <w:rsid w:val="00D9275F"/>
    <w:rsid w:val="00D9284B"/>
    <w:rsid w:val="00D93991"/>
    <w:rsid w:val="00D94E03"/>
    <w:rsid w:val="00D960D1"/>
    <w:rsid w:val="00D97A24"/>
    <w:rsid w:val="00DA1C50"/>
    <w:rsid w:val="00DA1CEC"/>
    <w:rsid w:val="00DA406E"/>
    <w:rsid w:val="00DA4919"/>
    <w:rsid w:val="00DA6709"/>
    <w:rsid w:val="00DA7372"/>
    <w:rsid w:val="00DB2403"/>
    <w:rsid w:val="00DB391A"/>
    <w:rsid w:val="00DB3FEC"/>
    <w:rsid w:val="00DC2126"/>
    <w:rsid w:val="00DC2DB8"/>
    <w:rsid w:val="00DC327E"/>
    <w:rsid w:val="00DC3AEA"/>
    <w:rsid w:val="00DC4DD6"/>
    <w:rsid w:val="00DC4FE0"/>
    <w:rsid w:val="00DD0664"/>
    <w:rsid w:val="00DD0EFD"/>
    <w:rsid w:val="00DD1987"/>
    <w:rsid w:val="00DD2212"/>
    <w:rsid w:val="00DD2F27"/>
    <w:rsid w:val="00DD3984"/>
    <w:rsid w:val="00DD42A9"/>
    <w:rsid w:val="00DD5033"/>
    <w:rsid w:val="00DD534C"/>
    <w:rsid w:val="00DD5531"/>
    <w:rsid w:val="00DD7A16"/>
    <w:rsid w:val="00DE3AF8"/>
    <w:rsid w:val="00DE4586"/>
    <w:rsid w:val="00DE462B"/>
    <w:rsid w:val="00DE46A3"/>
    <w:rsid w:val="00DE5A6A"/>
    <w:rsid w:val="00DE6048"/>
    <w:rsid w:val="00DF1065"/>
    <w:rsid w:val="00DF1A1E"/>
    <w:rsid w:val="00DF37AE"/>
    <w:rsid w:val="00DF3BF0"/>
    <w:rsid w:val="00DF5E4C"/>
    <w:rsid w:val="00DF6700"/>
    <w:rsid w:val="00DF69BE"/>
    <w:rsid w:val="00DF6BEC"/>
    <w:rsid w:val="00E018C0"/>
    <w:rsid w:val="00E01C29"/>
    <w:rsid w:val="00E0442F"/>
    <w:rsid w:val="00E04C75"/>
    <w:rsid w:val="00E06528"/>
    <w:rsid w:val="00E070D7"/>
    <w:rsid w:val="00E07E7F"/>
    <w:rsid w:val="00E11B86"/>
    <w:rsid w:val="00E16264"/>
    <w:rsid w:val="00E20E5E"/>
    <w:rsid w:val="00E21E11"/>
    <w:rsid w:val="00E279EB"/>
    <w:rsid w:val="00E27B9D"/>
    <w:rsid w:val="00E31466"/>
    <w:rsid w:val="00E31F4C"/>
    <w:rsid w:val="00E3220C"/>
    <w:rsid w:val="00E3265A"/>
    <w:rsid w:val="00E32B53"/>
    <w:rsid w:val="00E3469D"/>
    <w:rsid w:val="00E364AD"/>
    <w:rsid w:val="00E37C6C"/>
    <w:rsid w:val="00E40A0F"/>
    <w:rsid w:val="00E40C1D"/>
    <w:rsid w:val="00E41012"/>
    <w:rsid w:val="00E41224"/>
    <w:rsid w:val="00E441DA"/>
    <w:rsid w:val="00E4498D"/>
    <w:rsid w:val="00E44C99"/>
    <w:rsid w:val="00E452FB"/>
    <w:rsid w:val="00E46F8D"/>
    <w:rsid w:val="00E472E8"/>
    <w:rsid w:val="00E5025F"/>
    <w:rsid w:val="00E50D23"/>
    <w:rsid w:val="00E5230F"/>
    <w:rsid w:val="00E56659"/>
    <w:rsid w:val="00E60A1C"/>
    <w:rsid w:val="00E62C26"/>
    <w:rsid w:val="00E66665"/>
    <w:rsid w:val="00E66D91"/>
    <w:rsid w:val="00E713E9"/>
    <w:rsid w:val="00E71503"/>
    <w:rsid w:val="00E72FBD"/>
    <w:rsid w:val="00E74E0A"/>
    <w:rsid w:val="00E85213"/>
    <w:rsid w:val="00E862C2"/>
    <w:rsid w:val="00E910E4"/>
    <w:rsid w:val="00E915EE"/>
    <w:rsid w:val="00E92E98"/>
    <w:rsid w:val="00E93313"/>
    <w:rsid w:val="00E936E6"/>
    <w:rsid w:val="00E9508A"/>
    <w:rsid w:val="00E976E2"/>
    <w:rsid w:val="00EA1502"/>
    <w:rsid w:val="00EA224B"/>
    <w:rsid w:val="00EA45B0"/>
    <w:rsid w:val="00EA4972"/>
    <w:rsid w:val="00EA4C36"/>
    <w:rsid w:val="00EA70F9"/>
    <w:rsid w:val="00EB3C0E"/>
    <w:rsid w:val="00EB5E75"/>
    <w:rsid w:val="00EB5EAA"/>
    <w:rsid w:val="00EB6428"/>
    <w:rsid w:val="00EB6D7E"/>
    <w:rsid w:val="00EC4D55"/>
    <w:rsid w:val="00EC4D89"/>
    <w:rsid w:val="00EC6655"/>
    <w:rsid w:val="00EC709E"/>
    <w:rsid w:val="00EC74F6"/>
    <w:rsid w:val="00ED3049"/>
    <w:rsid w:val="00ED40D6"/>
    <w:rsid w:val="00ED4CA5"/>
    <w:rsid w:val="00ED5323"/>
    <w:rsid w:val="00ED54B9"/>
    <w:rsid w:val="00EE4339"/>
    <w:rsid w:val="00EE5364"/>
    <w:rsid w:val="00EE728C"/>
    <w:rsid w:val="00EF269D"/>
    <w:rsid w:val="00EF3549"/>
    <w:rsid w:val="00EF3FA3"/>
    <w:rsid w:val="00EF43D8"/>
    <w:rsid w:val="00EF43E3"/>
    <w:rsid w:val="00EF4EC3"/>
    <w:rsid w:val="00EF4EE4"/>
    <w:rsid w:val="00EF6390"/>
    <w:rsid w:val="00EF71DA"/>
    <w:rsid w:val="00F015C1"/>
    <w:rsid w:val="00F03EE4"/>
    <w:rsid w:val="00F04A72"/>
    <w:rsid w:val="00F0500D"/>
    <w:rsid w:val="00F07736"/>
    <w:rsid w:val="00F10591"/>
    <w:rsid w:val="00F153CF"/>
    <w:rsid w:val="00F17A6B"/>
    <w:rsid w:val="00F2074F"/>
    <w:rsid w:val="00F210D3"/>
    <w:rsid w:val="00F24A44"/>
    <w:rsid w:val="00F2543C"/>
    <w:rsid w:val="00F275B7"/>
    <w:rsid w:val="00F27E75"/>
    <w:rsid w:val="00F301F7"/>
    <w:rsid w:val="00F303A3"/>
    <w:rsid w:val="00F31E63"/>
    <w:rsid w:val="00F33FA2"/>
    <w:rsid w:val="00F35365"/>
    <w:rsid w:val="00F35DBE"/>
    <w:rsid w:val="00F367A5"/>
    <w:rsid w:val="00F36870"/>
    <w:rsid w:val="00F44D66"/>
    <w:rsid w:val="00F46548"/>
    <w:rsid w:val="00F46B84"/>
    <w:rsid w:val="00F56ABA"/>
    <w:rsid w:val="00F5726A"/>
    <w:rsid w:val="00F605CA"/>
    <w:rsid w:val="00F633B6"/>
    <w:rsid w:val="00F64F67"/>
    <w:rsid w:val="00F66336"/>
    <w:rsid w:val="00F674FD"/>
    <w:rsid w:val="00F67A90"/>
    <w:rsid w:val="00F67B10"/>
    <w:rsid w:val="00F711D0"/>
    <w:rsid w:val="00F7233F"/>
    <w:rsid w:val="00F74386"/>
    <w:rsid w:val="00F754F5"/>
    <w:rsid w:val="00F774E4"/>
    <w:rsid w:val="00F77C30"/>
    <w:rsid w:val="00F81C04"/>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1D91"/>
    <w:rsid w:val="00FA5C88"/>
    <w:rsid w:val="00FA7BCA"/>
    <w:rsid w:val="00FA7F4A"/>
    <w:rsid w:val="00FB212D"/>
    <w:rsid w:val="00FB27EF"/>
    <w:rsid w:val="00FB3422"/>
    <w:rsid w:val="00FB3F5C"/>
    <w:rsid w:val="00FB4EE6"/>
    <w:rsid w:val="00FB58F5"/>
    <w:rsid w:val="00FB6864"/>
    <w:rsid w:val="00FC074E"/>
    <w:rsid w:val="00FC149A"/>
    <w:rsid w:val="00FC3674"/>
    <w:rsid w:val="00FC48E1"/>
    <w:rsid w:val="00FC5A8E"/>
    <w:rsid w:val="00FC5EF1"/>
    <w:rsid w:val="00FC6497"/>
    <w:rsid w:val="00FC6830"/>
    <w:rsid w:val="00FD0C1B"/>
    <w:rsid w:val="00FD101F"/>
    <w:rsid w:val="00FD129A"/>
    <w:rsid w:val="00FD1AEE"/>
    <w:rsid w:val="00FD30B0"/>
    <w:rsid w:val="00FD7A09"/>
    <w:rsid w:val="00FE28B7"/>
    <w:rsid w:val="00FE584B"/>
    <w:rsid w:val="00FE5A31"/>
    <w:rsid w:val="00FE5E79"/>
    <w:rsid w:val="00FE733D"/>
    <w:rsid w:val="00FE753A"/>
    <w:rsid w:val="00FF05D4"/>
    <w:rsid w:val="00FF066F"/>
    <w:rsid w:val="00FF1118"/>
    <w:rsid w:val="00FF1372"/>
    <w:rsid w:val="00FF1607"/>
    <w:rsid w:val="00FF263A"/>
    <w:rsid w:val="00FF2BB2"/>
    <w:rsid w:val="00FF2CBD"/>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270"/>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00287026">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512572291">
      <w:bodyDiv w:val="1"/>
      <w:marLeft w:val="0"/>
      <w:marRight w:val="0"/>
      <w:marTop w:val="0"/>
      <w:marBottom w:val="0"/>
      <w:divBdr>
        <w:top w:val="none" w:sz="0" w:space="0" w:color="auto"/>
        <w:left w:val="none" w:sz="0" w:space="0" w:color="auto"/>
        <w:bottom w:val="none" w:sz="0" w:space="0" w:color="auto"/>
        <w:right w:val="none" w:sz="0" w:space="0" w:color="auto"/>
      </w:divBdr>
    </w:div>
    <w:div w:id="522667724">
      <w:bodyDiv w:val="1"/>
      <w:marLeft w:val="0"/>
      <w:marRight w:val="0"/>
      <w:marTop w:val="0"/>
      <w:marBottom w:val="0"/>
      <w:divBdr>
        <w:top w:val="none" w:sz="0" w:space="0" w:color="auto"/>
        <w:left w:val="none" w:sz="0" w:space="0" w:color="auto"/>
        <w:bottom w:val="none" w:sz="0" w:space="0" w:color="auto"/>
        <w:right w:val="none" w:sz="0" w:space="0" w:color="auto"/>
      </w:divBdr>
    </w:div>
    <w:div w:id="592662517">
      <w:bodyDiv w:val="1"/>
      <w:marLeft w:val="0"/>
      <w:marRight w:val="0"/>
      <w:marTop w:val="0"/>
      <w:marBottom w:val="0"/>
      <w:divBdr>
        <w:top w:val="none" w:sz="0" w:space="0" w:color="auto"/>
        <w:left w:val="none" w:sz="0" w:space="0" w:color="auto"/>
        <w:bottom w:val="none" w:sz="0" w:space="0" w:color="auto"/>
        <w:right w:val="none" w:sz="0" w:space="0" w:color="auto"/>
      </w:divBdr>
    </w:div>
    <w:div w:id="677578787">
      <w:bodyDiv w:val="1"/>
      <w:marLeft w:val="0"/>
      <w:marRight w:val="0"/>
      <w:marTop w:val="0"/>
      <w:marBottom w:val="0"/>
      <w:divBdr>
        <w:top w:val="none" w:sz="0" w:space="0" w:color="auto"/>
        <w:left w:val="none" w:sz="0" w:space="0" w:color="auto"/>
        <w:bottom w:val="none" w:sz="0" w:space="0" w:color="auto"/>
        <w:right w:val="none" w:sz="0" w:space="0" w:color="auto"/>
      </w:divBdr>
    </w:div>
    <w:div w:id="772285417">
      <w:bodyDiv w:val="1"/>
      <w:marLeft w:val="0"/>
      <w:marRight w:val="0"/>
      <w:marTop w:val="0"/>
      <w:marBottom w:val="0"/>
      <w:divBdr>
        <w:top w:val="none" w:sz="0" w:space="0" w:color="auto"/>
        <w:left w:val="none" w:sz="0" w:space="0" w:color="auto"/>
        <w:bottom w:val="none" w:sz="0" w:space="0" w:color="auto"/>
        <w:right w:val="none" w:sz="0" w:space="0" w:color="auto"/>
      </w:divBdr>
    </w:div>
    <w:div w:id="811941869">
      <w:bodyDiv w:val="1"/>
      <w:marLeft w:val="0"/>
      <w:marRight w:val="0"/>
      <w:marTop w:val="0"/>
      <w:marBottom w:val="0"/>
      <w:divBdr>
        <w:top w:val="none" w:sz="0" w:space="0" w:color="auto"/>
        <w:left w:val="none" w:sz="0" w:space="0" w:color="auto"/>
        <w:bottom w:val="none" w:sz="0" w:space="0" w:color="auto"/>
        <w:right w:val="none" w:sz="0" w:space="0" w:color="auto"/>
      </w:divBdr>
    </w:div>
    <w:div w:id="889001035">
      <w:bodyDiv w:val="1"/>
      <w:marLeft w:val="0"/>
      <w:marRight w:val="0"/>
      <w:marTop w:val="0"/>
      <w:marBottom w:val="0"/>
      <w:divBdr>
        <w:top w:val="none" w:sz="0" w:space="0" w:color="auto"/>
        <w:left w:val="none" w:sz="0" w:space="0" w:color="auto"/>
        <w:bottom w:val="none" w:sz="0" w:space="0" w:color="auto"/>
        <w:right w:val="none" w:sz="0" w:space="0" w:color="auto"/>
      </w:divBdr>
    </w:div>
    <w:div w:id="895355428">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235119817">
      <w:bodyDiv w:val="1"/>
      <w:marLeft w:val="0"/>
      <w:marRight w:val="0"/>
      <w:marTop w:val="0"/>
      <w:marBottom w:val="0"/>
      <w:divBdr>
        <w:top w:val="none" w:sz="0" w:space="0" w:color="auto"/>
        <w:left w:val="none" w:sz="0" w:space="0" w:color="auto"/>
        <w:bottom w:val="none" w:sz="0" w:space="0" w:color="auto"/>
        <w:right w:val="none" w:sz="0" w:space="0" w:color="auto"/>
      </w:divBdr>
    </w:div>
    <w:div w:id="1276710621">
      <w:bodyDiv w:val="1"/>
      <w:marLeft w:val="0"/>
      <w:marRight w:val="0"/>
      <w:marTop w:val="0"/>
      <w:marBottom w:val="0"/>
      <w:divBdr>
        <w:top w:val="none" w:sz="0" w:space="0" w:color="auto"/>
        <w:left w:val="none" w:sz="0" w:space="0" w:color="auto"/>
        <w:bottom w:val="none" w:sz="0" w:space="0" w:color="auto"/>
        <w:right w:val="none" w:sz="0" w:space="0" w:color="auto"/>
      </w:divBdr>
    </w:div>
    <w:div w:id="1461611585">
      <w:bodyDiv w:val="1"/>
      <w:marLeft w:val="0"/>
      <w:marRight w:val="0"/>
      <w:marTop w:val="0"/>
      <w:marBottom w:val="0"/>
      <w:divBdr>
        <w:top w:val="none" w:sz="0" w:space="0" w:color="auto"/>
        <w:left w:val="none" w:sz="0" w:space="0" w:color="auto"/>
        <w:bottom w:val="none" w:sz="0" w:space="0" w:color="auto"/>
        <w:right w:val="none" w:sz="0" w:space="0" w:color="auto"/>
      </w:divBdr>
    </w:div>
    <w:div w:id="1579704760">
      <w:bodyDiv w:val="1"/>
      <w:marLeft w:val="0"/>
      <w:marRight w:val="0"/>
      <w:marTop w:val="0"/>
      <w:marBottom w:val="0"/>
      <w:divBdr>
        <w:top w:val="none" w:sz="0" w:space="0" w:color="auto"/>
        <w:left w:val="none" w:sz="0" w:space="0" w:color="auto"/>
        <w:bottom w:val="none" w:sz="0" w:space="0" w:color="auto"/>
        <w:right w:val="none" w:sz="0" w:space="0" w:color="auto"/>
      </w:divBdr>
    </w:div>
    <w:div w:id="163528526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2707982">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694842561">
      <w:bodyDiv w:val="1"/>
      <w:marLeft w:val="0"/>
      <w:marRight w:val="0"/>
      <w:marTop w:val="0"/>
      <w:marBottom w:val="0"/>
      <w:divBdr>
        <w:top w:val="none" w:sz="0" w:space="0" w:color="auto"/>
        <w:left w:val="none" w:sz="0" w:space="0" w:color="auto"/>
        <w:bottom w:val="none" w:sz="0" w:space="0" w:color="auto"/>
        <w:right w:val="none" w:sz="0" w:space="0" w:color="auto"/>
      </w:divBdr>
    </w:div>
    <w:div w:id="1769539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40473477">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7628464">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s://josephine.proebiz.com/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6297</Words>
  <Characters>37159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9</cp:revision>
  <cp:lastPrinted>2022-01-17T15:42:00Z</cp:lastPrinted>
  <dcterms:created xsi:type="dcterms:W3CDTF">2023-09-26T09:57:00Z</dcterms:created>
  <dcterms:modified xsi:type="dcterms:W3CDTF">2023-09-26T15:02:00Z</dcterms:modified>
</cp:coreProperties>
</file>