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C476ED2" w14:textId="77777777" w:rsidR="005571A5" w:rsidRPr="00A61671" w:rsidRDefault="005571A5" w:rsidP="005571A5">
      <w:pPr>
        <w:jc w:val="center"/>
        <w:rPr>
          <w:rFonts w:ascii="Calibri" w:hAnsi="Calibri"/>
          <w:b/>
          <w:caps/>
          <w:szCs w:val="24"/>
        </w:rPr>
      </w:pPr>
    </w:p>
    <w:p w14:paraId="47A8C328" w14:textId="77777777" w:rsidR="00776CBE" w:rsidRDefault="00776CBE" w:rsidP="005571A5">
      <w:pPr>
        <w:jc w:val="center"/>
        <w:rPr>
          <w:rFonts w:ascii="Calibri" w:hAnsi="Calibri"/>
          <w:b/>
          <w:caps/>
          <w:szCs w:val="24"/>
        </w:rPr>
      </w:pPr>
    </w:p>
    <w:p w14:paraId="2B731B66" w14:textId="7C1C8AE7"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00CC290B">
        <w:rPr>
          <w:rFonts w:ascii="Calibri" w:hAnsi="Calibri" w:cs="Calibri"/>
          <w:b/>
          <w:szCs w:val="24"/>
        </w:rPr>
        <w:t>05-340/2023</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0A5C2C36" w14:textId="77777777" w:rsidR="00776CBE" w:rsidRDefault="00776CBE" w:rsidP="005571A5">
      <w:pPr>
        <w:jc w:val="center"/>
        <w:rPr>
          <w:rFonts w:ascii="Calibri" w:hAnsi="Calibri"/>
          <w:sz w:val="22"/>
          <w:szCs w:val="22"/>
        </w:rPr>
      </w:pPr>
    </w:p>
    <w:p w14:paraId="0E7954CC" w14:textId="77777777" w:rsidR="00B76927" w:rsidRDefault="00B76927" w:rsidP="005571A5">
      <w:pPr>
        <w:rPr>
          <w:rStyle w:val="preformatted"/>
          <w:rFonts w:asciiTheme="minorHAnsi" w:hAnsiTheme="minorHAnsi" w:cstheme="minorHAnsi"/>
          <w:b/>
          <w:bCs/>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635/1b,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77777777" w:rsidR="005571A5" w:rsidRPr="00CE72FD" w:rsidRDefault="005571A5" w:rsidP="005571A5">
      <w:pPr>
        <w:rPr>
          <w:rStyle w:val="platne1"/>
          <w:rFonts w:ascii="Calibri" w:hAnsi="Calibri"/>
          <w:sz w:val="22"/>
          <w:szCs w:val="22"/>
        </w:rPr>
      </w:pPr>
      <w:r w:rsidRPr="00857A16">
        <w:rPr>
          <w:rFonts w:ascii="Calibri" w:hAnsi="Calibri"/>
          <w:sz w:val="22"/>
          <w:szCs w:val="22"/>
        </w:rPr>
        <w:t>Dopravce</w:t>
      </w:r>
      <w:r>
        <w:rPr>
          <w:rFonts w:ascii="Calibri" w:hAnsi="Calibri"/>
          <w:sz w:val="22"/>
          <w:szCs w:val="22"/>
        </w:rPr>
        <w:t xml:space="preserve"> </w:t>
      </w:r>
      <w:r w:rsidRPr="00CE72FD">
        <w:rPr>
          <w:rFonts w:ascii="Calibri" w:hAnsi="Calibri"/>
          <w:sz w:val="22"/>
          <w:szCs w:val="22"/>
        </w:rPr>
        <w:t xml:space="preserve">a </w:t>
      </w:r>
      <w:r>
        <w:rPr>
          <w:rFonts w:ascii="Calibri" w:hAnsi="Calibri"/>
          <w:sz w:val="22"/>
          <w:szCs w:val="22"/>
        </w:rPr>
        <w:t>Odesílatel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0490DEFA" w14:textId="77777777" w:rsidR="005571A5" w:rsidRPr="00CE72FD" w:rsidRDefault="005571A5" w:rsidP="005571A5">
      <w:pPr>
        <w:rPr>
          <w:rStyle w:val="platne1"/>
          <w:rFonts w:ascii="Calibri" w:hAnsi="Calibri"/>
          <w:sz w:val="22"/>
          <w:szCs w:val="22"/>
        </w:rPr>
      </w:pP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5A626DAA" w:rsidR="005571A5" w:rsidRPr="00857A16" w:rsidRDefault="005571A5" w:rsidP="00A23A39">
      <w:pPr>
        <w:numPr>
          <w:ilvl w:val="0"/>
          <w:numId w:val="1"/>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Pr>
          <w:rFonts w:asciiTheme="minorHAnsi" w:hAnsiTheme="minorHAnsi" w:cstheme="minorHAnsi"/>
          <w:sz w:val="22"/>
          <w:szCs w:val="22"/>
        </w:rPr>
        <w:t xml:space="preserve">stanoveném </w:t>
      </w:r>
      <w:r w:rsidR="00006D71" w:rsidRPr="00A23A39">
        <w:rPr>
          <w:rFonts w:asciiTheme="minorHAnsi" w:hAnsiTheme="minorHAnsi" w:cstheme="minorHAnsi"/>
          <w:sz w:val="22"/>
          <w:szCs w:val="22"/>
        </w:rPr>
        <w:t>v</w:t>
      </w:r>
      <w:r w:rsidR="00BD0DD0" w:rsidRPr="00A23A39">
        <w:rPr>
          <w:rFonts w:asciiTheme="minorHAnsi" w:hAnsiTheme="minorHAnsi" w:cstheme="minorHAnsi"/>
          <w:sz w:val="22"/>
          <w:szCs w:val="22"/>
        </w:rPr>
        <w:t xml:space="preserve"> Přílo</w:t>
      </w:r>
      <w:r w:rsidR="00006D71" w:rsidRPr="00A23A39">
        <w:rPr>
          <w:rFonts w:asciiTheme="minorHAnsi" w:hAnsiTheme="minorHAnsi" w:cstheme="minorHAnsi"/>
          <w:sz w:val="22"/>
          <w:szCs w:val="22"/>
        </w:rPr>
        <w:t>ze</w:t>
      </w:r>
      <w:r w:rsidR="00BD0DD0" w:rsidRPr="00A23A39">
        <w:rPr>
          <w:rFonts w:asciiTheme="minorHAnsi" w:hAnsiTheme="minorHAnsi" w:cstheme="minorHAnsi"/>
          <w:sz w:val="22"/>
          <w:szCs w:val="22"/>
        </w:rPr>
        <w:t xml:space="preserve"> č. </w:t>
      </w:r>
      <w:r w:rsidR="0066498F" w:rsidRPr="00A23A39">
        <w:rPr>
          <w:rFonts w:asciiTheme="minorHAnsi" w:hAnsiTheme="minorHAnsi" w:cstheme="minorHAnsi"/>
          <w:sz w:val="22"/>
          <w:szCs w:val="22"/>
        </w:rPr>
        <w:t>4</w:t>
      </w:r>
      <w:r w:rsidR="00BD0DD0">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66498F">
        <w:rPr>
          <w:rFonts w:asciiTheme="minorHAnsi" w:hAnsiTheme="minorHAnsi" w:cstheme="minorHAnsi"/>
          <w:b/>
          <w:bCs/>
          <w:i/>
          <w:iCs/>
          <w:sz w:val="22"/>
          <w:szCs w:val="22"/>
        </w:rPr>
        <w:t>4</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A23A39">
      <w:pPr>
        <w:numPr>
          <w:ilvl w:val="0"/>
          <w:numId w:val="1"/>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A23A39">
      <w:pPr>
        <w:numPr>
          <w:ilvl w:val="0"/>
          <w:numId w:val="1"/>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lastRenderedPageBreak/>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A23A39">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Jednotlivé Dílčí smlouvy budou mezi Smluvními stranami uzavírány vždy na základě 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053FEACE" w:rsidR="00FF35AB" w:rsidRPr="00FF35AB" w:rsidRDefault="00FF35AB" w:rsidP="00A23A39">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listinné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A23A39">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38FEC7B0" w:rsidR="00FF35AB" w:rsidRDefault="00FB32E5" w:rsidP="00A23A39">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C913BF">
        <w:rPr>
          <w:rFonts w:ascii="Calibri" w:eastAsia="Calibri" w:hAnsi="Calibri" w:cs="Calibri"/>
          <w:sz w:val="22"/>
          <w:szCs w:val="22"/>
        </w:rPr>
        <w:t>5</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A23A39">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A23A39">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Pr="00B37294" w:rsidRDefault="00CD1363" w:rsidP="00A23A39">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A23A39">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A23A39">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4BB43068" w14:textId="1D797841"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05506ED9" w:rsidR="0066498F" w:rsidRPr="0066498F" w:rsidRDefault="008C5603" w:rsidP="00A23A39">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A23A39">
        <w:rPr>
          <w:rFonts w:asciiTheme="minorHAnsi" w:hAnsiTheme="minorHAnsi" w:cstheme="minorHAnsi"/>
          <w:sz w:val="22"/>
          <w:szCs w:val="22"/>
        </w:rPr>
        <w:t xml:space="preserve">v souladu </w:t>
      </w:r>
      <w:r w:rsidR="00A94EC3" w:rsidRPr="00A23A39">
        <w:rPr>
          <w:rFonts w:asciiTheme="minorHAnsi" w:hAnsiTheme="minorHAnsi" w:cstheme="minorHAnsi"/>
          <w:sz w:val="22"/>
          <w:szCs w:val="22"/>
        </w:rPr>
        <w:t xml:space="preserve">s Přílohou č. </w:t>
      </w:r>
      <w:r w:rsidR="00A23A39" w:rsidRPr="00A23A39">
        <w:rPr>
          <w:rFonts w:asciiTheme="minorHAnsi" w:hAnsiTheme="minorHAnsi" w:cstheme="minorHAnsi"/>
          <w:sz w:val="22"/>
          <w:szCs w:val="22"/>
        </w:rPr>
        <w:t>4</w:t>
      </w:r>
      <w:r w:rsidR="00A23A39">
        <w:rPr>
          <w:rFonts w:asciiTheme="minorHAnsi" w:hAnsiTheme="minorHAnsi" w:cstheme="minorHAnsi"/>
          <w:sz w:val="22"/>
          <w:szCs w:val="22"/>
        </w:rPr>
        <w:t xml:space="preserve"> Smlouvy</w:t>
      </w:r>
      <w:r w:rsidR="00A94EC3" w:rsidRPr="00A23A39">
        <w:rPr>
          <w:rFonts w:asciiTheme="minorHAnsi" w:hAnsiTheme="minorHAnsi" w:cstheme="minorHAnsi"/>
          <w:sz w:val="22"/>
          <w:szCs w:val="22"/>
        </w:rPr>
        <w:t>.</w:t>
      </w:r>
    </w:p>
    <w:p w14:paraId="020D1E6E" w14:textId="5DAD188B" w:rsidR="0066498F" w:rsidRDefault="008C5603" w:rsidP="00A23A39">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A23A39">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A23A39">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A23A39">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A23A39">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A23A39">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A23A39">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A23A39">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A23A39">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A23A39">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A23A39">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A23A39">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A23A39">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A23A39">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7777777" w:rsidR="0040699A" w:rsidRDefault="005225D4"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p>
    <w:p w14:paraId="18E16B0A" w14:textId="77777777" w:rsidR="0040699A" w:rsidRPr="0040699A" w:rsidRDefault="00EE073C"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w:t>
      </w:r>
      <w:r w:rsidRPr="0040699A">
        <w:rPr>
          <w:rFonts w:asciiTheme="minorHAnsi" w:hAnsiTheme="minorHAnsi" w:cs="Arial"/>
          <w:sz w:val="22"/>
          <w:szCs w:val="22"/>
        </w:rPr>
        <w:lastRenderedPageBreak/>
        <w:t>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A23A39">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70BBF3CF" w14:textId="53C516EC" w:rsidR="0051321E" w:rsidRPr="0051321E" w:rsidRDefault="0051321E" w:rsidP="00A23A39">
      <w:pPr>
        <w:pStyle w:val="Odstavecseseznamem"/>
        <w:numPr>
          <w:ilvl w:val="1"/>
          <w:numId w:val="8"/>
        </w:numPr>
        <w:spacing w:before="60"/>
        <w:ind w:left="567" w:hanging="567"/>
        <w:jc w:val="both"/>
        <w:rPr>
          <w:rFonts w:ascii="Calibri" w:hAnsi="Calibri"/>
          <w:sz w:val="22"/>
          <w:szCs w:val="22"/>
        </w:rPr>
      </w:pPr>
      <w:r w:rsidRPr="0051321E">
        <w:rPr>
          <w:rFonts w:ascii="Calibri" w:hAnsi="Calibri" w:cs="Arial"/>
          <w:b/>
          <w:bCs/>
          <w:iCs/>
          <w:kern w:val="1"/>
          <w:sz w:val="22"/>
          <w:szCs w:val="22"/>
        </w:rPr>
        <w:t>Přístup na pozemek</w:t>
      </w:r>
      <w:r w:rsidRPr="0051321E">
        <w:rPr>
          <w:rFonts w:ascii="Calibri" w:hAnsi="Calibri" w:cs="Arial"/>
          <w:iCs/>
          <w:kern w:val="1"/>
          <w:sz w:val="22"/>
          <w:szCs w:val="22"/>
        </w:rPr>
        <w:t>. O</w:t>
      </w:r>
      <w:r w:rsidR="00A67656" w:rsidRPr="0051321E">
        <w:rPr>
          <w:rFonts w:ascii="Calibri" w:hAnsi="Calibri" w:cs="Arial"/>
          <w:iCs/>
          <w:kern w:val="1"/>
          <w:sz w:val="22"/>
          <w:szCs w:val="22"/>
        </w:rPr>
        <w:t>bjednatel vpust</w:t>
      </w:r>
      <w:r w:rsidRPr="0051321E">
        <w:rPr>
          <w:rFonts w:ascii="Calibri" w:hAnsi="Calibri" w:cs="Arial"/>
          <w:iCs/>
          <w:kern w:val="1"/>
          <w:sz w:val="22"/>
          <w:szCs w:val="22"/>
        </w:rPr>
        <w:t>í</w:t>
      </w:r>
      <w:r w:rsidR="00A67656" w:rsidRPr="0051321E">
        <w:rPr>
          <w:rFonts w:ascii="Calibri" w:hAnsi="Calibri" w:cs="Arial"/>
          <w:iCs/>
          <w:kern w:val="1"/>
          <w:sz w:val="22"/>
          <w:szCs w:val="22"/>
        </w:rPr>
        <w:t xml:space="preserve"> Zhotovitele a jeho pracovníky do potřebných prostor a poskytn</w:t>
      </w:r>
      <w:r w:rsidRPr="0051321E">
        <w:rPr>
          <w:rFonts w:ascii="Calibri" w:hAnsi="Calibri" w:cs="Arial"/>
          <w:iCs/>
          <w:kern w:val="1"/>
          <w:sz w:val="22"/>
          <w:szCs w:val="22"/>
        </w:rPr>
        <w:t>e</w:t>
      </w:r>
      <w:r w:rsidR="00A67656" w:rsidRPr="0051321E">
        <w:rPr>
          <w:rFonts w:ascii="Calibri" w:hAnsi="Calibri" w:cs="Arial"/>
          <w:iCs/>
          <w:kern w:val="1"/>
          <w:sz w:val="22"/>
          <w:szCs w:val="22"/>
        </w:rPr>
        <w:t xml:space="preserve"> mu nutnou součinnost. Zhotovitel je povinen seznámit sebe a své </w:t>
      </w:r>
      <w:r w:rsidR="00A67656" w:rsidRPr="0051321E">
        <w:rPr>
          <w:rFonts w:asciiTheme="minorHAnsi" w:hAnsiTheme="minorHAnsi" w:cstheme="minorHAnsi"/>
          <w:iCs/>
          <w:kern w:val="1"/>
          <w:sz w:val="22"/>
          <w:szCs w:val="22"/>
        </w:rPr>
        <w:t xml:space="preserve">pracovníky se všemi bezpečnostními a organizačními normami Objednatele, které mu budou Objednatelem předloženy, tyto řádně dodržovat, pohybovat se toliko v Objednatelem vymezených prostorách </w:t>
      </w:r>
      <w:r w:rsidR="00A67656" w:rsidRPr="0051321E">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škoda.</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A23A39">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A23A39">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A23A39">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A23A39">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A23A39">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A23A39">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A23A39">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A23A39">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295229CA" w:rsidR="00A67656" w:rsidRPr="0098785C" w:rsidRDefault="00A67656" w:rsidP="00A23A39">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lastRenderedPageBreak/>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uvedena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A23A39">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F065A7" w:rsidRDefault="00F065A7" w:rsidP="00A23A39">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A23A39">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A23A39">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A23A39">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A23A39">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A23A39">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A23A39">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A23A39">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A23A39">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lastRenderedPageBreak/>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A23A39">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A23A39">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A23A39">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w:t>
      </w:r>
      <w:r w:rsidR="00431FAC" w:rsidRPr="00F065A7">
        <w:rPr>
          <w:rFonts w:asciiTheme="minorHAnsi" w:hAnsiTheme="minorHAnsi"/>
          <w:sz w:val="22"/>
          <w:szCs w:val="22"/>
        </w:rPr>
        <w:lastRenderedPageBreak/>
        <w:t xml:space="preserve">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r w:rsidR="00A07C6F" w:rsidRPr="00F065A7">
        <w:rPr>
          <w:rFonts w:asciiTheme="minorHAnsi" w:hAnsiTheme="minorHAnsi"/>
          <w:sz w:val="22"/>
          <w:szCs w:val="22"/>
        </w:rPr>
        <w:t>10</w:t>
      </w:r>
      <w:r w:rsidR="00431FAC" w:rsidRPr="00F065A7">
        <w:rPr>
          <w:rFonts w:asciiTheme="minorHAnsi" w:hAnsiTheme="minorHAnsi"/>
          <w:sz w:val="22"/>
          <w:szCs w:val="22"/>
        </w:rPr>
        <w:t xml:space="preserve">.000.000,-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109 a 109a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A23A39">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A23A39">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1F870AD3" w14:textId="77777777" w:rsidR="00F065A7" w:rsidRPr="005B0370" w:rsidRDefault="00F065A7" w:rsidP="00A23A39">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BOZP</w:t>
      </w:r>
      <w:r w:rsidRPr="00F065A7">
        <w:rPr>
          <w:rFonts w:asciiTheme="minorHAnsi" w:hAnsiTheme="minorHAnsi" w:cstheme="minorHAnsi"/>
          <w:sz w:val="22"/>
          <w:szCs w:val="22"/>
        </w:rPr>
        <w:t>. Zhotovitel je povinen plnit povinnosti v oblasti bezpečnosti a ochrany zdraví při práci, požární ochrany a ochrany životního prostředí. Zhotovitel nesmí zahájit smluvně sjednanou činnost pro Objednatele před seznámením se s platnými interními předpisy a specifickými riziky v daných oblastech. Písemná informace o rizicích pro externí osoby je Přílohou č. 3 této Smlouvy – Informace o rizicích (dále jen „</w:t>
      </w:r>
      <w:r w:rsidRPr="00F065A7">
        <w:rPr>
          <w:rFonts w:asciiTheme="minorHAnsi" w:hAnsiTheme="minorHAnsi" w:cstheme="minorHAnsi"/>
          <w:b/>
          <w:bCs/>
          <w:i/>
          <w:iCs/>
          <w:sz w:val="22"/>
          <w:szCs w:val="22"/>
        </w:rPr>
        <w:t>Příloha č. 3</w:t>
      </w:r>
      <w:r w:rsidRPr="00F065A7">
        <w:rPr>
          <w:rFonts w:asciiTheme="minorHAnsi" w:hAnsiTheme="minorHAnsi" w:cstheme="minorHAnsi"/>
          <w:sz w:val="22"/>
          <w:szCs w:val="22"/>
        </w:rPr>
        <w:t xml:space="preserve">“). Zhotovitel je povinen doručit písemnou informaci o rizicích a přijatých opatřeních k ochraně před jejich působením, která se týkají výkonu práce Zhotovitele, Objednateli </w:t>
      </w:r>
      <w:r w:rsidRPr="00F065A7">
        <w:rPr>
          <w:rFonts w:asciiTheme="minorHAnsi" w:hAnsiTheme="minorHAnsi" w:cstheme="minorHAnsi"/>
          <w:sz w:val="22"/>
          <w:szCs w:val="22"/>
        </w:rPr>
        <w:lastRenderedPageBreak/>
        <w:t xml:space="preserve">písemně nebo na e-mailovou adresu </w:t>
      </w:r>
      <w:hyperlink r:id="rId13" w:history="1">
        <w:r w:rsidRPr="00F065A7">
          <w:rPr>
            <w:rStyle w:val="Hypertextovodkaz"/>
            <w:rFonts w:asciiTheme="minorHAnsi" w:hAnsiTheme="minorHAnsi" w:cstheme="minorHAnsi"/>
            <w:sz w:val="22"/>
            <w:szCs w:val="22"/>
          </w:rPr>
          <w:t>bozp@dpov.cz</w:t>
        </w:r>
      </w:hyperlink>
      <w:r w:rsidRPr="00F065A7">
        <w:rPr>
          <w:rFonts w:asciiTheme="minorHAnsi" w:hAnsiTheme="minorHAnsi" w:cstheme="minorHAnsi"/>
          <w:sz w:val="22"/>
          <w:szCs w:val="22"/>
        </w:rPr>
        <w:t>. Zhotovitel potvrzuje, že byl s riziky a s povinnostmi vztahujícími se k ochraně před riziky seznámen. Zhotovitel také výslovně souhlasí se zněním a obsahem Závazných podmínek, včetně Sazebníku pokut, které jsou přílohou č. 1 této Smlouvy (dále jen „</w:t>
      </w:r>
      <w:r w:rsidRPr="00F065A7">
        <w:rPr>
          <w:rFonts w:asciiTheme="minorHAnsi" w:hAnsiTheme="minorHAnsi" w:cstheme="minorHAnsi"/>
          <w:b/>
          <w:bCs/>
          <w:i/>
          <w:iCs/>
          <w:sz w:val="22"/>
          <w:szCs w:val="22"/>
        </w:rPr>
        <w:t>Příloha č. 1</w:t>
      </w:r>
      <w:r w:rsidRPr="00F065A7">
        <w:rPr>
          <w:rFonts w:asciiTheme="minorHAnsi" w:hAnsiTheme="minorHAnsi" w:cstheme="minorHAnsi"/>
          <w:sz w:val="22"/>
          <w:szCs w:val="22"/>
        </w:rPr>
        <w:t>“) a Prohlášení odpovědného zástupce externí osoby – závazný vzor, který je přílohou č. 2 této Smlouvy (dále jen „</w:t>
      </w:r>
      <w:r w:rsidRPr="00F065A7">
        <w:rPr>
          <w:rFonts w:asciiTheme="minorHAnsi" w:hAnsiTheme="minorHAnsi" w:cstheme="minorHAnsi"/>
          <w:b/>
          <w:bCs/>
          <w:i/>
          <w:iCs/>
          <w:sz w:val="22"/>
          <w:szCs w:val="22"/>
        </w:rPr>
        <w:t>Příloha č. 2</w:t>
      </w:r>
      <w:r w:rsidRPr="00F065A7">
        <w:rPr>
          <w:rFonts w:asciiTheme="minorHAnsi" w:hAnsiTheme="minorHAnsi" w:cstheme="minorHAnsi"/>
          <w:sz w:val="22"/>
          <w:szCs w:val="22"/>
        </w:rPr>
        <w:t>“). Zhotovitel tímto potvrzuje, že bere na vědomí výše všech sjednaných smluvních pokut v Sazebníku pokut a považuje je za přiměřené.</w:t>
      </w:r>
    </w:p>
    <w:p w14:paraId="6CA88F03" w14:textId="4C361D99" w:rsidR="005B0370" w:rsidRPr="00832FCA" w:rsidRDefault="005B0370" w:rsidP="00A23A39">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4"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ve výši 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100.</w:t>
      </w:r>
      <w:r w:rsidR="005F07AB" w:rsidRPr="00437B35">
        <w:rPr>
          <w:rFonts w:asciiTheme="minorHAnsi" w:hAnsiTheme="minorHAnsi"/>
          <w:sz w:val="22"/>
          <w:szCs w:val="22"/>
        </w:rPr>
        <w:t>000</w:t>
      </w:r>
      <w:r w:rsidR="00A024BE" w:rsidRPr="00437B35">
        <w:rPr>
          <w:rFonts w:asciiTheme="minorHAnsi" w:hAnsiTheme="minorHAnsi"/>
          <w:sz w:val="22"/>
          <w:szCs w:val="22"/>
        </w:rPr>
        <w:t>,-</w:t>
      </w:r>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A23A39">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r>
        <w:rPr>
          <w:rFonts w:ascii="Calibri" w:hAnsi="Calibri" w:cs="Arial"/>
          <w:iCs/>
          <w:kern w:val="1"/>
          <w:sz w:val="22"/>
          <w:szCs w:val="22"/>
        </w:rPr>
        <w:t>1</w:t>
      </w:r>
      <w:r w:rsidRPr="00E958B1">
        <w:rPr>
          <w:rFonts w:ascii="Calibri" w:hAnsi="Calibri" w:cs="Arial"/>
          <w:iCs/>
          <w:kern w:val="1"/>
          <w:sz w:val="22"/>
          <w:szCs w:val="22"/>
        </w:rPr>
        <w:t xml:space="preserve">00.000,-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A23A39">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5.000,-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A23A39">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nateli smluvní pokutu ve výši 100.000,- Kč (slovy: jedno sto tisíc korun českých).</w:t>
      </w:r>
    </w:p>
    <w:p w14:paraId="7C8504B5" w14:textId="77777777" w:rsidR="00437B35" w:rsidRPr="00437B35" w:rsidRDefault="00437B3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BOZP a sazebník pokut</w:t>
      </w:r>
      <w:r w:rsidRPr="00437B35">
        <w:rPr>
          <w:rFonts w:ascii="Calibri" w:hAnsi="Calibri" w:cs="Arial"/>
          <w:iCs/>
          <w:kern w:val="1"/>
          <w:sz w:val="22"/>
          <w:szCs w:val="22"/>
        </w:rPr>
        <w:t xml:space="preserve">. Zhotovitel dále prohlašuje, že se seznámil s Přílohou č. 1 Smlouvy, všem jejím ustanovením porozuměl, souhlasí s nimi a nepovažuje je za překvapivé či jinak vybočující z obchodní praxe. Výslovně také souhlasí se zněním a závazným obsahem přílohy Závazných podmínek (Sazebník </w:t>
      </w:r>
      <w:r w:rsidRPr="00437B35">
        <w:rPr>
          <w:rFonts w:ascii="Calibri" w:hAnsi="Calibri" w:cs="Arial"/>
          <w:iCs/>
          <w:kern w:val="1"/>
          <w:sz w:val="22"/>
          <w:szCs w:val="22"/>
        </w:rPr>
        <w:lastRenderedPageBreak/>
        <w:t>pokut). Zhotovitel tímto potvrzuje, že bere na vědomí výše všech sjednaných smluvních pokut v Sazebníku pokut a považuje je za přiměřené. Potvrzení a souhlas odpovědného zástupce Zhotovitele se Závaznými podmínkami bude provedeno na formuláři „</w:t>
      </w:r>
      <w:r w:rsidRPr="00B651ED">
        <w:rPr>
          <w:rFonts w:ascii="Calibri" w:hAnsi="Calibri" w:cs="Arial"/>
          <w:i/>
          <w:kern w:val="1"/>
          <w:sz w:val="22"/>
          <w:szCs w:val="22"/>
        </w:rPr>
        <w:t>Prohlášení odpovědného zástupce externí osoby</w:t>
      </w:r>
      <w:r w:rsidRPr="00437B35">
        <w:rPr>
          <w:rFonts w:ascii="Calibri" w:hAnsi="Calibri" w:cs="Arial"/>
          <w:iCs/>
          <w:kern w:val="1"/>
          <w:sz w:val="22"/>
          <w:szCs w:val="22"/>
        </w:rPr>
        <w:t>“, jehož vzor je součástí této Smlouvy jako Příloha č. 2.</w:t>
      </w:r>
    </w:p>
    <w:p w14:paraId="79EFCCD8" w14:textId="679FD71B" w:rsidR="009E7DCF" w:rsidRPr="009E7DCF" w:rsidRDefault="00E71284"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A23A39">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A23A39">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0961267E" w14:textId="77777777" w:rsidR="005A0243" w:rsidRDefault="005A0243" w:rsidP="00ED41A8">
      <w:pPr>
        <w:pStyle w:val="Zkladntext"/>
        <w:spacing w:before="60"/>
        <w:jc w:val="center"/>
        <w:rPr>
          <w:rStyle w:val="platne1"/>
          <w:rFonts w:ascii="Calibri" w:hAnsi="Calibri"/>
          <w:b/>
          <w:sz w:val="22"/>
          <w:szCs w:val="22"/>
        </w:rPr>
      </w:pPr>
    </w:p>
    <w:p w14:paraId="25ED6B55" w14:textId="6C04A5FF"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64A583C2" w:rsidR="00437B35" w:rsidRDefault="00E71284" w:rsidP="00A23A39">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w:t>
      </w:r>
      <w:r w:rsidR="00CA77A1" w:rsidRPr="005A0243">
        <w:rPr>
          <w:rFonts w:asciiTheme="minorHAnsi" w:hAnsiTheme="minorHAnsi" w:cstheme="minorHAnsi"/>
          <w:kern w:val="1"/>
          <w:sz w:val="22"/>
          <w:szCs w:val="22"/>
        </w:rPr>
        <w:t xml:space="preserve">výši </w:t>
      </w:r>
      <w:r w:rsidR="005A0243" w:rsidRPr="005A0243">
        <w:rPr>
          <w:rFonts w:asciiTheme="minorHAnsi" w:hAnsiTheme="minorHAnsi" w:cstheme="minorHAnsi"/>
          <w:kern w:val="1"/>
          <w:sz w:val="22"/>
          <w:szCs w:val="22"/>
        </w:rPr>
        <w:t>5.000.000</w:t>
      </w:r>
      <w:r w:rsidR="00CA77A1" w:rsidRPr="005A0243">
        <w:rPr>
          <w:rFonts w:asciiTheme="minorHAnsi" w:hAnsiTheme="minorHAnsi" w:cstheme="minorHAnsi"/>
          <w:kern w:val="1"/>
          <w:sz w:val="22"/>
          <w:szCs w:val="22"/>
        </w:rPr>
        <w:t xml:space="preserve"> 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A23A39">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A23A39">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A23A39">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A23A39">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A23A39">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A23A39">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A23A39">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A23A39">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A23A39">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A23A39">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A23A39">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A23A39">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A23A39">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A23A39">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A23A39">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A23A39">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w:t>
      </w:r>
      <w:r w:rsidR="00495CC8" w:rsidRPr="00495CC8">
        <w:rPr>
          <w:rFonts w:asciiTheme="minorHAnsi" w:hAnsiTheme="minorHAnsi" w:cstheme="minorHAnsi"/>
          <w:iCs/>
          <w:kern w:val="1"/>
          <w:sz w:val="22"/>
          <w:szCs w:val="22"/>
        </w:rPr>
        <w:lastRenderedPageBreak/>
        <w:t>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A23A39">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A23A39">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A23A39">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A23A39">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A23A39">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A23A39">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A23A39">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A23A39">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A23A39">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A23A39">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lastRenderedPageBreak/>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A23A39">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A23A39">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0C605285" w14:textId="77777777" w:rsidR="002964EB" w:rsidRPr="002964EB" w:rsidRDefault="002964EB" w:rsidP="00A23A39">
      <w:pPr>
        <w:pStyle w:val="Zkladntext"/>
        <w:numPr>
          <w:ilvl w:val="0"/>
          <w:numId w:val="2"/>
        </w:numPr>
        <w:spacing w:before="60"/>
        <w:rPr>
          <w:rFonts w:ascii="Calibri" w:hAnsi="Calibri"/>
          <w:sz w:val="22"/>
          <w:szCs w:val="22"/>
        </w:rPr>
      </w:pPr>
      <w:r w:rsidRPr="002964EB">
        <w:rPr>
          <w:rFonts w:ascii="Calibri" w:hAnsi="Calibri"/>
          <w:kern w:val="1"/>
          <w:sz w:val="22"/>
          <w:szCs w:val="22"/>
        </w:rPr>
        <w:t>Příloha č. 1 – Závazné podmínky;</w:t>
      </w:r>
      <w:r w:rsidRPr="002964EB">
        <w:rPr>
          <w:rFonts w:ascii="Calibri" w:hAnsi="Calibri"/>
          <w:spacing w:val="-1"/>
          <w:kern w:val="1"/>
          <w:sz w:val="22"/>
          <w:szCs w:val="22"/>
          <w:u w:val="single"/>
        </w:rPr>
        <w:t xml:space="preserve"> </w:t>
      </w:r>
    </w:p>
    <w:p w14:paraId="42F71512" w14:textId="77777777" w:rsidR="002964EB" w:rsidRPr="002964EB" w:rsidRDefault="002964EB" w:rsidP="00A23A39">
      <w:pPr>
        <w:pStyle w:val="Zkladntext"/>
        <w:numPr>
          <w:ilvl w:val="0"/>
          <w:numId w:val="2"/>
        </w:numPr>
        <w:spacing w:before="60"/>
        <w:rPr>
          <w:rFonts w:ascii="Calibri" w:hAnsi="Calibri"/>
          <w:sz w:val="22"/>
          <w:szCs w:val="22"/>
        </w:rPr>
      </w:pPr>
      <w:r w:rsidRPr="002964EB">
        <w:rPr>
          <w:rFonts w:ascii="Calibri" w:hAnsi="Calibri"/>
          <w:kern w:val="1"/>
          <w:sz w:val="22"/>
          <w:szCs w:val="22"/>
        </w:rPr>
        <w:t xml:space="preserve">Příloha č. 2 – </w:t>
      </w:r>
      <w:r w:rsidRPr="002964EB">
        <w:rPr>
          <w:rFonts w:ascii="Calibri" w:hAnsi="Calibri"/>
          <w:sz w:val="22"/>
          <w:szCs w:val="22"/>
        </w:rPr>
        <w:t>Prohlášení odpovědného zástupce externí osoby</w:t>
      </w:r>
      <w:r w:rsidRPr="002964EB">
        <w:rPr>
          <w:rFonts w:ascii="Calibri" w:hAnsi="Calibri"/>
          <w:kern w:val="1"/>
          <w:sz w:val="22"/>
          <w:szCs w:val="22"/>
        </w:rPr>
        <w:t>;</w:t>
      </w:r>
    </w:p>
    <w:p w14:paraId="20695326" w14:textId="0F622376" w:rsidR="002964EB" w:rsidRPr="002964EB" w:rsidRDefault="002964EB" w:rsidP="00A23A39">
      <w:pPr>
        <w:pStyle w:val="Zkladntext"/>
        <w:numPr>
          <w:ilvl w:val="0"/>
          <w:numId w:val="2"/>
        </w:numPr>
        <w:spacing w:before="60"/>
        <w:rPr>
          <w:rFonts w:ascii="Calibri" w:hAnsi="Calibri"/>
          <w:sz w:val="22"/>
          <w:szCs w:val="22"/>
        </w:rPr>
      </w:pPr>
      <w:r w:rsidRPr="002964EB">
        <w:rPr>
          <w:rFonts w:ascii="Calibri" w:hAnsi="Calibri"/>
          <w:kern w:val="1"/>
          <w:sz w:val="22"/>
          <w:szCs w:val="22"/>
        </w:rPr>
        <w:t>Příloha č. 3 –</w:t>
      </w:r>
      <w:r w:rsidRPr="002964EB">
        <w:rPr>
          <w:rFonts w:ascii="Calibri" w:hAnsi="Calibri"/>
          <w:spacing w:val="-1"/>
          <w:kern w:val="1"/>
          <w:sz w:val="22"/>
          <w:szCs w:val="22"/>
        </w:rPr>
        <w:t xml:space="preserve"> Informace o rizicích;</w:t>
      </w:r>
    </w:p>
    <w:p w14:paraId="4DC0EB9A" w14:textId="2B7039AE" w:rsidR="002964EB" w:rsidRDefault="002964EB" w:rsidP="00A23A39">
      <w:pPr>
        <w:pStyle w:val="Zkladntext"/>
        <w:numPr>
          <w:ilvl w:val="0"/>
          <w:numId w:val="2"/>
        </w:numPr>
        <w:spacing w:before="60"/>
        <w:rPr>
          <w:rFonts w:ascii="Calibri" w:hAnsi="Calibri"/>
          <w:sz w:val="22"/>
          <w:szCs w:val="22"/>
        </w:rPr>
      </w:pPr>
      <w:r w:rsidRPr="005A0243">
        <w:rPr>
          <w:rFonts w:ascii="Calibri" w:hAnsi="Calibri"/>
          <w:sz w:val="22"/>
          <w:szCs w:val="22"/>
        </w:rPr>
        <w:t>Příloha č. 4 – Vymezení a rozsah prací</w:t>
      </w:r>
      <w:r w:rsidR="007E4AAD" w:rsidRPr="005A0243">
        <w:rPr>
          <w:rFonts w:ascii="Calibri" w:hAnsi="Calibri"/>
          <w:sz w:val="22"/>
          <w:szCs w:val="22"/>
        </w:rPr>
        <w:t>;</w:t>
      </w:r>
    </w:p>
    <w:p w14:paraId="623208A2" w14:textId="1E149F89" w:rsidR="00A75407" w:rsidRDefault="00A75407" w:rsidP="00A23A39">
      <w:pPr>
        <w:pStyle w:val="Zkladntext"/>
        <w:numPr>
          <w:ilvl w:val="0"/>
          <w:numId w:val="2"/>
        </w:numPr>
        <w:spacing w:before="60"/>
        <w:rPr>
          <w:rFonts w:ascii="Calibri" w:hAnsi="Calibri"/>
          <w:sz w:val="22"/>
          <w:szCs w:val="22"/>
        </w:rPr>
      </w:pPr>
      <w:r>
        <w:rPr>
          <w:rFonts w:ascii="Calibri" w:hAnsi="Calibri"/>
          <w:sz w:val="22"/>
          <w:szCs w:val="22"/>
        </w:rPr>
        <w:t xml:space="preserve">Příloha č. 5 </w:t>
      </w:r>
      <w:r w:rsidR="00F32174">
        <w:rPr>
          <w:rFonts w:ascii="Calibri" w:hAnsi="Calibri"/>
          <w:sz w:val="22"/>
          <w:szCs w:val="22"/>
        </w:rPr>
        <w:t>–</w:t>
      </w:r>
      <w:r>
        <w:rPr>
          <w:rFonts w:ascii="Calibri" w:hAnsi="Calibri"/>
          <w:sz w:val="22"/>
          <w:szCs w:val="22"/>
        </w:rPr>
        <w:t xml:space="preserve"> Výkres</w:t>
      </w:r>
    </w:p>
    <w:p w14:paraId="761AB1EA" w14:textId="3FF61829" w:rsidR="00F32174" w:rsidRPr="005A0243" w:rsidRDefault="00F32174" w:rsidP="00A23A39">
      <w:pPr>
        <w:pStyle w:val="Zkladntext"/>
        <w:numPr>
          <w:ilvl w:val="0"/>
          <w:numId w:val="2"/>
        </w:numPr>
        <w:spacing w:before="60"/>
        <w:rPr>
          <w:rFonts w:ascii="Calibri" w:hAnsi="Calibri"/>
          <w:sz w:val="22"/>
          <w:szCs w:val="22"/>
        </w:rPr>
      </w:pPr>
      <w:r>
        <w:rPr>
          <w:rFonts w:ascii="Calibri" w:hAnsi="Calibri"/>
          <w:sz w:val="22"/>
          <w:szCs w:val="22"/>
        </w:rPr>
        <w:t>Příloha č. 6 – Cenová nabídka referenčního vzorku</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776CBE">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57D3" w14:textId="77777777" w:rsidR="002312D1" w:rsidRDefault="002312D1">
      <w:r>
        <w:separator/>
      </w:r>
    </w:p>
  </w:endnote>
  <w:endnote w:type="continuationSeparator" w:id="0">
    <w:p w14:paraId="331ABBAB" w14:textId="77777777" w:rsidR="002312D1" w:rsidRDefault="002312D1">
      <w:r>
        <w:continuationSeparator/>
      </w:r>
    </w:p>
  </w:endnote>
  <w:endnote w:type="continuationNotice" w:id="1">
    <w:p w14:paraId="0BDA9D53" w14:textId="77777777" w:rsidR="002312D1" w:rsidRDefault="00231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533E22C1"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11C8323D" w:rsidR="003F6334" w:rsidRPr="00AE7921" w:rsidRDefault="005A0243"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3A194125">
          <wp:simplePos x="0" y="0"/>
          <wp:positionH relativeFrom="margin">
            <wp:posOffset>88265</wp:posOffset>
          </wp:positionH>
          <wp:positionV relativeFrom="margin">
            <wp:posOffset>9197340</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4FD5" w14:textId="77777777" w:rsidR="002312D1" w:rsidRDefault="002312D1">
      <w:r>
        <w:separator/>
      </w:r>
    </w:p>
  </w:footnote>
  <w:footnote w:type="continuationSeparator" w:id="0">
    <w:p w14:paraId="471F1CB4" w14:textId="77777777" w:rsidR="002312D1" w:rsidRDefault="002312D1">
      <w:r>
        <w:continuationSeparator/>
      </w:r>
    </w:p>
  </w:footnote>
  <w:footnote w:type="continuationNotice" w:id="1">
    <w:p w14:paraId="13A51B5E" w14:textId="77777777" w:rsidR="002312D1" w:rsidRDefault="00231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10"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395909">
    <w:abstractNumId w:val="12"/>
  </w:num>
  <w:num w:numId="2" w16cid:durableId="986084899">
    <w:abstractNumId w:val="7"/>
  </w:num>
  <w:num w:numId="3" w16cid:durableId="1060177588">
    <w:abstractNumId w:val="19"/>
  </w:num>
  <w:num w:numId="4" w16cid:durableId="2022927699">
    <w:abstractNumId w:val="2"/>
  </w:num>
  <w:num w:numId="5" w16cid:durableId="1235555327">
    <w:abstractNumId w:val="11"/>
  </w:num>
  <w:num w:numId="6" w16cid:durableId="1586067908">
    <w:abstractNumId w:val="6"/>
  </w:num>
  <w:num w:numId="7" w16cid:durableId="1415779031">
    <w:abstractNumId w:val="5"/>
  </w:num>
  <w:num w:numId="8" w16cid:durableId="1712413132">
    <w:abstractNumId w:val="20"/>
  </w:num>
  <w:num w:numId="9" w16cid:durableId="37243139">
    <w:abstractNumId w:val="17"/>
  </w:num>
  <w:num w:numId="10" w16cid:durableId="1174807459">
    <w:abstractNumId w:val="13"/>
  </w:num>
  <w:num w:numId="11" w16cid:durableId="644163178">
    <w:abstractNumId w:val="3"/>
  </w:num>
  <w:num w:numId="12" w16cid:durableId="1912692462">
    <w:abstractNumId w:val="9"/>
  </w:num>
  <w:num w:numId="13" w16cid:durableId="599484299">
    <w:abstractNumId w:val="10"/>
  </w:num>
  <w:num w:numId="14" w16cid:durableId="610665280">
    <w:abstractNumId w:val="16"/>
  </w:num>
  <w:num w:numId="15" w16cid:durableId="440297757">
    <w:abstractNumId w:val="8"/>
  </w:num>
  <w:num w:numId="16" w16cid:durableId="860246788">
    <w:abstractNumId w:val="18"/>
  </w:num>
  <w:num w:numId="17" w16cid:durableId="1955819482">
    <w:abstractNumId w:val="15"/>
  </w:num>
  <w:num w:numId="18" w16cid:durableId="1433472294">
    <w:abstractNumId w:val="21"/>
  </w:num>
  <w:num w:numId="19" w16cid:durableId="992559307">
    <w:abstractNumId w:val="4"/>
  </w:num>
  <w:num w:numId="20" w16cid:durableId="1859807226">
    <w:abstractNumId w:val="1"/>
  </w:num>
  <w:num w:numId="21" w16cid:durableId="203294738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243"/>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39"/>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5407"/>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290B"/>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2174"/>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ov.cz/wp-content/uploads/2021/08/Zasady-ochrany-osobnich-udaju.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12</Pages>
  <Words>5667</Words>
  <Characters>33782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26</cp:revision>
  <cp:lastPrinted>2021-09-17T07:05:00Z</cp:lastPrinted>
  <dcterms:created xsi:type="dcterms:W3CDTF">2022-07-28T06:32:00Z</dcterms:created>
  <dcterms:modified xsi:type="dcterms:W3CDTF">2023-11-03T07:51:00Z</dcterms:modified>
</cp:coreProperties>
</file>