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6B399" w14:textId="37825FEA" w:rsidR="000B1D00" w:rsidRPr="00F522E4" w:rsidRDefault="000B1D00" w:rsidP="000B1D00">
      <w:pPr>
        <w:spacing w:after="0"/>
        <w:jc w:val="both"/>
        <w:rPr>
          <w:rFonts w:ascii="Calibri" w:hAnsi="Calibri" w:cs="Calibri"/>
          <w:b/>
          <w:bCs/>
          <w:iCs/>
          <w:sz w:val="24"/>
          <w:szCs w:val="24"/>
        </w:rPr>
      </w:pPr>
      <w:r w:rsidRPr="00F522E4">
        <w:rPr>
          <w:rFonts w:ascii="Calibri" w:hAnsi="Calibri" w:cs="Calibri"/>
          <w:b/>
          <w:bCs/>
          <w:iCs/>
          <w:sz w:val="24"/>
          <w:szCs w:val="24"/>
        </w:rPr>
        <w:t>Specifikace předmětu VZ</w:t>
      </w:r>
    </w:p>
    <w:p w14:paraId="130C7C42" w14:textId="77777777" w:rsidR="000B1D00" w:rsidRPr="00F522E4" w:rsidRDefault="000B1D00" w:rsidP="000B1D00">
      <w:pPr>
        <w:spacing w:after="0"/>
        <w:jc w:val="both"/>
        <w:rPr>
          <w:rFonts w:ascii="Calibri" w:hAnsi="Calibri" w:cs="Calibri"/>
          <w:b/>
          <w:bCs/>
          <w:iCs/>
          <w:sz w:val="24"/>
          <w:szCs w:val="24"/>
        </w:rPr>
      </w:pPr>
    </w:p>
    <w:p w14:paraId="11561F19" w14:textId="774FB4DE" w:rsidR="000B1D00" w:rsidRPr="00F522E4" w:rsidRDefault="000B1D00" w:rsidP="000B1D00">
      <w:pPr>
        <w:spacing w:line="240" w:lineRule="auto"/>
        <w:rPr>
          <w:rFonts w:asciiTheme="minorHAnsi" w:hAnsiTheme="minorHAnsi" w:cstheme="minorHAnsi"/>
        </w:rPr>
      </w:pPr>
      <w:bookmarkStart w:id="0" w:name="_Hlk149148541"/>
      <w:r w:rsidRPr="00F522E4">
        <w:rPr>
          <w:rFonts w:asciiTheme="minorHAnsi" w:hAnsiTheme="minorHAnsi" w:cstheme="minorHAnsi"/>
        </w:rPr>
        <w:t xml:space="preserve">Předmětem plnění této zakázky je </w:t>
      </w:r>
      <w:bookmarkEnd w:id="0"/>
      <w:r w:rsidRPr="00F522E4">
        <w:rPr>
          <w:rFonts w:asciiTheme="minorHAnsi" w:hAnsiTheme="minorHAnsi" w:cstheme="minorHAnsi"/>
        </w:rPr>
        <w:t xml:space="preserve">dodávka a upgrade licencí pro </w:t>
      </w:r>
      <w:proofErr w:type="spellStart"/>
      <w:r w:rsidRPr="00F522E4">
        <w:rPr>
          <w:rFonts w:asciiTheme="minorHAnsi" w:hAnsiTheme="minorHAnsi" w:cstheme="minorHAnsi"/>
        </w:rPr>
        <w:t>endpoint</w:t>
      </w:r>
      <w:proofErr w:type="spellEnd"/>
      <w:r w:rsidRPr="00F522E4">
        <w:rPr>
          <w:rFonts w:asciiTheme="minorHAnsi" w:hAnsiTheme="minorHAnsi" w:cstheme="minorHAnsi"/>
        </w:rPr>
        <w:t xml:space="preserve"> zabezpečení s podporou na 36 měsíců, instalace a konfigurace software </w:t>
      </w:r>
      <w:proofErr w:type="spellStart"/>
      <w:r w:rsidRPr="00F522E4">
        <w:rPr>
          <w:rFonts w:asciiTheme="minorHAnsi" w:hAnsiTheme="minorHAnsi" w:cstheme="minorHAnsi"/>
        </w:rPr>
        <w:t>endpoint</w:t>
      </w:r>
      <w:proofErr w:type="spellEnd"/>
      <w:r w:rsidRPr="00F522E4">
        <w:rPr>
          <w:rFonts w:asciiTheme="minorHAnsi" w:hAnsiTheme="minorHAnsi" w:cstheme="minorHAnsi"/>
        </w:rPr>
        <w:t xml:space="preserve"> </w:t>
      </w:r>
      <w:proofErr w:type="spellStart"/>
      <w:r w:rsidRPr="00F522E4">
        <w:rPr>
          <w:rFonts w:asciiTheme="minorHAnsi" w:hAnsiTheme="minorHAnsi" w:cstheme="minorHAnsi"/>
        </w:rPr>
        <w:t>protection</w:t>
      </w:r>
      <w:proofErr w:type="spellEnd"/>
      <w:r w:rsidRPr="00F522E4">
        <w:rPr>
          <w:rFonts w:asciiTheme="minorHAnsi" w:hAnsiTheme="minorHAnsi" w:cstheme="minorHAnsi"/>
        </w:rPr>
        <w:t xml:space="preserve"> zabezpečení rozšířené o funkce EDR ochrany koncových Windows/Mac/Linux stanic a Windows/Linux serverů, zabezpečení poštovních schránek v prostředí MS 365, výkonově optimalizovaného řešení pro zabezpečení virtuálních serverů v prostředí </w:t>
      </w:r>
      <w:proofErr w:type="spellStart"/>
      <w:r w:rsidRPr="00F522E4">
        <w:rPr>
          <w:rFonts w:asciiTheme="minorHAnsi" w:hAnsiTheme="minorHAnsi" w:cstheme="minorHAnsi"/>
        </w:rPr>
        <w:t>VMware</w:t>
      </w:r>
      <w:proofErr w:type="spellEnd"/>
      <w:r w:rsidRPr="00F522E4">
        <w:rPr>
          <w:rFonts w:asciiTheme="minorHAnsi" w:hAnsiTheme="minorHAnsi" w:cstheme="minorHAnsi"/>
        </w:rPr>
        <w:t>/Hyper-V a licence pro zabezpečení a správu mobilních zařízení s Android/iOS, v dále uvedené konfiguraci:</w:t>
      </w:r>
    </w:p>
    <w:p w14:paraId="2FF3C06C" w14:textId="77777777" w:rsidR="000B1D00" w:rsidRPr="00F522E4" w:rsidRDefault="000B1D00" w:rsidP="000B1D00">
      <w:pPr>
        <w:pStyle w:val="Odstavecseseznamem"/>
        <w:numPr>
          <w:ilvl w:val="0"/>
          <w:numId w:val="4"/>
        </w:numPr>
        <w:spacing w:after="160" w:line="240" w:lineRule="auto"/>
        <w:rPr>
          <w:rFonts w:asciiTheme="minorHAnsi" w:hAnsiTheme="minorHAnsi" w:cstheme="minorHAnsi"/>
          <w:b/>
          <w:bCs/>
        </w:rPr>
      </w:pPr>
      <w:r w:rsidRPr="00F522E4">
        <w:rPr>
          <w:rFonts w:asciiTheme="minorHAnsi" w:hAnsiTheme="minorHAnsi" w:cstheme="minorHAnsi"/>
          <w:b/>
          <w:bCs/>
        </w:rPr>
        <w:t xml:space="preserve">Upgrade na </w:t>
      </w:r>
      <w:proofErr w:type="spellStart"/>
      <w:r w:rsidRPr="00F522E4">
        <w:rPr>
          <w:rFonts w:asciiTheme="minorHAnsi" w:hAnsiTheme="minorHAnsi" w:cstheme="minorHAnsi"/>
          <w:b/>
          <w:bCs/>
        </w:rPr>
        <w:t>Kaspersky</w:t>
      </w:r>
      <w:proofErr w:type="spellEnd"/>
      <w:r w:rsidRPr="00F522E4">
        <w:rPr>
          <w:rFonts w:asciiTheme="minorHAnsi" w:hAnsiTheme="minorHAnsi" w:cstheme="minorHAnsi"/>
          <w:b/>
          <w:bCs/>
        </w:rPr>
        <w:t xml:space="preserve"> EDR Optimum (310 lic., podpora na 3 roky)</w:t>
      </w:r>
    </w:p>
    <w:p w14:paraId="3529CDDF" w14:textId="77777777" w:rsidR="000B1D00" w:rsidRPr="00F522E4" w:rsidRDefault="000B1D00" w:rsidP="000B1D00">
      <w:pPr>
        <w:pStyle w:val="Odstavecseseznamem"/>
        <w:numPr>
          <w:ilvl w:val="0"/>
          <w:numId w:val="4"/>
        </w:numPr>
        <w:spacing w:after="160" w:line="240" w:lineRule="auto"/>
        <w:rPr>
          <w:rFonts w:asciiTheme="minorHAnsi" w:hAnsiTheme="minorHAnsi" w:cstheme="minorHAnsi"/>
          <w:b/>
          <w:bCs/>
        </w:rPr>
      </w:pPr>
      <w:r w:rsidRPr="00F522E4">
        <w:rPr>
          <w:rFonts w:asciiTheme="minorHAnsi" w:hAnsiTheme="minorHAnsi" w:cstheme="minorHAnsi"/>
          <w:b/>
          <w:bCs/>
        </w:rPr>
        <w:t xml:space="preserve">Prodloužení </w:t>
      </w:r>
      <w:proofErr w:type="spellStart"/>
      <w:r w:rsidRPr="00F522E4">
        <w:rPr>
          <w:rFonts w:asciiTheme="minorHAnsi" w:hAnsiTheme="minorHAnsi" w:cstheme="minorHAnsi"/>
          <w:b/>
          <w:bCs/>
        </w:rPr>
        <w:t>Kaspersky</w:t>
      </w:r>
      <w:proofErr w:type="spellEnd"/>
      <w:r w:rsidRPr="00F522E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522E4">
        <w:rPr>
          <w:rFonts w:asciiTheme="minorHAnsi" w:hAnsiTheme="minorHAnsi" w:cstheme="minorHAnsi"/>
          <w:b/>
          <w:bCs/>
        </w:rPr>
        <w:t>Endpoint</w:t>
      </w:r>
      <w:proofErr w:type="spellEnd"/>
      <w:r w:rsidRPr="00F522E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522E4">
        <w:rPr>
          <w:rFonts w:asciiTheme="minorHAnsi" w:hAnsiTheme="minorHAnsi" w:cstheme="minorHAnsi"/>
          <w:b/>
          <w:bCs/>
        </w:rPr>
        <w:t>Security</w:t>
      </w:r>
      <w:proofErr w:type="spellEnd"/>
      <w:r w:rsidRPr="00F522E4">
        <w:rPr>
          <w:rFonts w:asciiTheme="minorHAnsi" w:hAnsiTheme="minorHAnsi" w:cstheme="minorHAnsi"/>
          <w:b/>
          <w:bCs/>
        </w:rPr>
        <w:t xml:space="preserve"> SELECT (40 lic., podpora na 3 roky)</w:t>
      </w:r>
    </w:p>
    <w:p w14:paraId="1FCBA74D" w14:textId="77777777" w:rsidR="000B1D00" w:rsidRPr="00F522E4" w:rsidRDefault="000B1D00" w:rsidP="000B1D00">
      <w:pPr>
        <w:pStyle w:val="Odstavecseseznamem"/>
        <w:numPr>
          <w:ilvl w:val="0"/>
          <w:numId w:val="4"/>
        </w:numPr>
        <w:spacing w:after="160" w:line="240" w:lineRule="auto"/>
        <w:rPr>
          <w:rFonts w:asciiTheme="minorHAnsi" w:hAnsiTheme="minorHAnsi" w:cstheme="minorHAnsi"/>
          <w:b/>
          <w:bCs/>
        </w:rPr>
      </w:pPr>
      <w:r w:rsidRPr="00F522E4">
        <w:rPr>
          <w:rFonts w:asciiTheme="minorHAnsi" w:hAnsiTheme="minorHAnsi" w:cstheme="minorHAnsi"/>
          <w:b/>
          <w:bCs/>
        </w:rPr>
        <w:t xml:space="preserve">Prodloužení </w:t>
      </w:r>
      <w:proofErr w:type="spellStart"/>
      <w:r w:rsidRPr="00F522E4">
        <w:rPr>
          <w:rFonts w:asciiTheme="minorHAnsi" w:hAnsiTheme="minorHAnsi" w:cstheme="minorHAnsi"/>
          <w:b/>
          <w:bCs/>
        </w:rPr>
        <w:t>Kaspersky</w:t>
      </w:r>
      <w:proofErr w:type="spellEnd"/>
      <w:r w:rsidRPr="00F522E4">
        <w:rPr>
          <w:rFonts w:asciiTheme="minorHAnsi" w:hAnsiTheme="minorHAnsi" w:cstheme="minorHAnsi"/>
          <w:b/>
          <w:bCs/>
        </w:rPr>
        <w:t xml:space="preserve"> Hybrid Cloud </w:t>
      </w:r>
      <w:proofErr w:type="spellStart"/>
      <w:r w:rsidRPr="00F522E4">
        <w:rPr>
          <w:rFonts w:asciiTheme="minorHAnsi" w:hAnsiTheme="minorHAnsi" w:cstheme="minorHAnsi"/>
          <w:b/>
          <w:bCs/>
        </w:rPr>
        <w:t>Security</w:t>
      </w:r>
      <w:proofErr w:type="spellEnd"/>
      <w:r w:rsidRPr="00F522E4">
        <w:rPr>
          <w:rFonts w:asciiTheme="minorHAnsi" w:hAnsiTheme="minorHAnsi" w:cstheme="minorHAnsi"/>
          <w:b/>
          <w:bCs/>
        </w:rPr>
        <w:t xml:space="preserve"> (30 lic., podpora na 3 roky)</w:t>
      </w:r>
    </w:p>
    <w:p w14:paraId="62DDECCB" w14:textId="77777777" w:rsidR="000B1D00" w:rsidRPr="00F522E4" w:rsidRDefault="000B1D00" w:rsidP="000B1D00">
      <w:pPr>
        <w:pStyle w:val="Odstavecseseznamem"/>
        <w:numPr>
          <w:ilvl w:val="0"/>
          <w:numId w:val="4"/>
        </w:numPr>
        <w:spacing w:after="160" w:line="240" w:lineRule="auto"/>
        <w:rPr>
          <w:rFonts w:asciiTheme="minorHAnsi" w:hAnsiTheme="minorHAnsi" w:cstheme="minorHAnsi"/>
          <w:b/>
          <w:bCs/>
        </w:rPr>
      </w:pPr>
      <w:r w:rsidRPr="00F522E4">
        <w:rPr>
          <w:rFonts w:asciiTheme="minorHAnsi" w:hAnsiTheme="minorHAnsi" w:cstheme="minorHAnsi"/>
          <w:b/>
          <w:bCs/>
        </w:rPr>
        <w:t xml:space="preserve">Nová licence </w:t>
      </w:r>
      <w:proofErr w:type="spellStart"/>
      <w:r w:rsidRPr="00F522E4">
        <w:rPr>
          <w:rFonts w:asciiTheme="minorHAnsi" w:hAnsiTheme="minorHAnsi" w:cstheme="minorHAnsi"/>
          <w:b/>
          <w:bCs/>
        </w:rPr>
        <w:t>Kaspersky</w:t>
      </w:r>
      <w:proofErr w:type="spellEnd"/>
      <w:r w:rsidRPr="00F522E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522E4">
        <w:rPr>
          <w:rFonts w:asciiTheme="minorHAnsi" w:hAnsiTheme="minorHAnsi" w:cstheme="minorHAnsi"/>
          <w:b/>
          <w:bCs/>
        </w:rPr>
        <w:t>Security</w:t>
      </w:r>
      <w:proofErr w:type="spellEnd"/>
      <w:r w:rsidRPr="00F522E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522E4">
        <w:rPr>
          <w:rFonts w:asciiTheme="minorHAnsi" w:hAnsiTheme="minorHAnsi" w:cstheme="minorHAnsi"/>
          <w:b/>
          <w:bCs/>
        </w:rPr>
        <w:t>for</w:t>
      </w:r>
      <w:proofErr w:type="spellEnd"/>
      <w:r w:rsidRPr="00F522E4">
        <w:rPr>
          <w:rFonts w:asciiTheme="minorHAnsi" w:hAnsiTheme="minorHAnsi" w:cstheme="minorHAnsi"/>
          <w:b/>
          <w:bCs/>
        </w:rPr>
        <w:t xml:space="preserve"> Microsoft Office 365 (450 lic., podpora na 3 roky)</w:t>
      </w:r>
    </w:p>
    <w:p w14:paraId="76D20DF2" w14:textId="47DA9DFC" w:rsidR="000B1D00" w:rsidRPr="00F522E4" w:rsidRDefault="000B1D00" w:rsidP="000B1D00">
      <w:pPr>
        <w:spacing w:line="240" w:lineRule="auto"/>
        <w:rPr>
          <w:rFonts w:asciiTheme="minorHAnsi" w:hAnsiTheme="minorHAnsi" w:cstheme="minorHAnsi"/>
        </w:rPr>
      </w:pPr>
      <w:r w:rsidRPr="00F522E4">
        <w:rPr>
          <w:rFonts w:asciiTheme="minorHAnsi" w:hAnsiTheme="minorHAnsi" w:cstheme="minorHAnsi"/>
        </w:rPr>
        <w:t xml:space="preserve">K výše uvedenému software Zadavatel dále vyžaduje technické zaškolení IT administrátorů a poskytování služeb lokální technické podpory v ČJ v režimu 5x8 po celou dobu platnosti zakoupené licence. </w:t>
      </w:r>
    </w:p>
    <w:p w14:paraId="736DF3D3" w14:textId="2A05383C" w:rsidR="000B1D00" w:rsidRPr="00F522E4" w:rsidRDefault="000B1D00" w:rsidP="000B1D00">
      <w:pPr>
        <w:rPr>
          <w:rFonts w:asciiTheme="minorHAnsi" w:hAnsiTheme="minorHAnsi" w:cstheme="minorHAnsi"/>
        </w:rPr>
      </w:pPr>
      <w:r w:rsidRPr="00F522E4">
        <w:rPr>
          <w:rFonts w:asciiTheme="minorHAnsi" w:hAnsiTheme="minorHAnsi" w:cstheme="minorHAnsi"/>
        </w:rPr>
        <w:t xml:space="preserve">Uchazeč </w:t>
      </w:r>
      <w:proofErr w:type="gramStart"/>
      <w:r w:rsidRPr="00F522E4">
        <w:rPr>
          <w:rFonts w:asciiTheme="minorHAnsi" w:hAnsiTheme="minorHAnsi" w:cstheme="minorHAnsi"/>
        </w:rPr>
        <w:t>předloží</w:t>
      </w:r>
      <w:proofErr w:type="gramEnd"/>
      <w:r w:rsidRPr="00F522E4">
        <w:rPr>
          <w:rFonts w:asciiTheme="minorHAnsi" w:hAnsiTheme="minorHAnsi" w:cstheme="minorHAnsi"/>
        </w:rPr>
        <w:t xml:space="preserve"> nabídku na plně funkční a nakonfigurovaný systém ochrany zařízení Zadavatele (počítače, notebooky, mobilní telefony, servery, virtuální prostředí, MS 365 pošty) dle svých nejlepších znalostí a svědomí, splňující veškeré minimální</w:t>
      </w:r>
      <w:r w:rsidR="002E41BC" w:rsidRPr="00F522E4">
        <w:rPr>
          <w:rFonts w:asciiTheme="minorHAnsi" w:hAnsiTheme="minorHAnsi" w:cstheme="minorHAnsi"/>
        </w:rPr>
        <w:t xml:space="preserve"> požadavky na</w:t>
      </w:r>
      <w:r w:rsidRPr="00F522E4">
        <w:rPr>
          <w:rFonts w:asciiTheme="minorHAnsi" w:hAnsiTheme="minorHAnsi" w:cstheme="minorHAnsi"/>
        </w:rPr>
        <w:t xml:space="preserve"> technické parametry a funkce zabezpečení.</w:t>
      </w:r>
    </w:p>
    <w:p w14:paraId="5C2FC9AE" w14:textId="254B2F90" w:rsidR="000B1D00" w:rsidRPr="00F522E4" w:rsidRDefault="000B1D00" w:rsidP="000B1D00">
      <w:pPr>
        <w:rPr>
          <w:rFonts w:asciiTheme="minorHAnsi" w:hAnsiTheme="minorHAnsi" w:cstheme="minorHAnsi"/>
          <w:b/>
          <w:bCs/>
        </w:rPr>
      </w:pPr>
      <w:r w:rsidRPr="00F522E4">
        <w:rPr>
          <w:rFonts w:asciiTheme="minorHAnsi" w:hAnsiTheme="minorHAnsi" w:cstheme="minorHAnsi"/>
          <w:b/>
          <w:bCs/>
        </w:rPr>
        <w:t xml:space="preserve">Názvy produktů a popisy uvedené v této zadávací dokumentaci specifikují požadované plnění v případě výrobce aktuálně používaného řešení s tím, že Zadavatel </w:t>
      </w:r>
      <w:r w:rsidRPr="00F522E4">
        <w:rPr>
          <w:rFonts w:asciiTheme="minorHAnsi" w:hAnsiTheme="minorHAnsi" w:cstheme="minorHAnsi"/>
          <w:b/>
          <w:bCs/>
          <w:u w:val="single"/>
        </w:rPr>
        <w:t>připouští</w:t>
      </w:r>
      <w:r w:rsidRPr="00F522E4">
        <w:rPr>
          <w:rFonts w:asciiTheme="minorHAnsi" w:hAnsiTheme="minorHAnsi" w:cstheme="minorHAnsi"/>
          <w:b/>
          <w:bCs/>
        </w:rPr>
        <w:t xml:space="preserve"> i jiná, avšak kvalitativně a technicky obdobná řešení za podmínky, že nedojde ke zhoršení technických parametrů kladených na požadované řešení a bude současně zachována kompatibilita se stávajícími zařízeními a infrastrukturou Zadavatele.</w:t>
      </w:r>
    </w:p>
    <w:p w14:paraId="2FBA64A2" w14:textId="77777777" w:rsidR="002F4695" w:rsidRPr="00F522E4" w:rsidRDefault="002F4695" w:rsidP="002F4695">
      <w:pPr>
        <w:rPr>
          <w:rFonts w:ascii="Tahoma" w:hAnsi="Tahoma" w:cs="Tahoma"/>
          <w:sz w:val="21"/>
          <w:szCs w:val="21"/>
        </w:rPr>
      </w:pPr>
    </w:p>
    <w:p w14:paraId="1CB3737F" w14:textId="77777777" w:rsidR="002F4695" w:rsidRPr="00F522E4" w:rsidRDefault="002F4695" w:rsidP="002F4695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22E4">
        <w:rPr>
          <w:rFonts w:asciiTheme="minorHAnsi" w:hAnsiTheme="minorHAnsi" w:cstheme="minorHAnsi"/>
          <w:b/>
          <w:sz w:val="24"/>
          <w:szCs w:val="24"/>
        </w:rPr>
        <w:t>Obecné požadavky</w:t>
      </w:r>
    </w:p>
    <w:p w14:paraId="2ABFD16C" w14:textId="77777777" w:rsidR="002F4695" w:rsidRPr="00F522E4" w:rsidRDefault="002F4695" w:rsidP="002F4695">
      <w:pPr>
        <w:pStyle w:val="Odstavecseseznamem"/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6"/>
        <w:gridCol w:w="1134"/>
        <w:gridCol w:w="2970"/>
      </w:tblGrid>
      <w:tr w:rsidR="00F522E4" w:rsidRPr="00F522E4" w14:paraId="601A02D8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3A98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Požadavek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C7D0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Splněno</w:t>
            </w:r>
          </w:p>
          <w:p w14:paraId="5F5C544C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(ANO / NE)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CA5D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Poznámka</w:t>
            </w:r>
          </w:p>
          <w:p w14:paraId="42D23B0F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(jakým způsobem řešeno)</w:t>
            </w:r>
          </w:p>
          <w:p w14:paraId="1630903C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</w:p>
        </w:tc>
      </w:tr>
      <w:tr w:rsidR="00F522E4" w:rsidRPr="00F522E4" w14:paraId="73042D98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0962" w14:textId="73655B96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Nabízené </w:t>
            </w:r>
            <w:proofErr w:type="spellStart"/>
            <w:r w:rsidRPr="00F522E4">
              <w:rPr>
                <w:rFonts w:asciiTheme="minorHAnsi" w:hAnsiTheme="minorHAnsi" w:cstheme="minorHAnsi"/>
              </w:rPr>
              <w:t>Endpoint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522E4">
              <w:rPr>
                <w:rFonts w:asciiTheme="minorHAnsi" w:hAnsiTheme="minorHAnsi" w:cstheme="minorHAnsi"/>
              </w:rPr>
              <w:t>Protection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řešení splňující dále požadovaná kritéria pro ochranu stanic, serverů, virtuálního prostředí, BYOD mobilních zařízení včetně MS 365 pošty (</w:t>
            </w:r>
            <w:r w:rsidR="00C52C38" w:rsidRPr="00F522E4">
              <w:rPr>
                <w:rFonts w:asciiTheme="minorHAnsi" w:hAnsiTheme="minorHAnsi" w:cstheme="minorHAnsi"/>
              </w:rPr>
              <w:t xml:space="preserve">v případě </w:t>
            </w:r>
            <w:r w:rsidR="005803C1" w:rsidRPr="00F522E4">
              <w:rPr>
                <w:rFonts w:asciiTheme="minorHAnsi" w:hAnsiTheme="minorHAnsi" w:cstheme="minorHAnsi"/>
              </w:rPr>
              <w:t xml:space="preserve">MS 365 </w:t>
            </w:r>
            <w:r w:rsidRPr="00F522E4">
              <w:rPr>
                <w:rFonts w:asciiTheme="minorHAnsi" w:hAnsiTheme="minorHAnsi" w:cstheme="minorHAnsi"/>
              </w:rPr>
              <w:t xml:space="preserve">lze </w:t>
            </w:r>
            <w:r w:rsidR="00C52C38" w:rsidRPr="00F522E4">
              <w:rPr>
                <w:rFonts w:asciiTheme="minorHAnsi" w:hAnsiTheme="minorHAnsi" w:cstheme="minorHAnsi"/>
              </w:rPr>
              <w:t xml:space="preserve">nabídnout </w:t>
            </w:r>
            <w:proofErr w:type="spellStart"/>
            <w:r w:rsidRPr="00F522E4">
              <w:rPr>
                <w:rFonts w:asciiTheme="minorHAnsi" w:hAnsiTheme="minorHAnsi" w:cstheme="minorHAnsi"/>
              </w:rPr>
              <w:t>SaaS</w:t>
            </w:r>
            <w:proofErr w:type="spellEnd"/>
            <w:r w:rsidR="00C52C38" w:rsidRPr="00F522E4">
              <w:rPr>
                <w:rFonts w:asciiTheme="minorHAnsi" w:hAnsiTheme="minorHAnsi" w:cstheme="minorHAnsi"/>
              </w:rPr>
              <w:t xml:space="preserve"> od stejného výrobce jako je nabízené řešení</w:t>
            </w:r>
            <w:r w:rsidRPr="00F522E4">
              <w:rPr>
                <w:rFonts w:asciiTheme="minorHAnsi" w:hAnsiTheme="minorHAnsi" w:cstheme="minorHAnsi"/>
              </w:rPr>
              <w:t>) je vzájemně plně integrováno a je od stejného výrobce.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30EA8A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A2863A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28B3FC19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07D9" w14:textId="37C29844" w:rsidR="002F4695" w:rsidRPr="00F522E4" w:rsidRDefault="00361CDD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Nabízená technologie </w:t>
            </w:r>
            <w:r w:rsidR="00C52C38" w:rsidRPr="00F522E4">
              <w:rPr>
                <w:rFonts w:asciiTheme="minorHAnsi" w:hAnsiTheme="minorHAnsi" w:cstheme="minorHAnsi"/>
              </w:rPr>
              <w:t xml:space="preserve">byla </w:t>
            </w:r>
            <w:r w:rsidRPr="00F522E4">
              <w:rPr>
                <w:rFonts w:asciiTheme="minorHAnsi" w:hAnsiTheme="minorHAnsi" w:cstheme="minorHAnsi"/>
              </w:rPr>
              <w:t xml:space="preserve">testována v nezávislých testech AV </w:t>
            </w:r>
            <w:proofErr w:type="spellStart"/>
            <w:r w:rsidRPr="00F522E4">
              <w:rPr>
                <w:rFonts w:asciiTheme="minorHAnsi" w:hAnsiTheme="minorHAnsi" w:cstheme="minorHAnsi"/>
              </w:rPr>
              <w:t>Comparatives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, </w:t>
            </w:r>
            <w:hyperlink r:id="rId8" w:history="1">
              <w:r w:rsidRPr="00F522E4">
                <w:rPr>
                  <w:rStyle w:val="Hypertextovodkaz"/>
                  <w:rFonts w:asciiTheme="minorHAnsi" w:eastAsiaTheme="majorEastAsia" w:hAnsiTheme="minorHAnsi" w:cstheme="minorHAnsi"/>
                  <w:color w:val="auto"/>
                </w:rPr>
                <w:t>www.av-comparatives.org</w:t>
              </w:r>
            </w:hyperlink>
            <w:r w:rsidRPr="00F522E4">
              <w:rPr>
                <w:rFonts w:asciiTheme="minorHAnsi" w:hAnsiTheme="minorHAnsi" w:cstheme="minorHAnsi"/>
              </w:rPr>
              <w:t xml:space="preserve">, kategorie </w:t>
            </w:r>
            <w:proofErr w:type="spellStart"/>
            <w:r w:rsidRPr="00F522E4">
              <w:rPr>
                <w:rFonts w:asciiTheme="minorHAnsi" w:hAnsiTheme="minorHAnsi" w:cstheme="minorHAnsi"/>
              </w:rPr>
              <w:t>Enterprise</w:t>
            </w:r>
            <w:proofErr w:type="spellEnd"/>
            <w:r w:rsidR="00C52C38" w:rsidRPr="00F522E4">
              <w:rPr>
                <w:rFonts w:asciiTheme="minorHAnsi" w:hAnsiTheme="minorHAnsi" w:cstheme="minorHAnsi"/>
              </w:rPr>
              <w:t>/Real-</w:t>
            </w:r>
            <w:proofErr w:type="spellStart"/>
            <w:r w:rsidR="00C52C38" w:rsidRPr="00F522E4">
              <w:rPr>
                <w:rFonts w:asciiTheme="minorHAnsi" w:hAnsiTheme="minorHAnsi" w:cstheme="minorHAnsi"/>
              </w:rPr>
              <w:t>World</w:t>
            </w:r>
            <w:proofErr w:type="spellEnd"/>
            <w:r w:rsidR="00C52C38" w:rsidRPr="00F522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52C38" w:rsidRPr="00F522E4">
              <w:rPr>
                <w:rFonts w:asciiTheme="minorHAnsi" w:hAnsiTheme="minorHAnsi" w:cstheme="minorHAnsi"/>
              </w:rPr>
              <w:t>Protection</w:t>
            </w:r>
            <w:proofErr w:type="spellEnd"/>
            <w:r w:rsidR="00C52C38" w:rsidRPr="00F522E4">
              <w:rPr>
                <w:rFonts w:asciiTheme="minorHAnsi" w:hAnsiTheme="minorHAnsi" w:cstheme="minorHAnsi"/>
              </w:rPr>
              <w:t xml:space="preserve"> Test</w:t>
            </w:r>
            <w:r w:rsidRPr="00F522E4">
              <w:rPr>
                <w:rFonts w:asciiTheme="minorHAnsi" w:hAnsiTheme="minorHAnsi" w:cstheme="minorHAnsi"/>
              </w:rPr>
              <w:t xml:space="preserve"> za rok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77CB67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C2F168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62E3A1EC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1257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Plná lokalizace GUI rozhraní aplikace na koncových zařízeních typu PC, notebook nebo BYOD mobilní zařízení v češtině.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5B637B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043149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4E1F83E9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C3DC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Bezpečnostní cloud infrastruktura výrobce nabízeného řešení využívaná pro detekci malware mimo prostředí klienta je na území EU nebo některého z přidružených států v Evropě.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B1A2B0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BB3CFC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A145EEF" w14:textId="77777777" w:rsidR="002F4695" w:rsidRPr="00F522E4" w:rsidRDefault="002F4695" w:rsidP="002F4695">
      <w:pPr>
        <w:suppressAutoHyphens/>
        <w:rPr>
          <w:rFonts w:asciiTheme="minorHAnsi" w:hAnsiTheme="minorHAnsi" w:cstheme="minorHAnsi"/>
          <w:b/>
        </w:rPr>
      </w:pPr>
    </w:p>
    <w:p w14:paraId="6A8AAFC4" w14:textId="77777777" w:rsidR="002F4695" w:rsidRPr="00F522E4" w:rsidRDefault="002F4695" w:rsidP="002F4695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22E4">
        <w:rPr>
          <w:rFonts w:asciiTheme="minorHAnsi" w:hAnsiTheme="minorHAnsi" w:cstheme="minorHAnsi"/>
          <w:b/>
          <w:sz w:val="24"/>
          <w:szCs w:val="24"/>
        </w:rPr>
        <w:t xml:space="preserve">Pokročilá </w:t>
      </w:r>
      <w:proofErr w:type="spellStart"/>
      <w:r w:rsidRPr="00F522E4">
        <w:rPr>
          <w:rFonts w:asciiTheme="minorHAnsi" w:hAnsiTheme="minorHAnsi" w:cstheme="minorHAnsi"/>
          <w:b/>
          <w:sz w:val="24"/>
          <w:szCs w:val="24"/>
        </w:rPr>
        <w:t>endpoint</w:t>
      </w:r>
      <w:proofErr w:type="spellEnd"/>
      <w:r w:rsidRPr="00F522E4">
        <w:rPr>
          <w:rFonts w:asciiTheme="minorHAnsi" w:hAnsiTheme="minorHAnsi" w:cstheme="minorHAnsi"/>
          <w:b/>
          <w:sz w:val="24"/>
          <w:szCs w:val="24"/>
        </w:rPr>
        <w:t xml:space="preserve"> ochrana pracovních stanic a serverů rozšířená o funkce EDR (XXX Windows/Linux/Mac desktop OS, XX Windows/Linux serverů)</w:t>
      </w:r>
    </w:p>
    <w:p w14:paraId="592CDC4C" w14:textId="77777777" w:rsidR="002F4695" w:rsidRPr="00F522E4" w:rsidRDefault="002F4695" w:rsidP="002F4695">
      <w:pPr>
        <w:pStyle w:val="Odstavecseseznamem"/>
        <w:suppressAutoHyphens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6"/>
        <w:gridCol w:w="1134"/>
        <w:gridCol w:w="2970"/>
      </w:tblGrid>
      <w:tr w:rsidR="00F522E4" w:rsidRPr="00F522E4" w14:paraId="5779C7FB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4E59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Požadavek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95E8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Splněno</w:t>
            </w:r>
          </w:p>
          <w:p w14:paraId="720BBC7F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(ANO / NE)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3E76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Poznámka</w:t>
            </w:r>
          </w:p>
          <w:p w14:paraId="2CA8051E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(jakým způsobem řešeno)</w:t>
            </w:r>
          </w:p>
          <w:p w14:paraId="44D917FB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</w:p>
        </w:tc>
      </w:tr>
      <w:tr w:rsidR="00F522E4" w:rsidRPr="00F522E4" w14:paraId="69DB5405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D32E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Podpora pro OS Windows 7 a výše, Windows Server 2008 a výše, Linux (</w:t>
            </w:r>
            <w:proofErr w:type="spellStart"/>
            <w:r w:rsidRPr="00F522E4">
              <w:rPr>
                <w:rFonts w:asciiTheme="minorHAnsi" w:hAnsiTheme="minorHAnsi" w:cstheme="minorHAnsi"/>
              </w:rPr>
              <w:t>CentOS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522E4">
              <w:rPr>
                <w:rFonts w:asciiTheme="minorHAnsi" w:hAnsiTheme="minorHAnsi" w:cstheme="minorHAnsi"/>
              </w:rPr>
              <w:t>Debian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522E4">
              <w:rPr>
                <w:rFonts w:asciiTheme="minorHAnsi" w:hAnsiTheme="minorHAnsi" w:cstheme="minorHAnsi"/>
              </w:rPr>
              <w:t>RedHat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522E4">
              <w:rPr>
                <w:rFonts w:asciiTheme="minorHAnsi" w:hAnsiTheme="minorHAnsi" w:cstheme="minorHAnsi"/>
              </w:rPr>
              <w:t>Ubuntu</w:t>
            </w:r>
            <w:proofErr w:type="spellEnd"/>
            <w:r w:rsidRPr="00F522E4">
              <w:rPr>
                <w:rFonts w:asciiTheme="minorHAnsi" w:hAnsiTheme="minorHAnsi" w:cstheme="minorHAnsi"/>
              </w:rPr>
              <w:t>, SUSE), Mac.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27743D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A30A9F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00B8E433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30FD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Rozhraní klientské části </w:t>
            </w:r>
            <w:proofErr w:type="spellStart"/>
            <w:r w:rsidRPr="00F522E4">
              <w:rPr>
                <w:rFonts w:asciiTheme="minorHAnsi" w:hAnsiTheme="minorHAnsi" w:cstheme="minorHAnsi"/>
              </w:rPr>
              <w:t>endpoint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522E4">
              <w:rPr>
                <w:rFonts w:asciiTheme="minorHAnsi" w:hAnsiTheme="minorHAnsi" w:cstheme="minorHAnsi"/>
              </w:rPr>
              <w:t>protection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je plně lokalizováno do ČJ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EB2657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2A9592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7DCC868F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2A0E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APT ochrana (viry, červy, trojské koně, </w:t>
            </w:r>
            <w:proofErr w:type="spellStart"/>
            <w:r w:rsidRPr="00F522E4">
              <w:rPr>
                <w:rFonts w:asciiTheme="minorHAnsi" w:hAnsiTheme="minorHAnsi" w:cstheme="minorHAnsi"/>
              </w:rPr>
              <w:t>backdoors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, spyware, </w:t>
            </w:r>
            <w:proofErr w:type="spellStart"/>
            <w:r w:rsidRPr="00F522E4">
              <w:rPr>
                <w:rFonts w:asciiTheme="minorHAnsi" w:hAnsiTheme="minorHAnsi" w:cstheme="minorHAnsi"/>
              </w:rPr>
              <w:t>adware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, ransomware, </w:t>
            </w:r>
            <w:proofErr w:type="spellStart"/>
            <w:r w:rsidRPr="00F522E4">
              <w:rPr>
                <w:rFonts w:asciiTheme="minorHAnsi" w:hAnsiTheme="minorHAnsi" w:cstheme="minorHAnsi"/>
              </w:rPr>
              <w:t>keyloggery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522E4">
              <w:rPr>
                <w:rFonts w:asciiTheme="minorHAnsi" w:hAnsiTheme="minorHAnsi" w:cstheme="minorHAnsi"/>
              </w:rPr>
              <w:t>crimeware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522E4">
              <w:rPr>
                <w:rFonts w:asciiTheme="minorHAnsi" w:hAnsiTheme="minorHAnsi" w:cstheme="minorHAnsi"/>
              </w:rPr>
              <w:t>phishing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522E4">
              <w:rPr>
                <w:rFonts w:asciiTheme="minorHAnsi" w:hAnsiTheme="minorHAnsi" w:cstheme="minorHAnsi"/>
              </w:rPr>
              <w:t>rootkit</w:t>
            </w:r>
            <w:proofErr w:type="spellEnd"/>
            <w:r w:rsidRPr="00F522E4">
              <w:rPr>
                <w:rFonts w:asciiTheme="minorHAnsi" w:hAnsiTheme="minorHAnsi" w:cstheme="minorHAnsi"/>
              </w:rPr>
              <w:t>), skripty (</w:t>
            </w:r>
            <w:proofErr w:type="spellStart"/>
            <w:r w:rsidRPr="00F522E4">
              <w:rPr>
                <w:rFonts w:asciiTheme="minorHAnsi" w:hAnsiTheme="minorHAnsi" w:cstheme="minorHAnsi"/>
              </w:rPr>
              <w:t>PowerShell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, WSH, Java, VB, …) vč. </w:t>
            </w:r>
            <w:proofErr w:type="spellStart"/>
            <w:r w:rsidRPr="00F522E4">
              <w:rPr>
                <w:rFonts w:asciiTheme="minorHAnsi" w:hAnsiTheme="minorHAnsi" w:cstheme="minorHAnsi"/>
              </w:rPr>
              <w:t>Zero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522E4">
              <w:rPr>
                <w:rFonts w:asciiTheme="minorHAnsi" w:hAnsiTheme="minorHAnsi" w:cstheme="minorHAnsi"/>
              </w:rPr>
              <w:t>Day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útoků.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B53767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1B20F6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53043F44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0C45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Ochrana před </w:t>
            </w:r>
            <w:proofErr w:type="spellStart"/>
            <w:r w:rsidRPr="00F522E4">
              <w:rPr>
                <w:rFonts w:asciiTheme="minorHAnsi" w:hAnsiTheme="minorHAnsi" w:cstheme="minorHAnsi"/>
              </w:rPr>
              <w:t>exploitací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instalovaných aplikací a 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0A7155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AAA18B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1D0B1210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F183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Pokročilá detekce malware prostřednictvím technologií virových signatur, heuristiky, behaviorální analýzy a strojového učení (</w:t>
            </w:r>
            <w:proofErr w:type="spellStart"/>
            <w:r w:rsidRPr="00F522E4">
              <w:rPr>
                <w:rFonts w:asciiTheme="minorHAnsi" w:hAnsiTheme="minorHAnsi" w:cstheme="minorHAnsi"/>
              </w:rPr>
              <w:t>Machine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Learning)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6D1851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4A9A37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73A75BBB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C0BC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Detekce malwaru na bázi reputace a cloudové kontroly (lokální i globální služby výrobce)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AECCBB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F0F301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5234BF20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0420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Kontrola paměti a detekce </w:t>
            </w:r>
            <w:proofErr w:type="spellStart"/>
            <w:r w:rsidRPr="00F522E4">
              <w:rPr>
                <w:rFonts w:asciiTheme="minorHAnsi" w:hAnsiTheme="minorHAnsi" w:cstheme="minorHAnsi"/>
              </w:rPr>
              <w:t>Fileless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522E4">
              <w:rPr>
                <w:rFonts w:asciiTheme="minorHAnsi" w:hAnsiTheme="minorHAnsi" w:cstheme="minorHAnsi"/>
              </w:rPr>
              <w:t>Threats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ve Windows.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E62EBE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9C173F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3DD3440B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168D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Podpora MS AMSI </w:t>
            </w:r>
            <w:proofErr w:type="spellStart"/>
            <w:r w:rsidRPr="00F522E4">
              <w:rPr>
                <w:rFonts w:asciiTheme="minorHAnsi" w:hAnsiTheme="minorHAnsi" w:cstheme="minorHAnsi"/>
              </w:rPr>
              <w:t>Protection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Provider.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8EF698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96D0C1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09CF5575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4238" w14:textId="09F7AA0A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F522E4">
              <w:rPr>
                <w:rFonts w:asciiTheme="minorHAnsi" w:hAnsiTheme="minorHAnsi" w:cstheme="minorHAnsi"/>
              </w:rPr>
              <w:t>Antiransomware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- detekce</w:t>
            </w:r>
            <w:proofErr w:type="gramEnd"/>
            <w:r w:rsidRPr="00F522E4">
              <w:rPr>
                <w:rFonts w:asciiTheme="minorHAnsi" w:hAnsiTheme="minorHAnsi" w:cstheme="minorHAnsi"/>
              </w:rPr>
              <w:t xml:space="preserve"> pokusů o neoprávněné šifrování dat na úrovni Windows serverů.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875195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51A90E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605FAF02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1509" w14:textId="2054B31D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proofErr w:type="spellStart"/>
            <w:r w:rsidRPr="00F522E4">
              <w:rPr>
                <w:rFonts w:asciiTheme="minorHAnsi" w:hAnsiTheme="minorHAnsi" w:cstheme="minorHAnsi"/>
              </w:rPr>
              <w:t>Roll-back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nechtěných změn v systému v reakci na detekované aktivity malware.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49E891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6BC48A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2C0C6926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C780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Automatická integrovaná cloud </w:t>
            </w:r>
            <w:proofErr w:type="spellStart"/>
            <w:r w:rsidRPr="00F522E4">
              <w:rPr>
                <w:rFonts w:asciiTheme="minorHAnsi" w:hAnsiTheme="minorHAnsi" w:cstheme="minorHAnsi"/>
              </w:rPr>
              <w:t>Sandbox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ochrana od stejného výrobce jako je dodané řešení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F7694B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8F3C62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5AA3C8FF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9FB5" w14:textId="5E07DDFC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Funkce EDR a rozšíření informací o zjištěných detekcích </w:t>
            </w:r>
            <w:r w:rsidR="009028F5" w:rsidRPr="00F522E4">
              <w:rPr>
                <w:rFonts w:asciiTheme="minorHAnsi" w:hAnsiTheme="minorHAnsi" w:cstheme="minorHAnsi"/>
              </w:rPr>
              <w:t xml:space="preserve">a </w:t>
            </w:r>
            <w:r w:rsidRPr="00F522E4">
              <w:rPr>
                <w:rFonts w:asciiTheme="minorHAnsi" w:hAnsiTheme="minorHAnsi" w:cstheme="minorHAnsi"/>
              </w:rPr>
              <w:t>další související systémové události jako je vizualizace incidentu formou grafického znázornění vývoje a realizace bezpečnostní hrozby (</w:t>
            </w:r>
            <w:proofErr w:type="spellStart"/>
            <w:r w:rsidRPr="00F522E4">
              <w:rPr>
                <w:rFonts w:asciiTheme="minorHAnsi" w:hAnsiTheme="minorHAnsi" w:cstheme="minorHAnsi"/>
              </w:rPr>
              <w:t>kill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522E4">
              <w:rPr>
                <w:rFonts w:asciiTheme="minorHAnsi" w:hAnsiTheme="minorHAnsi" w:cstheme="minorHAnsi"/>
              </w:rPr>
              <w:t>chain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), informace o zařízení (IP, MAC, </w:t>
            </w:r>
            <w:proofErr w:type="spellStart"/>
            <w:r w:rsidRPr="00F522E4">
              <w:rPr>
                <w:rFonts w:asciiTheme="minorHAnsi" w:hAnsiTheme="minorHAnsi" w:cstheme="minorHAnsi"/>
              </w:rPr>
              <w:t>Users</w:t>
            </w:r>
            <w:proofErr w:type="spellEnd"/>
            <w:r w:rsidRPr="00F522E4">
              <w:rPr>
                <w:rFonts w:asciiTheme="minorHAnsi" w:hAnsiTheme="minorHAnsi" w:cstheme="minorHAnsi"/>
              </w:rPr>
              <w:t>, OS, …), způsobu detekce, změnách v registru, stažených souborech, provedených reakcích, informac</w:t>
            </w:r>
            <w:r w:rsidR="009028F5" w:rsidRPr="00F522E4">
              <w:rPr>
                <w:rFonts w:asciiTheme="minorHAnsi" w:hAnsiTheme="minorHAnsi" w:cstheme="minorHAnsi"/>
              </w:rPr>
              <w:t>e</w:t>
            </w:r>
            <w:r w:rsidRPr="00F522E4">
              <w:rPr>
                <w:rFonts w:asciiTheme="minorHAnsi" w:hAnsiTheme="minorHAnsi" w:cstheme="minorHAnsi"/>
              </w:rPr>
              <w:t xml:space="preserve"> o procesech, síťových </w:t>
            </w:r>
            <w:proofErr w:type="gramStart"/>
            <w:r w:rsidRPr="00F522E4">
              <w:rPr>
                <w:rFonts w:asciiTheme="minorHAnsi" w:hAnsiTheme="minorHAnsi" w:cstheme="minorHAnsi"/>
              </w:rPr>
              <w:t>spojeních,</w:t>
            </w:r>
            <w:proofErr w:type="gramEnd"/>
            <w:r w:rsidRPr="00F522E4">
              <w:rPr>
                <w:rFonts w:asciiTheme="minorHAnsi" w:hAnsiTheme="minorHAnsi" w:cstheme="minorHAnsi"/>
              </w:rPr>
              <w:t xml:space="preserve"> atd.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3DD8D7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B49422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7B358DB9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C729" w14:textId="1C7983D5" w:rsidR="002F4695" w:rsidRPr="00F522E4" w:rsidRDefault="00512B0C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Možnost </w:t>
            </w:r>
            <w:r w:rsidR="002F4695" w:rsidRPr="00F522E4">
              <w:rPr>
                <w:rFonts w:asciiTheme="minorHAnsi" w:hAnsiTheme="minorHAnsi" w:cstheme="minorHAnsi"/>
              </w:rPr>
              <w:t xml:space="preserve">generování </w:t>
            </w:r>
            <w:proofErr w:type="spellStart"/>
            <w:r w:rsidR="002F4695" w:rsidRPr="00F522E4">
              <w:rPr>
                <w:rFonts w:asciiTheme="minorHAnsi" w:hAnsiTheme="minorHAnsi" w:cstheme="minorHAnsi"/>
              </w:rPr>
              <w:t>IoC</w:t>
            </w:r>
            <w:proofErr w:type="spellEnd"/>
            <w:r w:rsidR="002F4695" w:rsidRPr="00F522E4">
              <w:rPr>
                <w:rFonts w:asciiTheme="minorHAnsi" w:hAnsiTheme="minorHAnsi" w:cstheme="minorHAnsi"/>
              </w:rPr>
              <w:t xml:space="preserve"> informací na základě zjištěných detekcí s možností spuštění </w:t>
            </w:r>
            <w:proofErr w:type="spellStart"/>
            <w:r w:rsidR="002F4695" w:rsidRPr="00F522E4">
              <w:rPr>
                <w:rFonts w:asciiTheme="minorHAnsi" w:hAnsiTheme="minorHAnsi" w:cstheme="minorHAnsi"/>
              </w:rPr>
              <w:t>IoC</w:t>
            </w:r>
            <w:proofErr w:type="spellEnd"/>
            <w:r w:rsidR="002F4695" w:rsidRPr="00F522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F4695" w:rsidRPr="00F522E4">
              <w:rPr>
                <w:rFonts w:asciiTheme="minorHAnsi" w:hAnsiTheme="minorHAnsi" w:cstheme="minorHAnsi"/>
              </w:rPr>
              <w:t>scanu</w:t>
            </w:r>
            <w:proofErr w:type="spellEnd"/>
            <w:r w:rsidR="002F4695" w:rsidRPr="00F522E4">
              <w:rPr>
                <w:rFonts w:asciiTheme="minorHAnsi" w:hAnsiTheme="minorHAnsi" w:cstheme="minorHAnsi"/>
              </w:rPr>
              <w:t xml:space="preserve"> na všechny </w:t>
            </w:r>
            <w:proofErr w:type="spellStart"/>
            <w:r w:rsidR="002F4695" w:rsidRPr="00F522E4">
              <w:rPr>
                <w:rFonts w:asciiTheme="minorHAnsi" w:hAnsiTheme="minorHAnsi" w:cstheme="minorHAnsi"/>
              </w:rPr>
              <w:t>endpointy</w:t>
            </w:r>
            <w:proofErr w:type="spellEnd"/>
            <w:r w:rsidR="002F4695" w:rsidRPr="00F522E4">
              <w:rPr>
                <w:rFonts w:asciiTheme="minorHAnsi" w:hAnsiTheme="minorHAnsi" w:cstheme="minorHAnsi"/>
              </w:rPr>
              <w:t xml:space="preserve"> a rychlé reakce na zjištěné detekce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7F58A5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78893C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3E3DC462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E49F" w14:textId="3E32D96E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Možnost doplnění </w:t>
            </w:r>
            <w:r w:rsidR="008C2C45" w:rsidRPr="00F522E4">
              <w:rPr>
                <w:rFonts w:asciiTheme="minorHAnsi" w:hAnsiTheme="minorHAnsi" w:cstheme="minorHAnsi"/>
              </w:rPr>
              <w:t xml:space="preserve">vlastních </w:t>
            </w:r>
            <w:proofErr w:type="spellStart"/>
            <w:r w:rsidRPr="00F522E4">
              <w:rPr>
                <w:rFonts w:asciiTheme="minorHAnsi" w:hAnsiTheme="minorHAnsi" w:cstheme="minorHAnsi"/>
              </w:rPr>
              <w:t>IoC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detekcí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718FAF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A22A4E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70B69C0F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978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Podpora rychlé reakce z centrální konzole na zjištěné incidenty a detekce např. blokování spuštění aplikace, izolace zařízení, smazání podezřelého souboru, ukončení procesu, odeslání do karantény, spuštění systémového </w:t>
            </w:r>
            <w:proofErr w:type="spellStart"/>
            <w:r w:rsidRPr="00F522E4">
              <w:rPr>
                <w:rFonts w:asciiTheme="minorHAnsi" w:hAnsiTheme="minorHAnsi" w:cstheme="minorHAnsi"/>
              </w:rPr>
              <w:t>scanu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, provedení CMD příkazu, spuštění </w:t>
            </w:r>
            <w:proofErr w:type="spellStart"/>
            <w:r w:rsidRPr="00F522E4">
              <w:rPr>
                <w:rFonts w:asciiTheme="minorHAnsi" w:hAnsiTheme="minorHAnsi" w:cstheme="minorHAnsi"/>
              </w:rPr>
              <w:t>IoC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522E4">
              <w:rPr>
                <w:rFonts w:asciiTheme="minorHAnsi" w:hAnsiTheme="minorHAnsi" w:cstheme="minorHAnsi"/>
              </w:rPr>
              <w:t>scanu</w:t>
            </w:r>
            <w:proofErr w:type="spellEnd"/>
            <w:r w:rsidRPr="00F522E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0F1094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FBCB64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1CA29D89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D866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Možnost konfigurovat firewall pravidla ve Windows Server a Linux prostřednictvím centrální konzole nabízeného řešení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B378B9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2B4FD6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2739F22E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4D9D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Manuální a plánované spouštění skenování, blokování skriptů, kontrola Windows registrů, Buffer </w:t>
            </w:r>
            <w:proofErr w:type="spellStart"/>
            <w:r w:rsidRPr="00F522E4">
              <w:rPr>
                <w:rFonts w:asciiTheme="minorHAnsi" w:hAnsiTheme="minorHAnsi" w:cstheme="minorHAnsi"/>
              </w:rPr>
              <w:t>overflow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ochrana a skenování na pozadí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E84665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E159AB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0122F73E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8854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proofErr w:type="spellStart"/>
            <w:r w:rsidRPr="00F522E4">
              <w:rPr>
                <w:rFonts w:asciiTheme="minorHAnsi" w:hAnsiTheme="minorHAnsi" w:cstheme="minorHAnsi"/>
              </w:rPr>
              <w:t>Self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-Defense ochrana heslem před neoprávněnou deaktivací </w:t>
            </w:r>
            <w:proofErr w:type="spellStart"/>
            <w:r w:rsidRPr="00F522E4">
              <w:rPr>
                <w:rFonts w:asciiTheme="minorHAnsi" w:hAnsiTheme="minorHAnsi" w:cstheme="minorHAnsi"/>
              </w:rPr>
              <w:t>endpoint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522E4">
              <w:rPr>
                <w:rFonts w:asciiTheme="minorHAnsi" w:hAnsiTheme="minorHAnsi" w:cstheme="minorHAnsi"/>
              </w:rPr>
              <w:t>protection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&amp; EDR ochrany včetně blokování neoprávněné vzdálené správy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D6F280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221F98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2B81B29F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C404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Kontrola archivů (ZIP, ARJ, CAB, RAR, LHA, JAR, ICE)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3393AA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B4A745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51A3A2C9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4C37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Pravidelná automatická aktualizace systému (v závislosti na síťovém prostředí se aktualizace stahují buď z centrálního uložiště, nebo přímo z </w:t>
            </w:r>
            <w:proofErr w:type="gramStart"/>
            <w:r w:rsidRPr="00F522E4">
              <w:rPr>
                <w:rFonts w:asciiTheme="minorHAnsi" w:hAnsiTheme="minorHAnsi" w:cstheme="minorHAnsi"/>
              </w:rPr>
              <w:t>Internetu</w:t>
            </w:r>
            <w:proofErr w:type="gramEnd"/>
            <w:r w:rsidRPr="00F522E4">
              <w:rPr>
                <w:rFonts w:asciiTheme="minorHAnsi" w:hAnsiTheme="minorHAnsi" w:cstheme="minorHAnsi"/>
              </w:rPr>
              <w:t>). Lokální aktualizační servery (</w:t>
            </w:r>
            <w:proofErr w:type="spellStart"/>
            <w:r w:rsidRPr="00F522E4">
              <w:rPr>
                <w:rFonts w:asciiTheme="minorHAnsi" w:hAnsiTheme="minorHAnsi" w:cstheme="minorHAnsi"/>
              </w:rPr>
              <w:t>mirrory</w:t>
            </w:r>
            <w:proofErr w:type="spellEnd"/>
            <w:r w:rsidRPr="00F522E4">
              <w:rPr>
                <w:rFonts w:asciiTheme="minorHAnsi" w:hAnsiTheme="minorHAnsi" w:cstheme="minorHAnsi"/>
              </w:rPr>
              <w:t>) si mohou vzájemně replikovat data. Pro externí pracovníky lze nastavit sekundární profil aktualizace z internetu.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AE9447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7B2769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77F736B9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E957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Centrálně konfigurovaný personální firewall + Host </w:t>
            </w:r>
            <w:proofErr w:type="spellStart"/>
            <w:r w:rsidRPr="00F522E4">
              <w:rPr>
                <w:rFonts w:asciiTheme="minorHAnsi" w:hAnsiTheme="minorHAnsi" w:cstheme="minorHAnsi"/>
              </w:rPr>
              <w:t>Intrusion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522E4">
              <w:rPr>
                <w:rFonts w:asciiTheme="minorHAnsi" w:hAnsiTheme="minorHAnsi" w:cstheme="minorHAnsi"/>
              </w:rPr>
              <w:t>Prevention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(HIPS). Pravidla firewallu lze automaticky měnit v závislosti na prostředí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0C6CCC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B69ED0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20806C47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5B01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Ochrana elektronické pošty na úrovni protokolů (POP3, IMAP) vč. plug-in pro MS Outlook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DF22B0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426DF0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7B96DA78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B356" w14:textId="4E5CD5E0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Inspekce síťového provozu HTTP(S) a FTP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DAD863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AC2868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4B7497DB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32BD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Blokování uživatelských přístupů na webové stránky s nechtěným nebo škodlivým obsahem na základě URL, webové kategorie, uživatele a času přístupu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CF7453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AE4AB3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561D3838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9CCD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Kontrola URL vůči globální cloudové službě výrobce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76420F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D10E45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339DA5C8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9D4D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Uživatelské bezpečnostní politiky zvlášť na zařízení, web a aplikace.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596E77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EF7664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61D02BF4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C020" w14:textId="5A4F50C1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proofErr w:type="spellStart"/>
            <w:r w:rsidRPr="00F522E4">
              <w:rPr>
                <w:rFonts w:asciiTheme="minorHAnsi" w:hAnsiTheme="minorHAnsi" w:cstheme="minorHAnsi"/>
              </w:rPr>
              <w:t>Application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522E4">
              <w:rPr>
                <w:rFonts w:asciiTheme="minorHAnsi" w:hAnsiTheme="minorHAnsi" w:cstheme="minorHAnsi"/>
              </w:rPr>
              <w:t>Control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– možnost povolovat/blokovat spouštění vybraných aplikací dle nastavené firemní politiky (</w:t>
            </w:r>
            <w:proofErr w:type="spellStart"/>
            <w:r w:rsidRPr="00F522E4">
              <w:rPr>
                <w:rFonts w:asciiTheme="minorHAnsi" w:hAnsiTheme="minorHAnsi" w:cstheme="minorHAnsi"/>
              </w:rPr>
              <w:t>blacklisty</w:t>
            </w:r>
            <w:proofErr w:type="spellEnd"/>
            <w:r w:rsidRPr="00F522E4">
              <w:rPr>
                <w:rFonts w:asciiTheme="minorHAnsi" w:hAnsiTheme="minorHAnsi" w:cstheme="minorHAnsi"/>
              </w:rPr>
              <w:t>/</w:t>
            </w:r>
            <w:proofErr w:type="spellStart"/>
            <w:r w:rsidRPr="00F522E4">
              <w:rPr>
                <w:rFonts w:asciiTheme="minorHAnsi" w:hAnsiTheme="minorHAnsi" w:cstheme="minorHAnsi"/>
              </w:rPr>
              <w:t>whitelisty</w:t>
            </w:r>
            <w:proofErr w:type="spellEnd"/>
            <w:r w:rsidRPr="00F522E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F056A1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383183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0684024A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26C8" w14:textId="7FF71B73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proofErr w:type="spellStart"/>
            <w:r w:rsidRPr="00F522E4">
              <w:rPr>
                <w:rFonts w:asciiTheme="minorHAnsi" w:hAnsiTheme="minorHAnsi" w:cstheme="minorHAnsi"/>
              </w:rPr>
              <w:t>Whitelist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aplikací na základě digitálního certifikátu, HASH, souborového umístění nebo výrobcem předdefinovaných kategorií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6372C9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3788B2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5F2CF223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04D8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proofErr w:type="spellStart"/>
            <w:r w:rsidRPr="00F522E4">
              <w:rPr>
                <w:rFonts w:asciiTheme="minorHAnsi" w:hAnsiTheme="minorHAnsi" w:cstheme="minorHAnsi"/>
              </w:rPr>
              <w:t>Device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F522E4">
              <w:rPr>
                <w:rFonts w:asciiTheme="minorHAnsi" w:hAnsiTheme="minorHAnsi" w:cstheme="minorHAnsi"/>
              </w:rPr>
              <w:t>Control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- možnost</w:t>
            </w:r>
            <w:proofErr w:type="gramEnd"/>
            <w:r w:rsidRPr="00F522E4">
              <w:rPr>
                <w:rFonts w:asciiTheme="minorHAnsi" w:hAnsiTheme="minorHAnsi" w:cstheme="minorHAnsi"/>
              </w:rPr>
              <w:t xml:space="preserve"> blokovat vybraná USB a jiná přídavná zařízení na úrovni sběrnice s možností </w:t>
            </w:r>
            <w:proofErr w:type="spellStart"/>
            <w:r w:rsidRPr="00F522E4">
              <w:rPr>
                <w:rFonts w:asciiTheme="minorHAnsi" w:hAnsiTheme="minorHAnsi" w:cstheme="minorHAnsi"/>
              </w:rPr>
              <w:t>whitelist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zařízení a řízení oprávnění (</w:t>
            </w:r>
            <w:proofErr w:type="spellStart"/>
            <w:r w:rsidRPr="00F522E4">
              <w:rPr>
                <w:rFonts w:asciiTheme="minorHAnsi" w:hAnsiTheme="minorHAnsi" w:cstheme="minorHAnsi"/>
              </w:rPr>
              <w:t>read</w:t>
            </w:r>
            <w:proofErr w:type="spellEnd"/>
            <w:r w:rsidRPr="00F522E4">
              <w:rPr>
                <w:rFonts w:asciiTheme="minorHAnsi" w:hAnsiTheme="minorHAnsi" w:cstheme="minorHAnsi"/>
              </w:rPr>
              <w:t>/</w:t>
            </w:r>
            <w:proofErr w:type="spellStart"/>
            <w:r w:rsidRPr="00F522E4">
              <w:rPr>
                <w:rFonts w:asciiTheme="minorHAnsi" w:hAnsiTheme="minorHAnsi" w:cstheme="minorHAnsi"/>
              </w:rPr>
              <w:t>write</w:t>
            </w:r>
            <w:proofErr w:type="spellEnd"/>
            <w:r w:rsidRPr="00F522E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D290BD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0753F7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1D9CD31F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0686" w14:textId="7CECE64A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Automatická kategorizace připojovaných USB zařízení dle jejich typu</w:t>
            </w:r>
            <w:r w:rsidR="00356AE0" w:rsidRPr="00F522E4">
              <w:rPr>
                <w:rFonts w:asciiTheme="minorHAnsi" w:hAnsiTheme="minorHAnsi" w:cstheme="minorHAnsi"/>
              </w:rPr>
              <w:t>,</w:t>
            </w:r>
            <w:r w:rsidRPr="00F522E4">
              <w:rPr>
                <w:rFonts w:asciiTheme="minorHAnsi" w:hAnsiTheme="minorHAnsi" w:cstheme="minorHAnsi"/>
              </w:rPr>
              <w:t xml:space="preserve"> možnost blokace upravených USB zařízení emulujících standardní klávesnici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D12C68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A15092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20B30221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1D30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Automatická kontrola výměnných zařízení a blokace spuštění spustitelných souborů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D87481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FA704D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385A323A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5EB9" w14:textId="50662B2F" w:rsidR="002F4695" w:rsidRPr="00F522E4" w:rsidRDefault="00356AE0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Možnost </w:t>
            </w:r>
            <w:r w:rsidR="002F4695" w:rsidRPr="00F522E4">
              <w:rPr>
                <w:rFonts w:asciiTheme="minorHAnsi" w:hAnsiTheme="minorHAnsi" w:cstheme="minorHAnsi"/>
              </w:rPr>
              <w:t xml:space="preserve">skenování stanice </w:t>
            </w:r>
            <w:r w:rsidRPr="00F522E4">
              <w:rPr>
                <w:rFonts w:asciiTheme="minorHAnsi" w:hAnsiTheme="minorHAnsi" w:cstheme="minorHAnsi"/>
              </w:rPr>
              <w:t xml:space="preserve">na vyžádání, </w:t>
            </w:r>
            <w:r w:rsidR="002F4695" w:rsidRPr="00F522E4">
              <w:rPr>
                <w:rFonts w:asciiTheme="minorHAnsi" w:hAnsiTheme="minorHAnsi" w:cstheme="minorHAnsi"/>
              </w:rPr>
              <w:t xml:space="preserve">možnost </w:t>
            </w:r>
            <w:r w:rsidRPr="00F522E4">
              <w:rPr>
                <w:rFonts w:asciiTheme="minorHAnsi" w:hAnsiTheme="minorHAnsi" w:cstheme="minorHAnsi"/>
              </w:rPr>
              <w:t xml:space="preserve">definovat vytížení koncového bodu a </w:t>
            </w:r>
            <w:r w:rsidR="002F4695" w:rsidRPr="00F522E4">
              <w:rPr>
                <w:rFonts w:asciiTheme="minorHAnsi" w:hAnsiTheme="minorHAnsi" w:cstheme="minorHAnsi"/>
              </w:rPr>
              <w:t>vynechat již dříve zkontrolované a nezměněné objekty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5AB2F9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90FD82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3C57C526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B847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Umožňuje uložit protokoly o činnostech v běžných formátech (CSV, text, Windows event log)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BB7A7F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5739F8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6EB34EA1" w14:textId="77777777" w:rsidTr="001826EF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41E5" w14:textId="2839A039" w:rsidR="00361CDD" w:rsidRPr="00F522E4" w:rsidRDefault="00361CDD" w:rsidP="001826EF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Vlastní šifrování celého disku vč. OS (Full Disk </w:t>
            </w:r>
            <w:proofErr w:type="spellStart"/>
            <w:r w:rsidRPr="00F522E4">
              <w:rPr>
                <w:rFonts w:asciiTheme="minorHAnsi" w:hAnsiTheme="minorHAnsi" w:cstheme="minorHAnsi"/>
              </w:rPr>
              <w:t>Encryption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), výměnných paměťových úložišť </w:t>
            </w:r>
            <w:r w:rsidR="009028F5" w:rsidRPr="00F522E4">
              <w:rPr>
                <w:rFonts w:asciiTheme="minorHAnsi" w:hAnsiTheme="minorHAnsi" w:cstheme="minorHAnsi"/>
              </w:rPr>
              <w:t xml:space="preserve">a/nebo </w:t>
            </w:r>
            <w:r w:rsidRPr="00F522E4">
              <w:rPr>
                <w:rFonts w:asciiTheme="minorHAnsi" w:hAnsiTheme="minorHAnsi" w:cstheme="minorHAnsi"/>
              </w:rPr>
              <w:t xml:space="preserve">správa nativního šifrování ve Windows MS BitLocker a v MacOS </w:t>
            </w:r>
            <w:proofErr w:type="spellStart"/>
            <w:r w:rsidRPr="00F522E4">
              <w:rPr>
                <w:rFonts w:asciiTheme="minorHAnsi" w:hAnsiTheme="minorHAnsi" w:cstheme="minorHAnsi"/>
              </w:rPr>
              <w:t>FileVault</w:t>
            </w:r>
            <w:proofErr w:type="spellEnd"/>
            <w:r w:rsidRPr="00F522E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1BF85C" w14:textId="77777777" w:rsidR="00361CDD" w:rsidRPr="00F522E4" w:rsidRDefault="00361CDD" w:rsidP="001826EF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13B929" w14:textId="77777777" w:rsidR="00361CDD" w:rsidRPr="00F522E4" w:rsidRDefault="00361CDD" w:rsidP="001826EF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652393F7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056B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Data </w:t>
            </w:r>
            <w:proofErr w:type="spellStart"/>
            <w:r w:rsidRPr="00F522E4">
              <w:rPr>
                <w:rFonts w:asciiTheme="minorHAnsi" w:hAnsiTheme="minorHAnsi" w:cstheme="minorHAnsi"/>
              </w:rPr>
              <w:t>Recovery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šifrovaných zařízení v případě havárie včetně centrální správy šifrovacích klíčů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639FB4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F2A152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247D0BC8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4805" w14:textId="5B33A2CC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Podpora </w:t>
            </w:r>
            <w:proofErr w:type="spellStart"/>
            <w:r w:rsidR="00356AE0" w:rsidRPr="00F522E4">
              <w:rPr>
                <w:rFonts w:asciiTheme="minorHAnsi" w:hAnsiTheme="minorHAnsi" w:cstheme="minorHAnsi"/>
              </w:rPr>
              <w:t>multifaktorové</w:t>
            </w:r>
            <w:proofErr w:type="spellEnd"/>
            <w:r w:rsidR="00356AE0" w:rsidRPr="00F522E4">
              <w:rPr>
                <w:rFonts w:asciiTheme="minorHAnsi" w:hAnsiTheme="minorHAnsi" w:cstheme="minorHAnsi"/>
              </w:rPr>
              <w:t xml:space="preserve"> </w:t>
            </w:r>
            <w:r w:rsidRPr="00F522E4">
              <w:rPr>
                <w:rFonts w:asciiTheme="minorHAnsi" w:hAnsiTheme="minorHAnsi" w:cstheme="minorHAnsi"/>
              </w:rPr>
              <w:t>autentizace v </w:t>
            </w:r>
            <w:proofErr w:type="spellStart"/>
            <w:r w:rsidRPr="00F522E4">
              <w:rPr>
                <w:rFonts w:asciiTheme="minorHAnsi" w:hAnsiTheme="minorHAnsi" w:cstheme="minorHAnsi"/>
              </w:rPr>
              <w:t>preboot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režimu u šifrovaných zařízení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07A0C3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AF347A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5A9FEDEB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BADD" w14:textId="7B90513E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Patch </w:t>
            </w:r>
            <w:proofErr w:type="gramStart"/>
            <w:r w:rsidRPr="00F522E4">
              <w:rPr>
                <w:rFonts w:asciiTheme="minorHAnsi" w:hAnsiTheme="minorHAnsi" w:cstheme="minorHAnsi"/>
              </w:rPr>
              <w:t>Management - přehled</w:t>
            </w:r>
            <w:proofErr w:type="gramEnd"/>
            <w:r w:rsidRPr="00F522E4">
              <w:rPr>
                <w:rFonts w:asciiTheme="minorHAnsi" w:hAnsiTheme="minorHAnsi" w:cstheme="minorHAnsi"/>
              </w:rPr>
              <w:t xml:space="preserve"> zranitelností u min. 1</w:t>
            </w:r>
            <w:r w:rsidR="00361CDD" w:rsidRPr="00F522E4">
              <w:rPr>
                <w:rFonts w:asciiTheme="minorHAnsi" w:hAnsiTheme="minorHAnsi" w:cstheme="minorHAnsi"/>
              </w:rPr>
              <w:t>0</w:t>
            </w:r>
            <w:r w:rsidRPr="00F522E4">
              <w:rPr>
                <w:rFonts w:asciiTheme="minorHAnsi" w:hAnsiTheme="minorHAnsi" w:cstheme="minorHAnsi"/>
              </w:rPr>
              <w:t>0</w:t>
            </w:r>
            <w:r w:rsidRPr="00F522E4">
              <w:rPr>
                <w:rFonts w:asciiTheme="minorHAnsi" w:hAnsiTheme="minorHAnsi" w:cstheme="minorHAnsi"/>
                <w:lang w:val="en-GB"/>
              </w:rPr>
              <w:t xml:space="preserve">+ </w:t>
            </w:r>
            <w:proofErr w:type="spellStart"/>
            <w:r w:rsidRPr="00F522E4">
              <w:rPr>
                <w:rFonts w:asciiTheme="minorHAnsi" w:hAnsiTheme="minorHAnsi" w:cstheme="minorHAnsi"/>
                <w:lang w:val="en-GB"/>
              </w:rPr>
              <w:t>aplikací</w:t>
            </w:r>
            <w:proofErr w:type="spellEnd"/>
            <w:r w:rsidR="00361CDD" w:rsidRPr="00F522E4">
              <w:rPr>
                <w:rFonts w:asciiTheme="minorHAnsi" w:hAnsiTheme="minorHAnsi" w:cstheme="minorHAnsi"/>
              </w:rPr>
              <w:t xml:space="preserve">, </w:t>
            </w:r>
            <w:r w:rsidRPr="00F522E4">
              <w:rPr>
                <w:rFonts w:asciiTheme="minorHAnsi" w:hAnsiTheme="minorHAnsi" w:cstheme="minorHAnsi"/>
              </w:rPr>
              <w:t>včetně možnosti automatické instalace příslušných oprav a aktualizací s podporou jejich agregace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C2ADDD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94E19C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522E4" w:rsidRPr="00F522E4" w14:paraId="22F7666B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3ED1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Možnost instalace pouze administrátorem schválených aktualizací s možností využít testovací režim na nastavitelném vzorku zařízení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B1A7BA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7C4F35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522E4" w:rsidRPr="00F522E4" w14:paraId="677CDF7E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D7F9" w14:textId="0595DB4E" w:rsidR="00361CDD" w:rsidRPr="00F522E4" w:rsidRDefault="00361CDD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EDR agent </w:t>
            </w:r>
            <w:r w:rsidR="00115891" w:rsidRPr="00F522E4">
              <w:rPr>
                <w:rFonts w:asciiTheme="minorHAnsi" w:hAnsiTheme="minorHAnsi" w:cstheme="minorHAnsi"/>
              </w:rPr>
              <w:t>je</w:t>
            </w:r>
            <w:r w:rsidRPr="00F522E4">
              <w:rPr>
                <w:rFonts w:asciiTheme="minorHAnsi" w:hAnsiTheme="minorHAnsi" w:cstheme="minorHAnsi"/>
              </w:rPr>
              <w:t xml:space="preserve"> integrální součást </w:t>
            </w:r>
            <w:proofErr w:type="spellStart"/>
            <w:r w:rsidRPr="00F522E4">
              <w:rPr>
                <w:rFonts w:asciiTheme="minorHAnsi" w:hAnsiTheme="minorHAnsi" w:cstheme="minorHAnsi"/>
              </w:rPr>
              <w:t>endpoint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522E4">
              <w:rPr>
                <w:rFonts w:asciiTheme="minorHAnsi" w:hAnsiTheme="minorHAnsi" w:cstheme="minorHAnsi"/>
              </w:rPr>
              <w:t>protection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klienta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0B60CB" w14:textId="77777777" w:rsidR="00361CDD" w:rsidRPr="00F522E4" w:rsidRDefault="00361CDD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8D36D1" w14:textId="77777777" w:rsidR="00361CDD" w:rsidRPr="00F522E4" w:rsidRDefault="00361CDD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522E4" w:rsidRPr="00F522E4" w14:paraId="69C48946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BAC9" w14:textId="2CB67C2F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EDR agent podporuje ovládání prostřednictvím CMD rozhraní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4CA7C7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CD79BF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522E4" w:rsidRPr="00F522E4" w14:paraId="2F1B5642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2A0E" w14:textId="570FD5EE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Funkčnost systému ochrany bez nutnosti připojení k centrální správě či internetu</w:t>
            </w:r>
            <w:r w:rsidR="00356AE0" w:rsidRPr="00F522E4">
              <w:rPr>
                <w:rFonts w:asciiTheme="minorHAnsi" w:hAnsiTheme="minorHAnsi" w:cstheme="minorHAnsi"/>
              </w:rPr>
              <w:t xml:space="preserve">, přičemž </w:t>
            </w:r>
            <w:r w:rsidR="00115891" w:rsidRPr="00F522E4">
              <w:rPr>
                <w:rFonts w:asciiTheme="minorHAnsi" w:hAnsiTheme="minorHAnsi" w:cstheme="minorHAnsi"/>
              </w:rPr>
              <w:t xml:space="preserve">nedochází k významné degradaci detekčních schopností </w:t>
            </w:r>
            <w:proofErr w:type="spellStart"/>
            <w:r w:rsidR="00115891" w:rsidRPr="00F522E4">
              <w:rPr>
                <w:rFonts w:asciiTheme="minorHAnsi" w:hAnsiTheme="minorHAnsi" w:cstheme="minorHAnsi"/>
              </w:rPr>
              <w:t>endpoint</w:t>
            </w:r>
            <w:proofErr w:type="spellEnd"/>
            <w:r w:rsidR="00115891" w:rsidRPr="00F522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15891" w:rsidRPr="00F522E4">
              <w:rPr>
                <w:rFonts w:asciiTheme="minorHAnsi" w:hAnsiTheme="minorHAnsi" w:cstheme="minorHAnsi"/>
              </w:rPr>
              <w:t>protection</w:t>
            </w:r>
            <w:proofErr w:type="spellEnd"/>
            <w:r w:rsidR="00115891" w:rsidRPr="00F522E4">
              <w:rPr>
                <w:rFonts w:asciiTheme="minorHAnsi" w:hAnsiTheme="minorHAnsi" w:cstheme="minorHAnsi"/>
              </w:rPr>
              <w:t xml:space="preserve"> zabezpečení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013CF1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8BCBEF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46C8F1ED" w14:textId="77777777" w:rsidR="002F4695" w:rsidRPr="00F522E4" w:rsidRDefault="002F4695" w:rsidP="002F4695">
      <w:pPr>
        <w:suppressAutoHyphens/>
        <w:rPr>
          <w:rFonts w:asciiTheme="minorHAnsi" w:hAnsiTheme="minorHAnsi" w:cstheme="minorHAnsi"/>
        </w:rPr>
      </w:pPr>
    </w:p>
    <w:p w14:paraId="62BF13EA" w14:textId="77777777" w:rsidR="002F4695" w:rsidRPr="00F522E4" w:rsidRDefault="002F4695" w:rsidP="002F4695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22E4">
        <w:rPr>
          <w:rFonts w:asciiTheme="minorHAnsi" w:hAnsiTheme="minorHAnsi" w:cstheme="minorHAnsi"/>
          <w:b/>
          <w:sz w:val="24"/>
          <w:szCs w:val="24"/>
        </w:rPr>
        <w:t xml:space="preserve">Ochrana a správa mobilních zařízení typu </w:t>
      </w:r>
      <w:proofErr w:type="spellStart"/>
      <w:r w:rsidRPr="00F522E4">
        <w:rPr>
          <w:rFonts w:asciiTheme="minorHAnsi" w:hAnsiTheme="minorHAnsi" w:cstheme="minorHAnsi"/>
          <w:b/>
          <w:sz w:val="24"/>
          <w:szCs w:val="24"/>
        </w:rPr>
        <w:t>SmartPhone</w:t>
      </w:r>
      <w:proofErr w:type="spellEnd"/>
      <w:r w:rsidRPr="00F522E4">
        <w:rPr>
          <w:rFonts w:asciiTheme="minorHAnsi" w:hAnsiTheme="minorHAnsi" w:cstheme="minorHAnsi"/>
          <w:b/>
          <w:sz w:val="24"/>
          <w:szCs w:val="24"/>
        </w:rPr>
        <w:t>/tablet (XX mobilních zařízení s Android/iOS)</w:t>
      </w:r>
    </w:p>
    <w:p w14:paraId="54BB5A23" w14:textId="77777777" w:rsidR="002F4695" w:rsidRPr="00F522E4" w:rsidRDefault="002F4695" w:rsidP="002F4695">
      <w:pPr>
        <w:pStyle w:val="Odstavecseseznamem"/>
        <w:suppressAutoHyphens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6"/>
        <w:gridCol w:w="1084"/>
        <w:gridCol w:w="3020"/>
      </w:tblGrid>
      <w:tr w:rsidR="00F522E4" w:rsidRPr="00F522E4" w14:paraId="108DBDAE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11D7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Požadavek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5B44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Splněno</w:t>
            </w:r>
          </w:p>
          <w:p w14:paraId="5B8D2AB3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(ANO / NE)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FD8D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Poznámka</w:t>
            </w:r>
          </w:p>
          <w:p w14:paraId="4E2AF2F9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(jakým způsobem řešeno)</w:t>
            </w:r>
          </w:p>
          <w:p w14:paraId="60B811BF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</w:p>
        </w:tc>
      </w:tr>
      <w:tr w:rsidR="00F522E4" w:rsidRPr="00F522E4" w14:paraId="10C1AC8C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8844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Podpora pro OS Android a iOS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225A30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EADA34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7525F56F" w14:textId="77777777" w:rsidTr="00C30D44">
        <w:trPr>
          <w:trHeight w:val="301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3E6A" w14:textId="41E41F43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Podpora </w:t>
            </w:r>
            <w:r w:rsidR="00361CDD" w:rsidRPr="00F522E4">
              <w:rPr>
                <w:rFonts w:asciiTheme="minorHAnsi" w:hAnsiTheme="minorHAnsi" w:cstheme="minorHAnsi"/>
              </w:rPr>
              <w:t xml:space="preserve">cloud </w:t>
            </w:r>
            <w:r w:rsidRPr="00F522E4">
              <w:rPr>
                <w:rFonts w:asciiTheme="minorHAnsi" w:hAnsiTheme="minorHAnsi" w:cstheme="minorHAnsi"/>
              </w:rPr>
              <w:t>centrální správy a nasazení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385441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05233F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30D068D1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A374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proofErr w:type="spellStart"/>
            <w:r w:rsidRPr="00F522E4">
              <w:rPr>
                <w:rFonts w:asciiTheme="minorHAnsi" w:hAnsiTheme="minorHAnsi" w:cstheme="minorHAnsi"/>
              </w:rPr>
              <w:t>Antimalware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ochrana Android zařízení na úrovni souborů a síťové komunikace (virové signatury, heuristika, cloud reputace, strojové učení)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9C63FF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B4F2B8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26B713DE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E9F3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Detekce </w:t>
            </w:r>
            <w:proofErr w:type="spellStart"/>
            <w:r w:rsidRPr="00F522E4">
              <w:rPr>
                <w:rFonts w:asciiTheme="minorHAnsi" w:hAnsiTheme="minorHAnsi" w:cstheme="minorHAnsi"/>
              </w:rPr>
              <w:t>root</w:t>
            </w:r>
            <w:proofErr w:type="spellEnd"/>
            <w:r w:rsidRPr="00F522E4">
              <w:rPr>
                <w:rFonts w:asciiTheme="minorHAnsi" w:hAnsiTheme="minorHAnsi" w:cstheme="minorHAnsi"/>
              </w:rPr>
              <w:t>/</w:t>
            </w:r>
            <w:proofErr w:type="spellStart"/>
            <w:r w:rsidRPr="00F522E4">
              <w:rPr>
                <w:rFonts w:asciiTheme="minorHAnsi" w:hAnsiTheme="minorHAnsi" w:cstheme="minorHAnsi"/>
              </w:rPr>
              <w:t>jailbreak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zařízení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88E8D1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587616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45DD2B8F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F860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SMS/MMS </w:t>
            </w:r>
            <w:proofErr w:type="spellStart"/>
            <w:r w:rsidRPr="00F522E4">
              <w:rPr>
                <w:rFonts w:asciiTheme="minorHAnsi" w:hAnsiTheme="minorHAnsi" w:cstheme="minorHAnsi"/>
              </w:rPr>
              <w:t>AntiSpam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a filtr nevyžádaných hovorů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2254B8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18C226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33614E52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DB40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Anti-</w:t>
            </w:r>
            <w:proofErr w:type="spellStart"/>
            <w:r w:rsidRPr="00F522E4">
              <w:rPr>
                <w:rFonts w:asciiTheme="minorHAnsi" w:hAnsiTheme="minorHAnsi" w:cstheme="minorHAnsi"/>
              </w:rPr>
              <w:t>Theft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funkce (vzdálené uzamčení, smazání, SIM kontrola, foto a GPS lokace)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D3F8F9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033050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3ED96BD2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70CA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Zabezpečení on-line komunikace (firewall)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21B66D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601A2F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5D4721AF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1C99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Správa přístupu uživatelů na web umožňující blokovat škodlivé nebo nevhodné webové stránky také na základě jejich kategorií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F7F419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5C26BF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70A84F2E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2E8A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Ochrana uživatelů před </w:t>
            </w:r>
            <w:proofErr w:type="spellStart"/>
            <w:r w:rsidRPr="00F522E4">
              <w:rPr>
                <w:rFonts w:asciiTheme="minorHAnsi" w:hAnsiTheme="minorHAnsi" w:cstheme="minorHAnsi"/>
              </w:rPr>
              <w:t>phishingovými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weby, které hrozí krádeží informací a identifikačních údajů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DA1031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ABFA25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459A3114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8D94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Konfigurace správy aplikací umožňující určit, které aplikace bude možné spouštět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2E0F9B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196090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656EABA3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B205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Správa </w:t>
            </w:r>
            <w:proofErr w:type="gramStart"/>
            <w:r w:rsidRPr="00F522E4">
              <w:rPr>
                <w:rFonts w:asciiTheme="minorHAnsi" w:hAnsiTheme="minorHAnsi" w:cstheme="minorHAnsi"/>
              </w:rPr>
              <w:t>zařízení - povolení</w:t>
            </w:r>
            <w:proofErr w:type="gramEnd"/>
            <w:r w:rsidRPr="00F522E4">
              <w:rPr>
                <w:rFonts w:asciiTheme="minorHAnsi" w:hAnsiTheme="minorHAnsi" w:cstheme="minorHAnsi"/>
              </w:rPr>
              <w:t xml:space="preserve">/blokování použití paměťových karet, kamery, </w:t>
            </w:r>
            <w:proofErr w:type="spellStart"/>
            <w:r w:rsidRPr="00F522E4">
              <w:rPr>
                <w:rFonts w:asciiTheme="minorHAnsi" w:hAnsiTheme="minorHAnsi" w:cstheme="minorHAnsi"/>
              </w:rPr>
              <w:t>WiFi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, Bluetooth, IR, …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0F4261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7277E6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6D306119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7A6F" w14:textId="191FA6A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Příprava zařízení, centrální nastavení politik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54D594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928621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409F65D" w14:textId="77777777" w:rsidR="002F4695" w:rsidRPr="00F522E4" w:rsidRDefault="002F4695" w:rsidP="002F4695">
      <w:pPr>
        <w:suppressAutoHyphens/>
        <w:rPr>
          <w:rFonts w:asciiTheme="minorHAnsi" w:hAnsiTheme="minorHAnsi" w:cstheme="minorHAnsi"/>
        </w:rPr>
      </w:pPr>
    </w:p>
    <w:p w14:paraId="726485FC" w14:textId="3CBD0E62" w:rsidR="002F4695" w:rsidRPr="00F522E4" w:rsidRDefault="002F4695" w:rsidP="002F4695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22E4">
        <w:rPr>
          <w:rFonts w:asciiTheme="minorHAnsi" w:hAnsiTheme="minorHAnsi" w:cstheme="minorHAnsi"/>
          <w:b/>
          <w:sz w:val="24"/>
          <w:szCs w:val="24"/>
        </w:rPr>
        <w:t xml:space="preserve">Optimalizovaná ochrana pro virtuální prostředí (XX virtuálních serverů </w:t>
      </w:r>
      <w:proofErr w:type="spellStart"/>
      <w:r w:rsidRPr="00F522E4">
        <w:rPr>
          <w:rFonts w:asciiTheme="minorHAnsi" w:hAnsiTheme="minorHAnsi" w:cstheme="minorHAnsi"/>
          <w:b/>
          <w:sz w:val="24"/>
          <w:szCs w:val="24"/>
        </w:rPr>
        <w:t>VMware</w:t>
      </w:r>
      <w:proofErr w:type="spellEnd"/>
      <w:r w:rsidRPr="00F522E4">
        <w:rPr>
          <w:rFonts w:asciiTheme="minorHAnsi" w:hAnsiTheme="minorHAnsi" w:cstheme="minorHAnsi"/>
          <w:b/>
          <w:sz w:val="24"/>
          <w:szCs w:val="24"/>
        </w:rPr>
        <w:t>/Hyper-V)</w:t>
      </w:r>
    </w:p>
    <w:p w14:paraId="1D9FC8F8" w14:textId="77777777" w:rsidR="002F4695" w:rsidRPr="00F522E4" w:rsidRDefault="002F4695" w:rsidP="002F4695">
      <w:pPr>
        <w:pStyle w:val="Odstavecseseznamem"/>
        <w:suppressAutoHyphens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6"/>
        <w:gridCol w:w="1134"/>
        <w:gridCol w:w="2970"/>
      </w:tblGrid>
      <w:tr w:rsidR="00F522E4" w:rsidRPr="00F522E4" w14:paraId="7B4D5F3F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D843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Požadavek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5A01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Splněno</w:t>
            </w:r>
          </w:p>
          <w:p w14:paraId="7472C621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(ANO / NE)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E429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Poznámka</w:t>
            </w:r>
          </w:p>
          <w:p w14:paraId="7F68E29D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(jakým způsobem řešeno)</w:t>
            </w:r>
          </w:p>
          <w:p w14:paraId="75CAACA0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</w:p>
        </w:tc>
      </w:tr>
      <w:tr w:rsidR="00F522E4" w:rsidRPr="00F522E4" w14:paraId="41BD51B8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EE18" w14:textId="694B7D9C" w:rsidR="002F4695" w:rsidRPr="00F522E4" w:rsidRDefault="00B83252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Optimalizované skenování ve virtuálních prostředí </w:t>
            </w:r>
            <w:proofErr w:type="spellStart"/>
            <w:r w:rsidRPr="00F522E4">
              <w:rPr>
                <w:rFonts w:asciiTheme="minorHAnsi" w:hAnsiTheme="minorHAnsi" w:cstheme="minorHAnsi"/>
              </w:rPr>
              <w:t>VMware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, Hyper-V, </w:t>
            </w:r>
            <w:proofErr w:type="spellStart"/>
            <w:r w:rsidRPr="00F522E4">
              <w:rPr>
                <w:rFonts w:asciiTheme="minorHAnsi" w:hAnsiTheme="minorHAnsi" w:cstheme="minorHAnsi"/>
              </w:rPr>
              <w:t>Citrix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F9F274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D6F68D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1B2D029A" w14:textId="77777777" w:rsidTr="00967E3F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D929" w14:textId="5F196C89" w:rsidR="00967E3F" w:rsidRPr="00F522E4" w:rsidRDefault="00967E3F" w:rsidP="00C30D44">
            <w:pPr>
              <w:suppressAutoHyphens/>
              <w:rPr>
                <w:rFonts w:asciiTheme="minorHAnsi" w:hAnsiTheme="minorHAnsi" w:cstheme="minorHAnsi"/>
              </w:rPr>
            </w:pPr>
            <w:proofErr w:type="spellStart"/>
            <w:r w:rsidRPr="00F522E4">
              <w:rPr>
                <w:rFonts w:asciiTheme="minorHAnsi" w:hAnsiTheme="minorHAnsi" w:cstheme="minorHAnsi"/>
              </w:rPr>
              <w:t>Antimalware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kontrola za využití virových signatur, heuristiky, strojového učení a behaviorální analýzy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3BC127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6DC50A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1F919F81" w14:textId="77777777" w:rsidTr="00967E3F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C10" w14:textId="6D65AD91" w:rsidR="00967E3F" w:rsidRPr="00F522E4" w:rsidRDefault="00967E3F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Zabezpečení pomocí napojení na cloud reputační službu výrobce a ochrana před </w:t>
            </w:r>
            <w:proofErr w:type="spellStart"/>
            <w:r w:rsidRPr="00F522E4">
              <w:rPr>
                <w:rFonts w:asciiTheme="minorHAnsi" w:hAnsiTheme="minorHAnsi" w:cstheme="minorHAnsi"/>
              </w:rPr>
              <w:t>exploitací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instalovaných aplikací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0F0B8A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3AA324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0CB2AAC1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E26B" w14:textId="069451FB" w:rsidR="00967E3F" w:rsidRPr="00F522E4" w:rsidRDefault="00967E3F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Kontrola poštovní (IMAP, SMTP, POP3, NNTP) a síťové komunikace HTTP</w:t>
            </w:r>
            <w:r w:rsidRPr="00F522E4" w:rsidDel="00B83252">
              <w:rPr>
                <w:rFonts w:asciiTheme="minorHAnsi" w:hAnsiTheme="minorHAnsi" w:cstheme="minorHAnsi"/>
              </w:rPr>
              <w:t>(</w:t>
            </w:r>
            <w:r w:rsidRPr="00F522E4">
              <w:rPr>
                <w:rFonts w:asciiTheme="minorHAnsi" w:hAnsiTheme="minorHAnsi" w:cstheme="minorHAnsi"/>
              </w:rPr>
              <w:t>S</w:t>
            </w:r>
            <w:r w:rsidRPr="00F522E4" w:rsidDel="00B83252">
              <w:rPr>
                <w:rFonts w:asciiTheme="minorHAnsi" w:hAnsiTheme="minorHAnsi" w:cstheme="minorHAnsi"/>
              </w:rPr>
              <w:t>)</w:t>
            </w:r>
            <w:r w:rsidRPr="00F522E4">
              <w:rPr>
                <w:rFonts w:asciiTheme="minorHAnsi" w:hAnsiTheme="minorHAnsi" w:cstheme="minorHAnsi"/>
              </w:rPr>
              <w:t xml:space="preserve"> a FTP</w:t>
            </w:r>
            <w:r w:rsidRPr="00F522E4" w:rsidDel="00B83252">
              <w:rPr>
                <w:rFonts w:asciiTheme="minorHAnsi" w:hAnsiTheme="minorHAnsi" w:cstheme="minorHAnsi"/>
              </w:rPr>
              <w:t>(</w:t>
            </w:r>
            <w:r w:rsidRPr="00F522E4">
              <w:rPr>
                <w:rFonts w:asciiTheme="minorHAnsi" w:hAnsiTheme="minorHAnsi" w:cstheme="minorHAnsi"/>
              </w:rPr>
              <w:t>S</w:t>
            </w:r>
            <w:r w:rsidRPr="00F522E4" w:rsidDel="00B8325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1AF272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D3D582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5F3CC0DB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6F60" w14:textId="0E0B5986" w:rsidR="00967E3F" w:rsidRPr="00F522E4" w:rsidRDefault="00967E3F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Podpora MS AMSI </w:t>
            </w:r>
            <w:proofErr w:type="spellStart"/>
            <w:r w:rsidRPr="00F522E4">
              <w:rPr>
                <w:rFonts w:asciiTheme="minorHAnsi" w:hAnsiTheme="minorHAnsi" w:cstheme="minorHAnsi"/>
              </w:rPr>
              <w:t>Protection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Provider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B697BB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E7C351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302B11A5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87DF" w14:textId="1EC8D86E" w:rsidR="00967E3F" w:rsidRPr="00F522E4" w:rsidRDefault="00967E3F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Kontrola integrity systémových souborů, logů a kritických aplikací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CC4896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095C6A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0812E54C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B730" w14:textId="5366CAAB" w:rsidR="00967E3F" w:rsidRPr="00F522E4" w:rsidRDefault="00967E3F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Přenesení skenovacích úloh a tím i zatížení na samostatnou virtuální </w:t>
            </w:r>
            <w:proofErr w:type="spellStart"/>
            <w:r w:rsidRPr="00F522E4">
              <w:rPr>
                <w:rFonts w:asciiTheme="minorHAnsi" w:hAnsiTheme="minorHAnsi" w:cstheme="minorHAnsi"/>
              </w:rPr>
              <w:t>appliance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a eliminace opakovaného skenování nezměněných objektů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909AE1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92A00E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2C03C578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4E87" w14:textId="32671DFF" w:rsidR="00967E3F" w:rsidRPr="00F522E4" w:rsidRDefault="00967E3F" w:rsidP="00C30D44">
            <w:pPr>
              <w:suppressAutoHyphens/>
              <w:rPr>
                <w:rFonts w:asciiTheme="minorHAnsi" w:hAnsiTheme="minorHAnsi" w:cstheme="minorHAnsi"/>
              </w:rPr>
            </w:pPr>
            <w:proofErr w:type="spellStart"/>
            <w:r w:rsidRPr="00F522E4">
              <w:rPr>
                <w:rFonts w:asciiTheme="minorHAnsi" w:hAnsiTheme="minorHAnsi" w:cstheme="minorHAnsi"/>
              </w:rPr>
              <w:t>Application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522E4">
              <w:rPr>
                <w:rFonts w:asciiTheme="minorHAnsi" w:hAnsiTheme="minorHAnsi" w:cstheme="minorHAnsi"/>
              </w:rPr>
              <w:t>Control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– možnost omezit oprávnění běžících aplikací na základě jejich reputace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187A8B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21F6BF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6C67F898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5C65" w14:textId="23B8997F" w:rsidR="00967E3F" w:rsidRPr="00F522E4" w:rsidRDefault="00967E3F" w:rsidP="00C30D44">
            <w:pPr>
              <w:suppressAutoHyphens/>
              <w:rPr>
                <w:rFonts w:asciiTheme="minorHAnsi" w:hAnsiTheme="minorHAnsi" w:cstheme="minorHAnsi"/>
              </w:rPr>
            </w:pPr>
            <w:proofErr w:type="spellStart"/>
            <w:r w:rsidRPr="00F522E4">
              <w:rPr>
                <w:rFonts w:asciiTheme="minorHAnsi" w:hAnsiTheme="minorHAnsi" w:cstheme="minorHAnsi"/>
              </w:rPr>
              <w:t>Roll-back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nechtěných změn v systému v reakci na detekované aktivity malware.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D45353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8D7FAD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13809B94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DCDF" w14:textId="7C210317" w:rsidR="00967E3F" w:rsidRPr="00F522E4" w:rsidRDefault="00967E3F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Vestavěný firewall a Host </w:t>
            </w:r>
            <w:proofErr w:type="spellStart"/>
            <w:r w:rsidRPr="00F522E4">
              <w:rPr>
                <w:rFonts w:asciiTheme="minorHAnsi" w:hAnsiTheme="minorHAnsi" w:cstheme="minorHAnsi"/>
              </w:rPr>
              <w:t>Intrusion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522E4">
              <w:rPr>
                <w:rFonts w:asciiTheme="minorHAnsi" w:hAnsiTheme="minorHAnsi" w:cstheme="minorHAnsi"/>
              </w:rPr>
              <w:t>Prevention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(HIPS)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FE4861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2B8456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0A72E0F2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496B" w14:textId="47E0FC2A" w:rsidR="00967E3F" w:rsidRPr="00F522E4" w:rsidRDefault="00967E3F" w:rsidP="00C30D44">
            <w:pPr>
              <w:suppressAutoHyphens/>
              <w:rPr>
                <w:rFonts w:asciiTheme="minorHAnsi" w:hAnsiTheme="minorHAnsi" w:cstheme="minorHAnsi"/>
              </w:rPr>
            </w:pPr>
            <w:proofErr w:type="spellStart"/>
            <w:r w:rsidRPr="00F522E4">
              <w:rPr>
                <w:rFonts w:asciiTheme="minorHAnsi" w:hAnsiTheme="minorHAnsi" w:cstheme="minorHAnsi"/>
              </w:rPr>
              <w:t>Device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522E4">
              <w:rPr>
                <w:rFonts w:asciiTheme="minorHAnsi" w:hAnsiTheme="minorHAnsi" w:cstheme="minorHAnsi"/>
              </w:rPr>
              <w:t>Control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– správa připojování výměnných zařízení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5660BF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CA2ED0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1290FA66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4F4B" w14:textId="0294A881" w:rsidR="00967E3F" w:rsidRPr="00F522E4" w:rsidRDefault="00967E3F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Podpora integrace s EDR řešením od stejného výrobce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EAF6F7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115258" w14:textId="77777777" w:rsidR="00967E3F" w:rsidRPr="00F522E4" w:rsidRDefault="00967E3F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3034EDA" w14:textId="77777777" w:rsidR="002F4695" w:rsidRPr="00F522E4" w:rsidRDefault="002F4695" w:rsidP="002F4695">
      <w:pPr>
        <w:suppressAutoHyphens/>
        <w:ind w:left="360"/>
        <w:jc w:val="both"/>
        <w:rPr>
          <w:rFonts w:asciiTheme="minorHAnsi" w:hAnsiTheme="minorHAnsi" w:cstheme="minorHAnsi"/>
          <w:b/>
        </w:rPr>
      </w:pPr>
    </w:p>
    <w:p w14:paraId="3B385919" w14:textId="4965BC7A" w:rsidR="00361CDD" w:rsidRPr="00F522E4" w:rsidRDefault="00361CDD" w:rsidP="00361CDD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22E4">
        <w:rPr>
          <w:rFonts w:asciiTheme="minorHAnsi" w:hAnsiTheme="minorHAnsi" w:cstheme="minorHAnsi"/>
          <w:b/>
          <w:sz w:val="24"/>
          <w:szCs w:val="24"/>
        </w:rPr>
        <w:t>Zabezpečení pošty MS 365 (X</w:t>
      </w:r>
      <w:r w:rsidR="00115891" w:rsidRPr="00F522E4">
        <w:rPr>
          <w:rFonts w:asciiTheme="minorHAnsi" w:hAnsiTheme="minorHAnsi" w:cstheme="minorHAnsi"/>
          <w:b/>
          <w:sz w:val="24"/>
          <w:szCs w:val="24"/>
        </w:rPr>
        <w:t>X</w:t>
      </w:r>
      <w:r w:rsidRPr="00F522E4">
        <w:rPr>
          <w:rFonts w:asciiTheme="minorHAnsi" w:hAnsiTheme="minorHAnsi" w:cstheme="minorHAnsi"/>
          <w:b/>
          <w:sz w:val="24"/>
          <w:szCs w:val="24"/>
        </w:rPr>
        <w:t xml:space="preserve">X mailových schránek, možnost </w:t>
      </w:r>
      <w:proofErr w:type="spellStart"/>
      <w:r w:rsidRPr="00F522E4">
        <w:rPr>
          <w:rFonts w:asciiTheme="minorHAnsi" w:hAnsiTheme="minorHAnsi" w:cstheme="minorHAnsi"/>
          <w:b/>
          <w:sz w:val="24"/>
          <w:szCs w:val="24"/>
        </w:rPr>
        <w:t>SaaS</w:t>
      </w:r>
      <w:proofErr w:type="spellEnd"/>
      <w:r w:rsidR="00115891" w:rsidRPr="00F522E4">
        <w:rPr>
          <w:rFonts w:asciiTheme="minorHAnsi" w:hAnsiTheme="minorHAnsi" w:cstheme="minorHAnsi"/>
          <w:b/>
          <w:sz w:val="24"/>
          <w:szCs w:val="24"/>
        </w:rPr>
        <w:t xml:space="preserve"> od stejného výrobce</w:t>
      </w:r>
      <w:r w:rsidRPr="00F522E4">
        <w:rPr>
          <w:rFonts w:asciiTheme="minorHAnsi" w:hAnsiTheme="minorHAnsi" w:cstheme="minorHAnsi"/>
          <w:b/>
          <w:sz w:val="24"/>
          <w:szCs w:val="24"/>
        </w:rPr>
        <w:t>)</w:t>
      </w:r>
    </w:p>
    <w:p w14:paraId="7BBED98A" w14:textId="77777777" w:rsidR="00361CDD" w:rsidRPr="00F522E4" w:rsidRDefault="00361CDD" w:rsidP="00361CDD">
      <w:pPr>
        <w:suppressAutoHyphens/>
        <w:ind w:left="360"/>
        <w:jc w:val="both"/>
        <w:rPr>
          <w:rFonts w:asciiTheme="minorHAnsi" w:hAnsiTheme="minorHAnsi"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6"/>
        <w:gridCol w:w="1084"/>
        <w:gridCol w:w="3020"/>
      </w:tblGrid>
      <w:tr w:rsidR="00F522E4" w:rsidRPr="00F522E4" w14:paraId="7E2A507E" w14:textId="77777777" w:rsidTr="001826EF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6B95" w14:textId="77777777" w:rsidR="00361CDD" w:rsidRPr="00F522E4" w:rsidRDefault="00361CDD" w:rsidP="001826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Požadavek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150F" w14:textId="77777777" w:rsidR="00361CDD" w:rsidRPr="00F522E4" w:rsidRDefault="00361CDD" w:rsidP="001826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Splněno</w:t>
            </w:r>
          </w:p>
          <w:p w14:paraId="133CC9CD" w14:textId="77777777" w:rsidR="00361CDD" w:rsidRPr="00F522E4" w:rsidRDefault="00361CDD" w:rsidP="001826EF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(ANO / NE)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7FC9" w14:textId="77777777" w:rsidR="00361CDD" w:rsidRPr="00F522E4" w:rsidRDefault="00361CDD" w:rsidP="001826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Poznámka</w:t>
            </w:r>
          </w:p>
          <w:p w14:paraId="60311257" w14:textId="77777777" w:rsidR="00361CDD" w:rsidRPr="00F522E4" w:rsidRDefault="00361CDD" w:rsidP="001826EF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(jakým způsobem řešeno)</w:t>
            </w:r>
          </w:p>
          <w:p w14:paraId="55998904" w14:textId="77777777" w:rsidR="00361CDD" w:rsidRPr="00F522E4" w:rsidRDefault="00361CDD" w:rsidP="001826EF">
            <w:pPr>
              <w:suppressAutoHyphens/>
              <w:rPr>
                <w:rFonts w:asciiTheme="minorHAnsi" w:hAnsiTheme="minorHAnsi" w:cstheme="minorHAnsi"/>
                <w:b/>
              </w:rPr>
            </w:pPr>
          </w:p>
        </w:tc>
      </w:tr>
      <w:tr w:rsidR="00F522E4" w:rsidRPr="00F522E4" w14:paraId="1F889702" w14:textId="77777777" w:rsidTr="001826EF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DD25" w14:textId="6DB5B1E0" w:rsidR="00361CDD" w:rsidRPr="00F522E4" w:rsidRDefault="00361CDD" w:rsidP="001826EF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Plně cloudové nasazení </w:t>
            </w:r>
            <w:r w:rsidR="00115891" w:rsidRPr="00F522E4">
              <w:rPr>
                <w:rFonts w:asciiTheme="minorHAnsi" w:hAnsiTheme="minorHAnsi" w:cstheme="minorHAnsi"/>
              </w:rPr>
              <w:t xml:space="preserve">s </w:t>
            </w:r>
            <w:r w:rsidRPr="00F522E4">
              <w:rPr>
                <w:rFonts w:asciiTheme="minorHAnsi" w:hAnsiTheme="minorHAnsi" w:cstheme="minorHAnsi"/>
              </w:rPr>
              <w:t xml:space="preserve">MS Exchange Online </w:t>
            </w:r>
            <w:r w:rsidR="00115891" w:rsidRPr="00F522E4">
              <w:rPr>
                <w:rFonts w:asciiTheme="minorHAnsi" w:hAnsiTheme="minorHAnsi" w:cstheme="minorHAnsi"/>
              </w:rPr>
              <w:t xml:space="preserve">integrací nebo služba typu </w:t>
            </w:r>
            <w:proofErr w:type="spellStart"/>
            <w:r w:rsidR="00115891" w:rsidRPr="00F522E4">
              <w:rPr>
                <w:rFonts w:asciiTheme="minorHAnsi" w:hAnsiTheme="minorHAnsi" w:cstheme="minorHAnsi"/>
              </w:rPr>
              <w:t>SaaS</w:t>
            </w:r>
            <w:proofErr w:type="spellEnd"/>
            <w:r w:rsidR="00115891" w:rsidRPr="00F522E4">
              <w:rPr>
                <w:rFonts w:asciiTheme="minorHAnsi" w:hAnsiTheme="minorHAnsi" w:cstheme="minorHAnsi"/>
              </w:rPr>
              <w:t xml:space="preserve"> od stejného výrobce jako je nabízené řešení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56B985" w14:textId="77777777" w:rsidR="00361CDD" w:rsidRPr="00F522E4" w:rsidRDefault="00361CDD" w:rsidP="001826EF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17FE6E" w14:textId="77777777" w:rsidR="00361CDD" w:rsidRPr="00F522E4" w:rsidRDefault="00361CDD" w:rsidP="001826EF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45752472" w14:textId="77777777" w:rsidTr="001826EF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E16C" w14:textId="77777777" w:rsidR="00361CDD" w:rsidRPr="00F522E4" w:rsidRDefault="00361CDD" w:rsidP="001826EF">
            <w:pPr>
              <w:suppressAutoHyphens/>
              <w:rPr>
                <w:rFonts w:asciiTheme="minorHAnsi" w:hAnsiTheme="minorHAnsi" w:cstheme="minorHAnsi"/>
              </w:rPr>
            </w:pPr>
            <w:proofErr w:type="spellStart"/>
            <w:r w:rsidRPr="00F522E4">
              <w:rPr>
                <w:rFonts w:asciiTheme="minorHAnsi" w:hAnsiTheme="minorHAnsi" w:cstheme="minorHAnsi"/>
              </w:rPr>
              <w:t>Antimalware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522E4">
              <w:rPr>
                <w:rFonts w:asciiTheme="minorHAnsi" w:hAnsiTheme="minorHAnsi" w:cstheme="minorHAnsi"/>
              </w:rPr>
              <w:t>antiphishing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a antispam ochrana elektronické pošty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75C0D5" w14:textId="77777777" w:rsidR="00361CDD" w:rsidRPr="00F522E4" w:rsidRDefault="00361CDD" w:rsidP="001826EF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7361A0" w14:textId="77777777" w:rsidR="00361CDD" w:rsidRPr="00F522E4" w:rsidRDefault="00361CDD" w:rsidP="001826EF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6C754549" w14:textId="77777777" w:rsidTr="001826EF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03C7" w14:textId="77777777" w:rsidR="00361CDD" w:rsidRPr="00F522E4" w:rsidRDefault="00361CDD" w:rsidP="001826EF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Podpora poštovních autentizačních metod SPF, DKIM a DMARC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11C561" w14:textId="77777777" w:rsidR="00361CDD" w:rsidRPr="00F522E4" w:rsidRDefault="00361CDD" w:rsidP="001826EF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CDFD26" w14:textId="77777777" w:rsidR="00361CDD" w:rsidRPr="00F522E4" w:rsidRDefault="00361CDD" w:rsidP="001826EF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4CC00EFB" w14:textId="77777777" w:rsidTr="001826EF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0158" w14:textId="77777777" w:rsidR="00361CDD" w:rsidRPr="00F522E4" w:rsidRDefault="00361CDD" w:rsidP="001826EF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Detekce Office souborů s makry a možnost blokace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7088AD" w14:textId="77777777" w:rsidR="00361CDD" w:rsidRPr="00F522E4" w:rsidRDefault="00361CDD" w:rsidP="001826EF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382A6A" w14:textId="77777777" w:rsidR="00361CDD" w:rsidRPr="00F522E4" w:rsidRDefault="00361CDD" w:rsidP="001826EF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1ACFD88E" w14:textId="77777777" w:rsidTr="001826EF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915D" w14:textId="77777777" w:rsidR="00361CDD" w:rsidRPr="00F522E4" w:rsidRDefault="00361CDD" w:rsidP="001826EF">
            <w:pPr>
              <w:suppressAutoHyphens/>
              <w:rPr>
                <w:rFonts w:asciiTheme="minorHAnsi" w:hAnsiTheme="minorHAnsi" w:cstheme="minorHAnsi"/>
              </w:rPr>
            </w:pPr>
            <w:proofErr w:type="spellStart"/>
            <w:r w:rsidRPr="00F522E4">
              <w:rPr>
                <w:rFonts w:asciiTheme="minorHAnsi" w:hAnsiTheme="minorHAnsi" w:cstheme="minorHAnsi"/>
              </w:rPr>
              <w:t>Antimalware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kontrola schránky na vyžádání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D4A959" w14:textId="77777777" w:rsidR="00361CDD" w:rsidRPr="00F522E4" w:rsidRDefault="00361CDD" w:rsidP="001826EF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71B23E" w14:textId="77777777" w:rsidR="00361CDD" w:rsidRPr="00F522E4" w:rsidRDefault="00361CDD" w:rsidP="001826EF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2B385F2" w14:textId="77777777" w:rsidR="00361CDD" w:rsidRPr="00F522E4" w:rsidRDefault="00361CDD" w:rsidP="00361CDD">
      <w:pPr>
        <w:suppressAutoHyphens/>
        <w:ind w:left="360"/>
        <w:jc w:val="both"/>
        <w:rPr>
          <w:rFonts w:asciiTheme="minorHAnsi" w:hAnsiTheme="minorHAnsi" w:cstheme="minorHAnsi"/>
          <w:b/>
        </w:rPr>
      </w:pPr>
    </w:p>
    <w:p w14:paraId="5ABC4A07" w14:textId="77777777" w:rsidR="00361CDD" w:rsidRPr="00F522E4" w:rsidRDefault="00361CDD" w:rsidP="002F4695">
      <w:pPr>
        <w:suppressAutoHyphens/>
        <w:ind w:left="360"/>
        <w:jc w:val="both"/>
        <w:rPr>
          <w:rFonts w:asciiTheme="minorHAnsi" w:hAnsiTheme="minorHAnsi" w:cstheme="minorHAnsi"/>
          <w:b/>
        </w:rPr>
      </w:pPr>
    </w:p>
    <w:p w14:paraId="40F4E5AD" w14:textId="77777777" w:rsidR="002F4695" w:rsidRPr="00F522E4" w:rsidRDefault="002F4695" w:rsidP="00361CDD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22E4">
        <w:rPr>
          <w:rFonts w:asciiTheme="minorHAnsi" w:hAnsiTheme="minorHAnsi" w:cstheme="minorHAnsi"/>
          <w:b/>
          <w:sz w:val="24"/>
          <w:szCs w:val="24"/>
        </w:rPr>
        <w:t>Centrální správa</w:t>
      </w:r>
    </w:p>
    <w:p w14:paraId="40460335" w14:textId="77777777" w:rsidR="002F4695" w:rsidRPr="00F522E4" w:rsidRDefault="002F4695" w:rsidP="002F4695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6"/>
        <w:gridCol w:w="1084"/>
        <w:gridCol w:w="3020"/>
      </w:tblGrid>
      <w:tr w:rsidR="00F522E4" w:rsidRPr="00F522E4" w14:paraId="21809461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E86A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Požadavek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0792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Splněno</w:t>
            </w:r>
          </w:p>
          <w:p w14:paraId="17333672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(ANO / NE)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750E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Poznámka</w:t>
            </w:r>
          </w:p>
          <w:p w14:paraId="32E3520F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(jakým způsobem řešeno)</w:t>
            </w:r>
          </w:p>
          <w:p w14:paraId="55CFD739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</w:p>
        </w:tc>
      </w:tr>
      <w:tr w:rsidR="00F522E4" w:rsidRPr="00F522E4" w14:paraId="37B7A494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0B94" w14:textId="54D5B07E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Konzole centrální správy v provedení cloud webové konzole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CE0B67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9831B5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2C06A745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819B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Společná konzole pro administraci a analýzu informací jak pro </w:t>
            </w:r>
            <w:proofErr w:type="spellStart"/>
            <w:r w:rsidRPr="00F522E4">
              <w:rPr>
                <w:rFonts w:asciiTheme="minorHAnsi" w:hAnsiTheme="minorHAnsi" w:cstheme="minorHAnsi"/>
              </w:rPr>
              <w:t>endpoint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522E4">
              <w:rPr>
                <w:rFonts w:asciiTheme="minorHAnsi" w:hAnsiTheme="minorHAnsi" w:cstheme="minorHAnsi"/>
              </w:rPr>
              <w:t>protection</w:t>
            </w:r>
            <w:proofErr w:type="spellEnd"/>
            <w:r w:rsidRPr="00F522E4">
              <w:rPr>
                <w:rFonts w:asciiTheme="minorHAnsi" w:hAnsiTheme="minorHAnsi" w:cstheme="minorHAnsi"/>
              </w:rPr>
              <w:t>, tak i EDR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45E7DB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DCA083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4993B215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C847" w14:textId="57BAA7AF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Podpora Windows Server 2008 </w:t>
            </w:r>
            <w:r w:rsidR="0036153D" w:rsidRPr="00F522E4">
              <w:rPr>
                <w:rFonts w:asciiTheme="minorHAnsi" w:hAnsiTheme="minorHAnsi" w:cstheme="minorHAnsi"/>
              </w:rPr>
              <w:t xml:space="preserve">R2 </w:t>
            </w:r>
            <w:r w:rsidRPr="00F522E4">
              <w:rPr>
                <w:rFonts w:asciiTheme="minorHAnsi" w:hAnsiTheme="minorHAnsi" w:cstheme="minorHAnsi"/>
              </w:rPr>
              <w:t xml:space="preserve">a výše, MS </w:t>
            </w:r>
            <w:proofErr w:type="gramStart"/>
            <w:r w:rsidRPr="00F522E4">
              <w:rPr>
                <w:rFonts w:asciiTheme="minorHAnsi" w:hAnsiTheme="minorHAnsi" w:cstheme="minorHAnsi"/>
              </w:rPr>
              <w:t>SQL  Server</w:t>
            </w:r>
            <w:proofErr w:type="gramEnd"/>
            <w:r w:rsidRPr="00F522E4">
              <w:rPr>
                <w:rFonts w:asciiTheme="minorHAnsi" w:hAnsiTheme="minorHAnsi" w:cstheme="minorHAnsi"/>
              </w:rPr>
              <w:t xml:space="preserve"> 2014 (Express) a výše, </w:t>
            </w:r>
            <w:proofErr w:type="spellStart"/>
            <w:r w:rsidRPr="00F522E4">
              <w:rPr>
                <w:rFonts w:asciiTheme="minorHAnsi" w:hAnsiTheme="minorHAnsi" w:cstheme="minorHAnsi"/>
              </w:rPr>
              <w:t>MySQL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5.7 a výše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4F06D5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C61EAE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679BACF3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A44C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Možnost vzdálené instalace, odinstalace a konfigurace všech komponent na PC a serverech včetně mobilních zařízení typu </w:t>
            </w:r>
            <w:proofErr w:type="spellStart"/>
            <w:r w:rsidRPr="00F522E4">
              <w:rPr>
                <w:rFonts w:asciiTheme="minorHAnsi" w:hAnsiTheme="minorHAnsi" w:cstheme="minorHAnsi"/>
              </w:rPr>
              <w:t>SmartPhone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a tablet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62DB30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7FA9A3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00EF808F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E534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proofErr w:type="spellStart"/>
            <w:r w:rsidRPr="00F522E4">
              <w:rPr>
                <w:rFonts w:asciiTheme="minorHAnsi" w:hAnsiTheme="minorHAnsi" w:cstheme="minorHAnsi"/>
              </w:rPr>
              <w:t>Deployment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klientů na koncová zařízení pomocí RPC, GPO, síťový agent popř.  </w:t>
            </w:r>
            <w:proofErr w:type="spellStart"/>
            <w:r w:rsidRPr="00F522E4">
              <w:rPr>
                <w:rFonts w:asciiTheme="minorHAnsi" w:hAnsiTheme="minorHAnsi" w:cstheme="minorHAnsi"/>
              </w:rPr>
              <w:t>standalone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instalačního balíčku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D3F08D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C04A4F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19141AC3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A8D7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Instalace </w:t>
            </w:r>
            <w:proofErr w:type="spellStart"/>
            <w:r w:rsidRPr="00F522E4">
              <w:rPr>
                <w:rFonts w:asciiTheme="minorHAnsi" w:hAnsiTheme="minorHAnsi" w:cstheme="minorHAnsi"/>
              </w:rPr>
              <w:t>endpoint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aplikace na serverech bez nutnosti restartu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113778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89C33F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4F27703B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5A45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Zabezpečené spojení mezi serverem centrální správy a </w:t>
            </w:r>
            <w:proofErr w:type="spellStart"/>
            <w:r w:rsidRPr="00F522E4">
              <w:rPr>
                <w:rFonts w:asciiTheme="minorHAnsi" w:hAnsiTheme="minorHAnsi" w:cstheme="minorHAnsi"/>
              </w:rPr>
              <w:t>endpoint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agenty včetně EDR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BAE215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801160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16136F35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77E7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Podpora manuální/automatické instalace/odinstalace nekompatibilních aplikací (vč. současné ochrany </w:t>
            </w:r>
            <w:proofErr w:type="spellStart"/>
            <w:r w:rsidRPr="00F522E4">
              <w:rPr>
                <w:rFonts w:asciiTheme="minorHAnsi" w:hAnsiTheme="minorHAnsi" w:cstheme="minorHAnsi"/>
              </w:rPr>
              <w:t>Kaspersky</w:t>
            </w:r>
            <w:proofErr w:type="spellEnd"/>
            <w:r w:rsidRPr="00F522E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49A50D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4D85D2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2408F29E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FFC9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Podpora </w:t>
            </w:r>
            <w:proofErr w:type="spellStart"/>
            <w:r w:rsidRPr="00F522E4">
              <w:rPr>
                <w:rFonts w:asciiTheme="minorHAnsi" w:hAnsiTheme="minorHAnsi" w:cstheme="minorHAnsi"/>
              </w:rPr>
              <w:t>Active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522E4">
              <w:rPr>
                <w:rFonts w:asciiTheme="minorHAnsi" w:hAnsiTheme="minorHAnsi" w:cstheme="minorHAnsi"/>
              </w:rPr>
              <w:t>Directory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a IPv6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6A7DB4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651CA6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178AF473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579E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Tvorba politik s jednotlivým nastavením komponent řešení a jejich aplikace na úrovni skupin.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3DEF10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09082A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4E0A46B5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944D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Přidělování práv administrátorů na úrovni skupin nebo serverů s předdefinovanými </w:t>
            </w:r>
            <w:proofErr w:type="spellStart"/>
            <w:r w:rsidRPr="00F522E4">
              <w:rPr>
                <w:rFonts w:asciiTheme="minorHAnsi" w:hAnsiTheme="minorHAnsi" w:cstheme="minorHAnsi"/>
              </w:rPr>
              <w:t>security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právy pro role auditor, supervisor a </w:t>
            </w:r>
            <w:proofErr w:type="spellStart"/>
            <w:r w:rsidRPr="00F522E4">
              <w:rPr>
                <w:rFonts w:asciiTheme="minorHAnsi" w:hAnsiTheme="minorHAnsi" w:cstheme="minorHAnsi"/>
              </w:rPr>
              <w:t>security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522E4">
              <w:rPr>
                <w:rFonts w:asciiTheme="minorHAnsi" w:hAnsiTheme="minorHAnsi" w:cstheme="minorHAnsi"/>
              </w:rPr>
              <w:t>officer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D6347A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A7F261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54D8C5BC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74ED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Centrální správa a nastavení jednotlivých klientů na úrovni skupin nebo hierarchie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5DACDE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BDBBC1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5B4AA88E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A959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Správa zařízení na základě dynamických profilů a tagů (síť, OS, AD, virtualizace, aplikace).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3B6BF6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A991C9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691F8497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35F0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Možnost stahování aktualizací z centrálního serveru nebo </w:t>
            </w:r>
            <w:proofErr w:type="gramStart"/>
            <w:r w:rsidRPr="00F522E4">
              <w:rPr>
                <w:rFonts w:asciiTheme="minorHAnsi" w:hAnsiTheme="minorHAnsi" w:cstheme="minorHAnsi"/>
              </w:rPr>
              <w:t>Internetu</w:t>
            </w:r>
            <w:proofErr w:type="gramEnd"/>
            <w:r w:rsidRPr="00F522E4">
              <w:rPr>
                <w:rFonts w:asciiTheme="minorHAnsi" w:hAnsiTheme="minorHAnsi" w:cstheme="minorHAnsi"/>
              </w:rPr>
              <w:t xml:space="preserve"> na základě kvality sítě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EF16AC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45A032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11CD1474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7A61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Možnost distribuovat události z vybrané skupiny PC prostřednictvím vybraného počítače v síti.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19E02A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B967BB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484215D3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5D5E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Podpora virtuálního prostředí (</w:t>
            </w:r>
            <w:proofErr w:type="spellStart"/>
            <w:r w:rsidRPr="00F522E4">
              <w:rPr>
                <w:rFonts w:asciiTheme="minorHAnsi" w:hAnsiTheme="minorHAnsi" w:cstheme="minorHAnsi"/>
              </w:rPr>
              <w:t>VMware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, Hyper-V, </w:t>
            </w:r>
            <w:proofErr w:type="spellStart"/>
            <w:r w:rsidRPr="00F522E4">
              <w:rPr>
                <w:rFonts w:asciiTheme="minorHAnsi" w:hAnsiTheme="minorHAnsi" w:cstheme="minorHAnsi"/>
              </w:rPr>
              <w:t>Citrix</w:t>
            </w:r>
            <w:proofErr w:type="spellEnd"/>
            <w:r w:rsidRPr="00F522E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888D9B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AD3E77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50FD0F85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1B24" w14:textId="73F79A92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Možnost prohlížení všech bezpečnostních událostí na spravovaných zařízení</w:t>
            </w:r>
            <w:r w:rsidR="00C02E16" w:rsidRPr="00F522E4">
              <w:rPr>
                <w:rFonts w:asciiTheme="minorHAnsi" w:hAnsiTheme="minorHAnsi" w:cstheme="minorHAnsi"/>
              </w:rPr>
              <w:t>ch</w:t>
            </w:r>
            <w:r w:rsidRPr="00F522E4">
              <w:rPr>
                <w:rFonts w:asciiTheme="minorHAnsi" w:hAnsiTheme="minorHAnsi" w:cstheme="minorHAnsi"/>
              </w:rPr>
              <w:t xml:space="preserve"> v síti.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BA059A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75B066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2E650320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52B0" w14:textId="1CBE5169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Notifikace pomocí e-mail, </w:t>
            </w:r>
            <w:proofErr w:type="spellStart"/>
            <w:r w:rsidRPr="00F522E4">
              <w:rPr>
                <w:rFonts w:asciiTheme="minorHAnsi" w:hAnsiTheme="minorHAnsi" w:cstheme="minorHAnsi"/>
              </w:rPr>
              <w:t>syslog</w:t>
            </w:r>
            <w:proofErr w:type="spellEnd"/>
            <w:r w:rsidRPr="00F522E4">
              <w:rPr>
                <w:rFonts w:asciiTheme="minorHAnsi" w:hAnsiTheme="minorHAnsi" w:cstheme="minorHAnsi"/>
              </w:rPr>
              <w:t>, SIEM.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F5D698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3668F2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701130C7" w14:textId="77777777" w:rsidTr="00C30D4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BC16" w14:textId="7B26E7DE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Možnost generovat a odesílat reporty e-mailem ve formátu .PDF nebo .</w:t>
            </w:r>
            <w:r w:rsidR="0036153D" w:rsidRPr="00F522E4">
              <w:rPr>
                <w:rFonts w:asciiTheme="minorHAnsi" w:hAnsiTheme="minorHAnsi" w:cstheme="minorHAnsi"/>
              </w:rPr>
              <w:t xml:space="preserve">CSV </w:t>
            </w:r>
            <w:r w:rsidRPr="00F522E4">
              <w:rPr>
                <w:rFonts w:asciiTheme="minorHAnsi" w:hAnsiTheme="minorHAnsi" w:cstheme="minorHAnsi"/>
              </w:rPr>
              <w:t>včetně možnosti jejich přizpůsobení.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7D938C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924FEF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8941E5" w14:textId="77777777" w:rsidR="002F4695" w:rsidRPr="00F522E4" w:rsidRDefault="002F4695" w:rsidP="002F4695">
      <w:pPr>
        <w:suppressAutoHyphens/>
        <w:rPr>
          <w:rFonts w:asciiTheme="minorHAnsi" w:hAnsiTheme="minorHAnsi" w:cstheme="minorHAnsi"/>
        </w:rPr>
      </w:pPr>
    </w:p>
    <w:p w14:paraId="52B1D4EB" w14:textId="1510009D" w:rsidR="002F4695" w:rsidRPr="00F522E4" w:rsidRDefault="002F4695" w:rsidP="00361CDD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22E4">
        <w:rPr>
          <w:rFonts w:asciiTheme="minorHAnsi" w:hAnsiTheme="minorHAnsi" w:cstheme="minorHAnsi"/>
          <w:b/>
          <w:sz w:val="24"/>
          <w:szCs w:val="24"/>
        </w:rPr>
        <w:t>Služby lokální technické podpory</w:t>
      </w:r>
    </w:p>
    <w:p w14:paraId="0B421656" w14:textId="77777777" w:rsidR="002F4695" w:rsidRPr="00F522E4" w:rsidRDefault="002F4695" w:rsidP="002F4695">
      <w:pPr>
        <w:suppressAutoHyphens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1084"/>
        <w:gridCol w:w="3021"/>
      </w:tblGrid>
      <w:tr w:rsidR="00F522E4" w:rsidRPr="00F522E4" w14:paraId="4A6EA5B4" w14:textId="77777777" w:rsidTr="00C30D4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A85A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Požadavek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46A2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Splněno</w:t>
            </w:r>
          </w:p>
          <w:p w14:paraId="640488B2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(ANO / NE)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03C9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Poznámka</w:t>
            </w:r>
          </w:p>
          <w:p w14:paraId="3186F7CF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F522E4">
              <w:rPr>
                <w:rFonts w:asciiTheme="minorHAnsi" w:hAnsiTheme="minorHAnsi" w:cstheme="minorHAnsi"/>
                <w:b/>
              </w:rPr>
              <w:t>(jakým způsobem řešeno)</w:t>
            </w:r>
          </w:p>
          <w:p w14:paraId="21DD861C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  <w:b/>
              </w:rPr>
            </w:pPr>
          </w:p>
        </w:tc>
      </w:tr>
      <w:tr w:rsidR="00F522E4" w:rsidRPr="00F522E4" w14:paraId="772D6325" w14:textId="77777777" w:rsidTr="00C30D4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D9D0" w14:textId="003C2DA6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 xml:space="preserve">Instalace a konfigurace SW v prostředí Zadavatele. Nastavení centrální správy (včetně pravidel a politik pro všechna zařízení, reporting, </w:t>
            </w:r>
            <w:proofErr w:type="spellStart"/>
            <w:r w:rsidRPr="00F522E4">
              <w:rPr>
                <w:rFonts w:asciiTheme="minorHAnsi" w:hAnsiTheme="minorHAnsi" w:cstheme="minorHAnsi"/>
              </w:rPr>
              <w:t>alerting</w:t>
            </w:r>
            <w:proofErr w:type="spellEnd"/>
            <w:r w:rsidRPr="00F522E4">
              <w:rPr>
                <w:rFonts w:asciiTheme="minorHAnsi" w:hAnsiTheme="minorHAnsi" w:cstheme="minorHAnsi"/>
              </w:rPr>
              <w:t>, revize aktuálních výjimek)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CBB7DD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594EB6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569A6EFD" w14:textId="77777777" w:rsidTr="00C30D4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8A23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Revize stávajícího nastavení a přenesení do nabízeného řešení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5D38C2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572E5D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47E67DBD" w14:textId="77777777" w:rsidTr="00C30D4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9EB6" w14:textId="31B063F9" w:rsidR="006532D6" w:rsidRPr="00F522E4" w:rsidRDefault="009612D9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4268E7">
              <w:rPr>
                <w:rFonts w:asciiTheme="minorHAnsi" w:hAnsiTheme="minorHAnsi" w:cstheme="minorHAnsi"/>
              </w:rPr>
              <w:t>Nastavení optimalizovaného skenování</w:t>
            </w:r>
            <w:r w:rsidR="005310AA" w:rsidRPr="00F522E4">
              <w:rPr>
                <w:rFonts w:asciiTheme="minorHAnsi" w:hAnsiTheme="minorHAnsi" w:cstheme="minorHAnsi"/>
              </w:rPr>
              <w:t xml:space="preserve"> s ohledem na nízké systémové zatížení</w:t>
            </w:r>
            <w:r w:rsidRPr="00F522E4">
              <w:rPr>
                <w:rFonts w:asciiTheme="minorHAnsi" w:hAnsiTheme="minorHAnsi" w:cstheme="minorHAnsi"/>
              </w:rPr>
              <w:t xml:space="preserve"> ve virtuálním prostředí </w:t>
            </w:r>
            <w:proofErr w:type="spellStart"/>
            <w:r w:rsidRPr="00F522E4">
              <w:rPr>
                <w:rFonts w:asciiTheme="minorHAnsi" w:hAnsiTheme="minorHAnsi" w:cstheme="minorHAnsi"/>
              </w:rPr>
              <w:t>VMware</w:t>
            </w:r>
            <w:proofErr w:type="spellEnd"/>
            <w:r w:rsidRPr="00F522E4">
              <w:rPr>
                <w:rFonts w:asciiTheme="minorHAnsi" w:hAnsiTheme="minorHAnsi" w:cstheme="minorHAnsi"/>
              </w:rPr>
              <w:t xml:space="preserve"> / Hyper-V dle doporučení výrobce a dostupných funkcí dodaného řešení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46625D" w14:textId="77777777" w:rsidR="006532D6" w:rsidRPr="00F522E4" w:rsidRDefault="006532D6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38771C" w14:textId="77777777" w:rsidR="006532D6" w:rsidRPr="00F522E4" w:rsidRDefault="006532D6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0257FC48" w14:textId="77777777" w:rsidTr="00C30D4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CB81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Úvodní zaškolení obsluhy na správu a používání dodaného systému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AC0DC6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992CCA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22E4" w:rsidRPr="00F522E4" w14:paraId="2ACD2020" w14:textId="77777777" w:rsidTr="00C30D4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00CB" w14:textId="77777777" w:rsidR="002F4695" w:rsidRPr="00F522E4" w:rsidRDefault="002F4695" w:rsidP="00C30D44">
            <w:pPr>
              <w:suppressAutoHyphens/>
              <w:rPr>
                <w:rFonts w:asciiTheme="minorHAnsi" w:hAnsiTheme="minorHAnsi" w:cstheme="minorHAnsi"/>
              </w:rPr>
            </w:pPr>
            <w:r w:rsidRPr="00F522E4">
              <w:rPr>
                <w:rFonts w:asciiTheme="minorHAnsi" w:hAnsiTheme="minorHAnsi" w:cstheme="minorHAnsi"/>
              </w:rPr>
              <w:t>Lokální technická podpora dodavatele nabízeného řešení v ČJ v rozsahu HOT LINE (e-mail/telefon) v pracovních dnech od 8:00 hod. – 16:00 hod.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092CC9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07FEF8" w14:textId="77777777" w:rsidR="002F4695" w:rsidRPr="00F522E4" w:rsidRDefault="002F4695" w:rsidP="00C30D44">
            <w:pPr>
              <w:suppressAutoHyphens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A562FAA" w14:textId="77777777" w:rsidR="002F4695" w:rsidRPr="00F522E4" w:rsidRDefault="002F4695" w:rsidP="002F4695">
      <w:pPr>
        <w:rPr>
          <w:rFonts w:ascii="Tahoma" w:hAnsi="Tahoma" w:cs="Tahoma"/>
          <w:sz w:val="21"/>
          <w:szCs w:val="21"/>
        </w:rPr>
      </w:pPr>
    </w:p>
    <w:p w14:paraId="7C0DF6B5" w14:textId="77777777" w:rsidR="000B1D00" w:rsidRPr="00F522E4" w:rsidRDefault="000B1D00" w:rsidP="000B1D00">
      <w:pPr>
        <w:spacing w:after="0"/>
        <w:jc w:val="both"/>
        <w:rPr>
          <w:rFonts w:ascii="Calibri" w:hAnsi="Calibri" w:cs="Calibri"/>
          <w:iCs/>
        </w:rPr>
      </w:pPr>
    </w:p>
    <w:p w14:paraId="3BDCCDCA" w14:textId="77777777" w:rsidR="00F65EF3" w:rsidRPr="00F522E4" w:rsidRDefault="00F65EF3" w:rsidP="000B1D00">
      <w:pPr>
        <w:spacing w:after="0"/>
        <w:jc w:val="both"/>
        <w:rPr>
          <w:rFonts w:ascii="Calibri" w:hAnsi="Calibri" w:cs="Calibri"/>
          <w:iCs/>
        </w:rPr>
      </w:pPr>
    </w:p>
    <w:sectPr w:rsidR="00F65EF3" w:rsidRPr="00F522E4" w:rsidSect="00F9112A">
      <w:headerReference w:type="first" r:id="rId9"/>
      <w:pgSz w:w="11910" w:h="16840"/>
      <w:pgMar w:top="1418" w:right="1418" w:bottom="851" w:left="1418" w:header="709" w:footer="771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A8E58" w14:textId="77777777" w:rsidR="00CE29B7" w:rsidRDefault="00CE29B7" w:rsidP="00957C63">
      <w:pPr>
        <w:spacing w:after="0" w:line="240" w:lineRule="auto"/>
      </w:pPr>
      <w:r>
        <w:separator/>
      </w:r>
    </w:p>
  </w:endnote>
  <w:endnote w:type="continuationSeparator" w:id="0">
    <w:p w14:paraId="617DB3CB" w14:textId="77777777" w:rsidR="00CE29B7" w:rsidRDefault="00CE29B7" w:rsidP="0095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A891" w14:textId="77777777" w:rsidR="00CE29B7" w:rsidRDefault="00CE29B7" w:rsidP="00957C63">
      <w:pPr>
        <w:spacing w:after="0" w:line="240" w:lineRule="auto"/>
      </w:pPr>
      <w:r>
        <w:separator/>
      </w:r>
    </w:p>
  </w:footnote>
  <w:footnote w:type="continuationSeparator" w:id="0">
    <w:p w14:paraId="7B550014" w14:textId="77777777" w:rsidR="00CE29B7" w:rsidRDefault="00CE29B7" w:rsidP="0095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9877" w14:textId="7EAB7C08" w:rsidR="00F9112A" w:rsidRDefault="00F9112A" w:rsidP="00F911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4C92"/>
    <w:multiLevelType w:val="hybridMultilevel"/>
    <w:tmpl w:val="E378225E"/>
    <w:lvl w:ilvl="0" w:tplc="46209304">
      <w:start w:val="1"/>
      <w:numFmt w:val="upp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5862A7"/>
    <w:multiLevelType w:val="hybridMultilevel"/>
    <w:tmpl w:val="E82E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B32CC"/>
    <w:multiLevelType w:val="hybridMultilevel"/>
    <w:tmpl w:val="258CF0D4"/>
    <w:lvl w:ilvl="0" w:tplc="7F2C203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3E297D"/>
    <w:multiLevelType w:val="hybridMultilevel"/>
    <w:tmpl w:val="F6C22468"/>
    <w:lvl w:ilvl="0" w:tplc="E292BD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416ABA"/>
    <w:multiLevelType w:val="hybridMultilevel"/>
    <w:tmpl w:val="68FCFDAC"/>
    <w:lvl w:ilvl="0" w:tplc="FFFFFFFF">
      <w:start w:val="1"/>
      <w:numFmt w:val="upp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3708A8"/>
    <w:multiLevelType w:val="hybridMultilevel"/>
    <w:tmpl w:val="EE306058"/>
    <w:lvl w:ilvl="0" w:tplc="576AE6D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945042631">
    <w:abstractNumId w:val="3"/>
  </w:num>
  <w:num w:numId="2" w16cid:durableId="855727833">
    <w:abstractNumId w:val="5"/>
  </w:num>
  <w:num w:numId="3" w16cid:durableId="2110420554">
    <w:abstractNumId w:val="2"/>
  </w:num>
  <w:num w:numId="4" w16cid:durableId="1676111319">
    <w:abstractNumId w:val="1"/>
  </w:num>
  <w:num w:numId="5" w16cid:durableId="313220457">
    <w:abstractNumId w:val="0"/>
  </w:num>
  <w:num w:numId="6" w16cid:durableId="1188564245">
    <w:abstractNumId w:val="0"/>
  </w:num>
  <w:num w:numId="7" w16cid:durableId="64127376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B4"/>
    <w:rsid w:val="0000212A"/>
    <w:rsid w:val="00006542"/>
    <w:rsid w:val="0001569F"/>
    <w:rsid w:val="0002740D"/>
    <w:rsid w:val="000276C4"/>
    <w:rsid w:val="00035A35"/>
    <w:rsid w:val="00037180"/>
    <w:rsid w:val="00042836"/>
    <w:rsid w:val="000460D1"/>
    <w:rsid w:val="00046B04"/>
    <w:rsid w:val="00051B1F"/>
    <w:rsid w:val="000542AF"/>
    <w:rsid w:val="00060652"/>
    <w:rsid w:val="000627D9"/>
    <w:rsid w:val="0006433D"/>
    <w:rsid w:val="000656EC"/>
    <w:rsid w:val="00065FF8"/>
    <w:rsid w:val="00066123"/>
    <w:rsid w:val="000709E7"/>
    <w:rsid w:val="000771E2"/>
    <w:rsid w:val="000819BA"/>
    <w:rsid w:val="000864EB"/>
    <w:rsid w:val="0009420F"/>
    <w:rsid w:val="00097179"/>
    <w:rsid w:val="000A0242"/>
    <w:rsid w:val="000A0C30"/>
    <w:rsid w:val="000A198D"/>
    <w:rsid w:val="000A203B"/>
    <w:rsid w:val="000A57C6"/>
    <w:rsid w:val="000B1D00"/>
    <w:rsid w:val="000B517E"/>
    <w:rsid w:val="000C388A"/>
    <w:rsid w:val="000C773B"/>
    <w:rsid w:val="000D22E9"/>
    <w:rsid w:val="000D2BA1"/>
    <w:rsid w:val="000D3FBB"/>
    <w:rsid w:val="000E0A86"/>
    <w:rsid w:val="000E19FF"/>
    <w:rsid w:val="000E373F"/>
    <w:rsid w:val="001002C2"/>
    <w:rsid w:val="00101185"/>
    <w:rsid w:val="00106C71"/>
    <w:rsid w:val="00111D0C"/>
    <w:rsid w:val="00115891"/>
    <w:rsid w:val="00120E09"/>
    <w:rsid w:val="00123437"/>
    <w:rsid w:val="00124EED"/>
    <w:rsid w:val="00153D13"/>
    <w:rsid w:val="00157FB1"/>
    <w:rsid w:val="001634C3"/>
    <w:rsid w:val="0016728F"/>
    <w:rsid w:val="00172DE1"/>
    <w:rsid w:val="001802E9"/>
    <w:rsid w:val="0018090C"/>
    <w:rsid w:val="00184F9E"/>
    <w:rsid w:val="00185295"/>
    <w:rsid w:val="00191747"/>
    <w:rsid w:val="00194628"/>
    <w:rsid w:val="00194FA5"/>
    <w:rsid w:val="00196E69"/>
    <w:rsid w:val="001A0A96"/>
    <w:rsid w:val="001A615D"/>
    <w:rsid w:val="001A6F1F"/>
    <w:rsid w:val="001B689C"/>
    <w:rsid w:val="001C1C94"/>
    <w:rsid w:val="001D4577"/>
    <w:rsid w:val="001E54AE"/>
    <w:rsid w:val="001E5E6E"/>
    <w:rsid w:val="001F0EF1"/>
    <w:rsid w:val="001F1055"/>
    <w:rsid w:val="001F1F31"/>
    <w:rsid w:val="001F4909"/>
    <w:rsid w:val="001F53FE"/>
    <w:rsid w:val="001F6CA8"/>
    <w:rsid w:val="002008BD"/>
    <w:rsid w:val="00201794"/>
    <w:rsid w:val="00203B5C"/>
    <w:rsid w:val="00203D59"/>
    <w:rsid w:val="00210B69"/>
    <w:rsid w:val="00210EAB"/>
    <w:rsid w:val="00221957"/>
    <w:rsid w:val="00232E4C"/>
    <w:rsid w:val="0023664F"/>
    <w:rsid w:val="00236C46"/>
    <w:rsid w:val="00240734"/>
    <w:rsid w:val="00253873"/>
    <w:rsid w:val="00256D1D"/>
    <w:rsid w:val="00257BA2"/>
    <w:rsid w:val="00257DDC"/>
    <w:rsid w:val="002609A8"/>
    <w:rsid w:val="002610DD"/>
    <w:rsid w:val="00267E29"/>
    <w:rsid w:val="00271C78"/>
    <w:rsid w:val="0027386E"/>
    <w:rsid w:val="00274CC1"/>
    <w:rsid w:val="00280D6D"/>
    <w:rsid w:val="0028151B"/>
    <w:rsid w:val="0028454A"/>
    <w:rsid w:val="002905F9"/>
    <w:rsid w:val="00293BD2"/>
    <w:rsid w:val="00294D71"/>
    <w:rsid w:val="002952CB"/>
    <w:rsid w:val="002A427D"/>
    <w:rsid w:val="002A5782"/>
    <w:rsid w:val="002A6C89"/>
    <w:rsid w:val="002A6D47"/>
    <w:rsid w:val="002A6EF8"/>
    <w:rsid w:val="002A7899"/>
    <w:rsid w:val="002C4AD7"/>
    <w:rsid w:val="002C7E1F"/>
    <w:rsid w:val="002C7EDA"/>
    <w:rsid w:val="002D1F64"/>
    <w:rsid w:val="002D45D2"/>
    <w:rsid w:val="002D6642"/>
    <w:rsid w:val="002E31D3"/>
    <w:rsid w:val="002E41BC"/>
    <w:rsid w:val="002E4851"/>
    <w:rsid w:val="002E5789"/>
    <w:rsid w:val="002F15DE"/>
    <w:rsid w:val="002F3E5B"/>
    <w:rsid w:val="002F4695"/>
    <w:rsid w:val="002F629F"/>
    <w:rsid w:val="00300AC3"/>
    <w:rsid w:val="00315A5A"/>
    <w:rsid w:val="00322015"/>
    <w:rsid w:val="00324401"/>
    <w:rsid w:val="00327CD0"/>
    <w:rsid w:val="00335792"/>
    <w:rsid w:val="0034669C"/>
    <w:rsid w:val="00350421"/>
    <w:rsid w:val="00351AAC"/>
    <w:rsid w:val="00356AE0"/>
    <w:rsid w:val="0036153D"/>
    <w:rsid w:val="00361CDD"/>
    <w:rsid w:val="00364977"/>
    <w:rsid w:val="0037502A"/>
    <w:rsid w:val="00377F94"/>
    <w:rsid w:val="003841AA"/>
    <w:rsid w:val="0039068A"/>
    <w:rsid w:val="00391649"/>
    <w:rsid w:val="003A5F26"/>
    <w:rsid w:val="003C0113"/>
    <w:rsid w:val="003C5ACE"/>
    <w:rsid w:val="003D326D"/>
    <w:rsid w:val="003D5ED8"/>
    <w:rsid w:val="003E16E8"/>
    <w:rsid w:val="003E2B79"/>
    <w:rsid w:val="003F311F"/>
    <w:rsid w:val="003F326C"/>
    <w:rsid w:val="003F491B"/>
    <w:rsid w:val="003F6E19"/>
    <w:rsid w:val="00401024"/>
    <w:rsid w:val="00417F86"/>
    <w:rsid w:val="00422634"/>
    <w:rsid w:val="00427DCF"/>
    <w:rsid w:val="004359B5"/>
    <w:rsid w:val="00435DFE"/>
    <w:rsid w:val="00437616"/>
    <w:rsid w:val="004377EC"/>
    <w:rsid w:val="00444862"/>
    <w:rsid w:val="004457E5"/>
    <w:rsid w:val="0044729F"/>
    <w:rsid w:val="0045301C"/>
    <w:rsid w:val="0045798C"/>
    <w:rsid w:val="004640C3"/>
    <w:rsid w:val="00464DE5"/>
    <w:rsid w:val="0046613D"/>
    <w:rsid w:val="004666B0"/>
    <w:rsid w:val="00466FA2"/>
    <w:rsid w:val="00470291"/>
    <w:rsid w:val="004715F2"/>
    <w:rsid w:val="0047227E"/>
    <w:rsid w:val="00475771"/>
    <w:rsid w:val="00483137"/>
    <w:rsid w:val="00486F87"/>
    <w:rsid w:val="00492266"/>
    <w:rsid w:val="0049260B"/>
    <w:rsid w:val="004A0796"/>
    <w:rsid w:val="004A171B"/>
    <w:rsid w:val="004B7CAC"/>
    <w:rsid w:val="004C3BF0"/>
    <w:rsid w:val="004C5EBE"/>
    <w:rsid w:val="004C7FE1"/>
    <w:rsid w:val="004D00AA"/>
    <w:rsid w:val="004D18A2"/>
    <w:rsid w:val="004D513A"/>
    <w:rsid w:val="004F14F5"/>
    <w:rsid w:val="00512B0C"/>
    <w:rsid w:val="005200D4"/>
    <w:rsid w:val="0052442C"/>
    <w:rsid w:val="005258B6"/>
    <w:rsid w:val="005270AB"/>
    <w:rsid w:val="005310AA"/>
    <w:rsid w:val="00532A9B"/>
    <w:rsid w:val="00535957"/>
    <w:rsid w:val="0053607F"/>
    <w:rsid w:val="00536D8D"/>
    <w:rsid w:val="005447E6"/>
    <w:rsid w:val="00547B06"/>
    <w:rsid w:val="00550293"/>
    <w:rsid w:val="005513BB"/>
    <w:rsid w:val="0055407D"/>
    <w:rsid w:val="00556D37"/>
    <w:rsid w:val="00560035"/>
    <w:rsid w:val="00561BFC"/>
    <w:rsid w:val="005803C1"/>
    <w:rsid w:val="005822C3"/>
    <w:rsid w:val="0058241B"/>
    <w:rsid w:val="00582E06"/>
    <w:rsid w:val="005873F9"/>
    <w:rsid w:val="005948EA"/>
    <w:rsid w:val="00597289"/>
    <w:rsid w:val="00597D15"/>
    <w:rsid w:val="005A169B"/>
    <w:rsid w:val="005A49B6"/>
    <w:rsid w:val="005C215C"/>
    <w:rsid w:val="005D0414"/>
    <w:rsid w:val="005D4DB0"/>
    <w:rsid w:val="005E5DA4"/>
    <w:rsid w:val="005E61D6"/>
    <w:rsid w:val="005F2569"/>
    <w:rsid w:val="005F389A"/>
    <w:rsid w:val="00600FF5"/>
    <w:rsid w:val="00605162"/>
    <w:rsid w:val="00613E4E"/>
    <w:rsid w:val="0061523C"/>
    <w:rsid w:val="006217C4"/>
    <w:rsid w:val="0063322F"/>
    <w:rsid w:val="00634C69"/>
    <w:rsid w:val="00636F92"/>
    <w:rsid w:val="00637709"/>
    <w:rsid w:val="006411D8"/>
    <w:rsid w:val="00641FF5"/>
    <w:rsid w:val="00643D84"/>
    <w:rsid w:val="00646283"/>
    <w:rsid w:val="006532D6"/>
    <w:rsid w:val="006725D3"/>
    <w:rsid w:val="00682581"/>
    <w:rsid w:val="00690E07"/>
    <w:rsid w:val="0069420E"/>
    <w:rsid w:val="00695DF8"/>
    <w:rsid w:val="0069666B"/>
    <w:rsid w:val="00696D58"/>
    <w:rsid w:val="006A383A"/>
    <w:rsid w:val="006B0843"/>
    <w:rsid w:val="006B58EB"/>
    <w:rsid w:val="006C09FE"/>
    <w:rsid w:val="006C38DA"/>
    <w:rsid w:val="006C666A"/>
    <w:rsid w:val="006D0C75"/>
    <w:rsid w:val="006E5546"/>
    <w:rsid w:val="006F2C18"/>
    <w:rsid w:val="0070446C"/>
    <w:rsid w:val="00713C20"/>
    <w:rsid w:val="007242FC"/>
    <w:rsid w:val="00726A56"/>
    <w:rsid w:val="00735DD0"/>
    <w:rsid w:val="0074512A"/>
    <w:rsid w:val="00745ADD"/>
    <w:rsid w:val="00752F5F"/>
    <w:rsid w:val="007558B7"/>
    <w:rsid w:val="00761D87"/>
    <w:rsid w:val="00762D75"/>
    <w:rsid w:val="00762FE5"/>
    <w:rsid w:val="00763923"/>
    <w:rsid w:val="00763CB4"/>
    <w:rsid w:val="00763FE8"/>
    <w:rsid w:val="00771386"/>
    <w:rsid w:val="00776551"/>
    <w:rsid w:val="0078102C"/>
    <w:rsid w:val="00784FA1"/>
    <w:rsid w:val="007B35B6"/>
    <w:rsid w:val="007B42C5"/>
    <w:rsid w:val="007B6583"/>
    <w:rsid w:val="007B65E7"/>
    <w:rsid w:val="007C2E60"/>
    <w:rsid w:val="007C7E43"/>
    <w:rsid w:val="007D129E"/>
    <w:rsid w:val="007D4E45"/>
    <w:rsid w:val="007E684A"/>
    <w:rsid w:val="007F120A"/>
    <w:rsid w:val="007F18C9"/>
    <w:rsid w:val="007F1CEC"/>
    <w:rsid w:val="00801924"/>
    <w:rsid w:val="00806C8D"/>
    <w:rsid w:val="00807D9A"/>
    <w:rsid w:val="00822A4A"/>
    <w:rsid w:val="00822B38"/>
    <w:rsid w:val="00840496"/>
    <w:rsid w:val="00840663"/>
    <w:rsid w:val="0084413F"/>
    <w:rsid w:val="008445AA"/>
    <w:rsid w:val="00844C90"/>
    <w:rsid w:val="00847068"/>
    <w:rsid w:val="00850226"/>
    <w:rsid w:val="00852B4B"/>
    <w:rsid w:val="00857CD2"/>
    <w:rsid w:val="00861BCD"/>
    <w:rsid w:val="00864F58"/>
    <w:rsid w:val="008657F5"/>
    <w:rsid w:val="008661BE"/>
    <w:rsid w:val="00871E85"/>
    <w:rsid w:val="00872A9A"/>
    <w:rsid w:val="00876E47"/>
    <w:rsid w:val="00881773"/>
    <w:rsid w:val="00883045"/>
    <w:rsid w:val="00884747"/>
    <w:rsid w:val="0089194A"/>
    <w:rsid w:val="00894E87"/>
    <w:rsid w:val="008A0A9E"/>
    <w:rsid w:val="008A5C6A"/>
    <w:rsid w:val="008A7D45"/>
    <w:rsid w:val="008B1376"/>
    <w:rsid w:val="008B4196"/>
    <w:rsid w:val="008B454F"/>
    <w:rsid w:val="008B5120"/>
    <w:rsid w:val="008B70A6"/>
    <w:rsid w:val="008B7D71"/>
    <w:rsid w:val="008C2C45"/>
    <w:rsid w:val="008C6DE1"/>
    <w:rsid w:val="008C7489"/>
    <w:rsid w:val="008D7381"/>
    <w:rsid w:val="008E0D53"/>
    <w:rsid w:val="008E11B3"/>
    <w:rsid w:val="008E7FAB"/>
    <w:rsid w:val="008F1545"/>
    <w:rsid w:val="009028F5"/>
    <w:rsid w:val="00904E94"/>
    <w:rsid w:val="00913BDB"/>
    <w:rsid w:val="00913CAD"/>
    <w:rsid w:val="00913E1E"/>
    <w:rsid w:val="00913FF0"/>
    <w:rsid w:val="00915D4A"/>
    <w:rsid w:val="00921B7B"/>
    <w:rsid w:val="009264AD"/>
    <w:rsid w:val="00927229"/>
    <w:rsid w:val="00927489"/>
    <w:rsid w:val="00931722"/>
    <w:rsid w:val="00933EB7"/>
    <w:rsid w:val="009420A1"/>
    <w:rsid w:val="00943A7E"/>
    <w:rsid w:val="009535D3"/>
    <w:rsid w:val="00955ED7"/>
    <w:rsid w:val="00957C63"/>
    <w:rsid w:val="009612D9"/>
    <w:rsid w:val="009663E1"/>
    <w:rsid w:val="009674C8"/>
    <w:rsid w:val="00967E3F"/>
    <w:rsid w:val="009775E3"/>
    <w:rsid w:val="0098191F"/>
    <w:rsid w:val="009837EC"/>
    <w:rsid w:val="00984B42"/>
    <w:rsid w:val="00986C79"/>
    <w:rsid w:val="009878CA"/>
    <w:rsid w:val="0099284E"/>
    <w:rsid w:val="00992A43"/>
    <w:rsid w:val="00996461"/>
    <w:rsid w:val="009A30A9"/>
    <w:rsid w:val="009A690D"/>
    <w:rsid w:val="009A7244"/>
    <w:rsid w:val="009B4908"/>
    <w:rsid w:val="009B5190"/>
    <w:rsid w:val="009B5721"/>
    <w:rsid w:val="009C314B"/>
    <w:rsid w:val="009C6632"/>
    <w:rsid w:val="009D1E27"/>
    <w:rsid w:val="009D541D"/>
    <w:rsid w:val="009E1662"/>
    <w:rsid w:val="009F026D"/>
    <w:rsid w:val="009F609B"/>
    <w:rsid w:val="00A02A05"/>
    <w:rsid w:val="00A06A53"/>
    <w:rsid w:val="00A11A7D"/>
    <w:rsid w:val="00A153B0"/>
    <w:rsid w:val="00A368BE"/>
    <w:rsid w:val="00A41D52"/>
    <w:rsid w:val="00A45302"/>
    <w:rsid w:val="00A45B35"/>
    <w:rsid w:val="00A4616C"/>
    <w:rsid w:val="00A476D1"/>
    <w:rsid w:val="00A52A92"/>
    <w:rsid w:val="00A55B20"/>
    <w:rsid w:val="00A570F6"/>
    <w:rsid w:val="00A65C0B"/>
    <w:rsid w:val="00A6701D"/>
    <w:rsid w:val="00A75147"/>
    <w:rsid w:val="00A75F68"/>
    <w:rsid w:val="00A84201"/>
    <w:rsid w:val="00A85304"/>
    <w:rsid w:val="00A864C4"/>
    <w:rsid w:val="00A90E9E"/>
    <w:rsid w:val="00A91687"/>
    <w:rsid w:val="00A920AA"/>
    <w:rsid w:val="00AA0649"/>
    <w:rsid w:val="00AA0FB1"/>
    <w:rsid w:val="00AA439F"/>
    <w:rsid w:val="00AA446E"/>
    <w:rsid w:val="00AA5B68"/>
    <w:rsid w:val="00AB23D1"/>
    <w:rsid w:val="00AB6A88"/>
    <w:rsid w:val="00AC1C8E"/>
    <w:rsid w:val="00AC31F4"/>
    <w:rsid w:val="00AC392E"/>
    <w:rsid w:val="00AC7422"/>
    <w:rsid w:val="00AD31B9"/>
    <w:rsid w:val="00AD6852"/>
    <w:rsid w:val="00AD6A87"/>
    <w:rsid w:val="00AE16FD"/>
    <w:rsid w:val="00AE56D8"/>
    <w:rsid w:val="00AE7920"/>
    <w:rsid w:val="00AE7FB3"/>
    <w:rsid w:val="00AF1A86"/>
    <w:rsid w:val="00AF1BB0"/>
    <w:rsid w:val="00AF62B3"/>
    <w:rsid w:val="00B003C9"/>
    <w:rsid w:val="00B10130"/>
    <w:rsid w:val="00B127A2"/>
    <w:rsid w:val="00B130F6"/>
    <w:rsid w:val="00B135B1"/>
    <w:rsid w:val="00B154F0"/>
    <w:rsid w:val="00B229BF"/>
    <w:rsid w:val="00B241E7"/>
    <w:rsid w:val="00B250AF"/>
    <w:rsid w:val="00B2638B"/>
    <w:rsid w:val="00B348A2"/>
    <w:rsid w:val="00B358D2"/>
    <w:rsid w:val="00B35EC6"/>
    <w:rsid w:val="00B3633B"/>
    <w:rsid w:val="00B3660D"/>
    <w:rsid w:val="00B377CD"/>
    <w:rsid w:val="00B51638"/>
    <w:rsid w:val="00B570F6"/>
    <w:rsid w:val="00B5723A"/>
    <w:rsid w:val="00B57518"/>
    <w:rsid w:val="00B637C5"/>
    <w:rsid w:val="00B64C4C"/>
    <w:rsid w:val="00B65F10"/>
    <w:rsid w:val="00B8054A"/>
    <w:rsid w:val="00B83252"/>
    <w:rsid w:val="00B849DF"/>
    <w:rsid w:val="00B917D6"/>
    <w:rsid w:val="00B946E8"/>
    <w:rsid w:val="00BA2AE9"/>
    <w:rsid w:val="00BA587A"/>
    <w:rsid w:val="00BA727B"/>
    <w:rsid w:val="00BC0A5F"/>
    <w:rsid w:val="00BC7492"/>
    <w:rsid w:val="00BD4EEE"/>
    <w:rsid w:val="00BD7F90"/>
    <w:rsid w:val="00BE7F36"/>
    <w:rsid w:val="00BF70DB"/>
    <w:rsid w:val="00C02E16"/>
    <w:rsid w:val="00C042B6"/>
    <w:rsid w:val="00C04316"/>
    <w:rsid w:val="00C05A4E"/>
    <w:rsid w:val="00C0674A"/>
    <w:rsid w:val="00C1008E"/>
    <w:rsid w:val="00C10CAD"/>
    <w:rsid w:val="00C11FE4"/>
    <w:rsid w:val="00C16FA4"/>
    <w:rsid w:val="00C2046B"/>
    <w:rsid w:val="00C236DE"/>
    <w:rsid w:val="00C2616A"/>
    <w:rsid w:val="00C2763B"/>
    <w:rsid w:val="00C27974"/>
    <w:rsid w:val="00C3355F"/>
    <w:rsid w:val="00C34167"/>
    <w:rsid w:val="00C35697"/>
    <w:rsid w:val="00C36058"/>
    <w:rsid w:val="00C365A9"/>
    <w:rsid w:val="00C52C38"/>
    <w:rsid w:val="00C55691"/>
    <w:rsid w:val="00C746B5"/>
    <w:rsid w:val="00C754CC"/>
    <w:rsid w:val="00C75715"/>
    <w:rsid w:val="00C8040A"/>
    <w:rsid w:val="00C8597D"/>
    <w:rsid w:val="00C91858"/>
    <w:rsid w:val="00C937AA"/>
    <w:rsid w:val="00C94353"/>
    <w:rsid w:val="00C95FFE"/>
    <w:rsid w:val="00CA3A92"/>
    <w:rsid w:val="00CA7A9F"/>
    <w:rsid w:val="00CB15E0"/>
    <w:rsid w:val="00CC181C"/>
    <w:rsid w:val="00CC1DA1"/>
    <w:rsid w:val="00CC2529"/>
    <w:rsid w:val="00CC261D"/>
    <w:rsid w:val="00CC7273"/>
    <w:rsid w:val="00CE29B7"/>
    <w:rsid w:val="00CE45E9"/>
    <w:rsid w:val="00CF0EFF"/>
    <w:rsid w:val="00CF17EF"/>
    <w:rsid w:val="00CF5500"/>
    <w:rsid w:val="00D12493"/>
    <w:rsid w:val="00D17101"/>
    <w:rsid w:val="00D205E5"/>
    <w:rsid w:val="00D223C0"/>
    <w:rsid w:val="00D23627"/>
    <w:rsid w:val="00D2381E"/>
    <w:rsid w:val="00D350B2"/>
    <w:rsid w:val="00D36E1A"/>
    <w:rsid w:val="00D370C0"/>
    <w:rsid w:val="00D40185"/>
    <w:rsid w:val="00D451A3"/>
    <w:rsid w:val="00D52550"/>
    <w:rsid w:val="00D531DD"/>
    <w:rsid w:val="00D60034"/>
    <w:rsid w:val="00D61CBA"/>
    <w:rsid w:val="00D729C2"/>
    <w:rsid w:val="00D739F5"/>
    <w:rsid w:val="00D748DE"/>
    <w:rsid w:val="00D74D24"/>
    <w:rsid w:val="00D75C19"/>
    <w:rsid w:val="00D839B8"/>
    <w:rsid w:val="00D845D1"/>
    <w:rsid w:val="00D90F62"/>
    <w:rsid w:val="00D929C9"/>
    <w:rsid w:val="00D9400A"/>
    <w:rsid w:val="00D9602C"/>
    <w:rsid w:val="00D967DF"/>
    <w:rsid w:val="00D969EB"/>
    <w:rsid w:val="00D973FC"/>
    <w:rsid w:val="00DA1D44"/>
    <w:rsid w:val="00DA324B"/>
    <w:rsid w:val="00DA485B"/>
    <w:rsid w:val="00DA6A74"/>
    <w:rsid w:val="00DB3C2C"/>
    <w:rsid w:val="00DB6FB9"/>
    <w:rsid w:val="00DC14D8"/>
    <w:rsid w:val="00DC1B91"/>
    <w:rsid w:val="00DC7CE4"/>
    <w:rsid w:val="00DD30D0"/>
    <w:rsid w:val="00DD5635"/>
    <w:rsid w:val="00DD63B5"/>
    <w:rsid w:val="00DD7AB0"/>
    <w:rsid w:val="00DD7F88"/>
    <w:rsid w:val="00DE1E65"/>
    <w:rsid w:val="00DF227C"/>
    <w:rsid w:val="00DF4B38"/>
    <w:rsid w:val="00DF617C"/>
    <w:rsid w:val="00E01DE7"/>
    <w:rsid w:val="00E041FB"/>
    <w:rsid w:val="00E04820"/>
    <w:rsid w:val="00E060A9"/>
    <w:rsid w:val="00E128E7"/>
    <w:rsid w:val="00E12B39"/>
    <w:rsid w:val="00E27D18"/>
    <w:rsid w:val="00E33236"/>
    <w:rsid w:val="00E4110C"/>
    <w:rsid w:val="00E412D2"/>
    <w:rsid w:val="00E42A0E"/>
    <w:rsid w:val="00E50605"/>
    <w:rsid w:val="00E62EBA"/>
    <w:rsid w:val="00E62F84"/>
    <w:rsid w:val="00E70515"/>
    <w:rsid w:val="00E731CC"/>
    <w:rsid w:val="00E77CD8"/>
    <w:rsid w:val="00E8460F"/>
    <w:rsid w:val="00E9068D"/>
    <w:rsid w:val="00E919BB"/>
    <w:rsid w:val="00E9241A"/>
    <w:rsid w:val="00E953EC"/>
    <w:rsid w:val="00EA21D2"/>
    <w:rsid w:val="00EA38D7"/>
    <w:rsid w:val="00EA5EE9"/>
    <w:rsid w:val="00EA6940"/>
    <w:rsid w:val="00EB2586"/>
    <w:rsid w:val="00EC20E9"/>
    <w:rsid w:val="00ED07EC"/>
    <w:rsid w:val="00ED1783"/>
    <w:rsid w:val="00EE0A8C"/>
    <w:rsid w:val="00EE0C18"/>
    <w:rsid w:val="00EE58D3"/>
    <w:rsid w:val="00EE65C8"/>
    <w:rsid w:val="00EE7BD5"/>
    <w:rsid w:val="00EF25F2"/>
    <w:rsid w:val="00EF2F52"/>
    <w:rsid w:val="00EF35AD"/>
    <w:rsid w:val="00F06DCE"/>
    <w:rsid w:val="00F1725E"/>
    <w:rsid w:val="00F25DE9"/>
    <w:rsid w:val="00F264CA"/>
    <w:rsid w:val="00F376F3"/>
    <w:rsid w:val="00F41EA4"/>
    <w:rsid w:val="00F522E4"/>
    <w:rsid w:val="00F55EFE"/>
    <w:rsid w:val="00F57725"/>
    <w:rsid w:val="00F61163"/>
    <w:rsid w:val="00F61FF2"/>
    <w:rsid w:val="00F65358"/>
    <w:rsid w:val="00F65C05"/>
    <w:rsid w:val="00F65EF3"/>
    <w:rsid w:val="00F70FE2"/>
    <w:rsid w:val="00F741F2"/>
    <w:rsid w:val="00F80B1B"/>
    <w:rsid w:val="00F85239"/>
    <w:rsid w:val="00F85FDD"/>
    <w:rsid w:val="00F9112A"/>
    <w:rsid w:val="00F91268"/>
    <w:rsid w:val="00F9144B"/>
    <w:rsid w:val="00F947CE"/>
    <w:rsid w:val="00FA2B8F"/>
    <w:rsid w:val="00FB64AA"/>
    <w:rsid w:val="00FC190E"/>
    <w:rsid w:val="00FC476F"/>
    <w:rsid w:val="00FD30D3"/>
    <w:rsid w:val="00FD4D03"/>
    <w:rsid w:val="00FD6E74"/>
    <w:rsid w:val="00FD77C3"/>
    <w:rsid w:val="00FE3A65"/>
    <w:rsid w:val="00FF11F2"/>
    <w:rsid w:val="00FF1B7F"/>
    <w:rsid w:val="00FF2CA7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D83B9"/>
  <w15:chartTrackingRefBased/>
  <w15:docId w15:val="{1D00AA23-131B-4D17-9A2F-9C108098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85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1"/>
    <w:qFormat/>
    <w:rsid w:val="001A6F1F"/>
    <w:pPr>
      <w:widowControl w:val="0"/>
      <w:autoSpaceDE w:val="0"/>
      <w:autoSpaceDN w:val="0"/>
      <w:spacing w:after="0" w:line="476" w:lineRule="exact"/>
      <w:outlineLvl w:val="0"/>
    </w:pPr>
    <w:rPr>
      <w:rFonts w:ascii="Calibri" w:hAnsi="Calibri" w:cs="Calibri"/>
      <w:sz w:val="41"/>
      <w:szCs w:val="41"/>
      <w:lang w:eastAsia="cs-CZ" w:bidi="cs-CZ"/>
    </w:rPr>
  </w:style>
  <w:style w:type="paragraph" w:styleId="Nadpis2">
    <w:name w:val="heading 2"/>
    <w:basedOn w:val="Normln"/>
    <w:link w:val="Nadpis2Char"/>
    <w:uiPriority w:val="1"/>
    <w:qFormat/>
    <w:rsid w:val="001A6F1F"/>
    <w:pPr>
      <w:widowControl w:val="0"/>
      <w:autoSpaceDE w:val="0"/>
      <w:autoSpaceDN w:val="0"/>
      <w:spacing w:after="0" w:line="240" w:lineRule="auto"/>
      <w:ind w:left="865"/>
      <w:jc w:val="center"/>
      <w:outlineLvl w:val="1"/>
    </w:pPr>
    <w:rPr>
      <w:rFonts w:ascii="Calibri" w:hAnsi="Calibri" w:cs="Calibri"/>
      <w:b/>
      <w:bCs/>
      <w:lang w:eastAsia="cs-CZ" w:bidi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617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15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53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5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771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uiPriority w:val="99"/>
    <w:unhideWhenUsed/>
    <w:rsid w:val="00A11A7D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957C63"/>
    <w:pPr>
      <w:spacing w:after="12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957C63"/>
    <w:rPr>
      <w:rFonts w:eastAsia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57C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57C6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57C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57C63"/>
    <w:rPr>
      <w:sz w:val="22"/>
      <w:szCs w:val="22"/>
      <w:lang w:eastAsia="en-US"/>
    </w:rPr>
  </w:style>
  <w:style w:type="paragraph" w:customStyle="1" w:styleId="Default">
    <w:name w:val="Default"/>
    <w:rsid w:val="00280D6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mezer">
    <w:name w:val="No Spacing"/>
    <w:uiPriority w:val="1"/>
    <w:qFormat/>
    <w:rsid w:val="00AA439F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1"/>
    <w:rsid w:val="001A6F1F"/>
    <w:rPr>
      <w:rFonts w:ascii="Calibri" w:hAnsi="Calibri" w:cs="Calibri"/>
      <w:sz w:val="41"/>
      <w:szCs w:val="41"/>
      <w:lang w:bidi="cs-CZ"/>
    </w:rPr>
  </w:style>
  <w:style w:type="character" w:customStyle="1" w:styleId="Nadpis2Char">
    <w:name w:val="Nadpis 2 Char"/>
    <w:link w:val="Nadpis2"/>
    <w:uiPriority w:val="1"/>
    <w:rsid w:val="001A6F1F"/>
    <w:rPr>
      <w:rFonts w:ascii="Calibri" w:hAnsi="Calibri" w:cs="Calibri"/>
      <w:b/>
      <w:bCs/>
      <w:sz w:val="22"/>
      <w:szCs w:val="22"/>
      <w:lang w:bidi="cs-CZ"/>
    </w:rPr>
  </w:style>
  <w:style w:type="table" w:customStyle="1" w:styleId="TableNormal">
    <w:name w:val="Table Normal"/>
    <w:uiPriority w:val="2"/>
    <w:semiHidden/>
    <w:unhideWhenUsed/>
    <w:qFormat/>
    <w:rsid w:val="001A6F1F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"/>
    <w:qFormat/>
    <w:rsid w:val="001A6F1F"/>
    <w:pPr>
      <w:widowControl w:val="0"/>
      <w:autoSpaceDE w:val="0"/>
      <w:autoSpaceDN w:val="0"/>
      <w:spacing w:after="0" w:line="576" w:lineRule="exact"/>
      <w:ind w:left="865" w:right="817"/>
      <w:jc w:val="center"/>
    </w:pPr>
    <w:rPr>
      <w:rFonts w:ascii="Calibri" w:hAnsi="Calibri" w:cs="Calibri"/>
      <w:b/>
      <w:bCs/>
      <w:sz w:val="48"/>
      <w:szCs w:val="48"/>
      <w:lang w:eastAsia="cs-CZ" w:bidi="cs-CZ"/>
    </w:rPr>
  </w:style>
  <w:style w:type="character" w:customStyle="1" w:styleId="NzevChar">
    <w:name w:val="Název Char"/>
    <w:link w:val="Nzev"/>
    <w:uiPriority w:val="1"/>
    <w:rsid w:val="001A6F1F"/>
    <w:rPr>
      <w:rFonts w:ascii="Calibri" w:hAnsi="Calibri" w:cs="Calibri"/>
      <w:b/>
      <w:bCs/>
      <w:sz w:val="48"/>
      <w:szCs w:val="48"/>
      <w:lang w:bidi="cs-CZ"/>
    </w:rPr>
  </w:style>
  <w:style w:type="paragraph" w:customStyle="1" w:styleId="TableParagraph">
    <w:name w:val="Table Paragraph"/>
    <w:basedOn w:val="Normln"/>
    <w:uiPriority w:val="1"/>
    <w:qFormat/>
    <w:rsid w:val="001A6F1F"/>
    <w:pPr>
      <w:widowControl w:val="0"/>
      <w:autoSpaceDE w:val="0"/>
      <w:autoSpaceDN w:val="0"/>
      <w:spacing w:after="0" w:line="249" w:lineRule="exact"/>
      <w:ind w:left="108"/>
    </w:pPr>
    <w:rPr>
      <w:rFonts w:ascii="Calibri" w:hAnsi="Calibri" w:cs="Calibri"/>
      <w:lang w:eastAsia="cs-CZ" w:bidi="cs-CZ"/>
    </w:rPr>
  </w:style>
  <w:style w:type="paragraph" w:customStyle="1" w:styleId="ListParagraph3">
    <w:name w:val="List Paragraph3"/>
    <w:basedOn w:val="Normln"/>
    <w:rsid w:val="00763FE8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character" w:styleId="Nevyeenzmnka">
    <w:name w:val="Unresolved Mention"/>
    <w:uiPriority w:val="99"/>
    <w:semiHidden/>
    <w:unhideWhenUsed/>
    <w:rsid w:val="00DF227C"/>
    <w:rPr>
      <w:color w:val="605E5C"/>
      <w:shd w:val="clear" w:color="auto" w:fill="E1DFDD"/>
    </w:rPr>
  </w:style>
  <w:style w:type="character" w:customStyle="1" w:styleId="Nadpis4Char">
    <w:name w:val="Nadpis 4 Char"/>
    <w:link w:val="Nadpis4"/>
    <w:uiPriority w:val="9"/>
    <w:semiHidden/>
    <w:rsid w:val="00DF617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pec-highlightitem">
    <w:name w:val="spec-highlight__item"/>
    <w:basedOn w:val="Normln"/>
    <w:rsid w:val="00DF617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DF617C"/>
    <w:rPr>
      <w:b/>
      <w:bCs/>
    </w:rPr>
  </w:style>
  <w:style w:type="character" w:customStyle="1" w:styleId="spec-highlightvalue">
    <w:name w:val="spec-highlight__value"/>
    <w:basedOn w:val="Standardnpsmoodstavce"/>
    <w:rsid w:val="00DF617C"/>
  </w:style>
  <w:style w:type="character" w:styleId="Sledovanodkaz">
    <w:name w:val="FollowedHyperlink"/>
    <w:basedOn w:val="Standardnpsmoodstavce"/>
    <w:uiPriority w:val="99"/>
    <w:semiHidden/>
    <w:unhideWhenUsed/>
    <w:rsid w:val="00361CDD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61C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1CDD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1CDD"/>
    <w:rPr>
      <w:rFonts w:eastAsia="Times New Roman"/>
    </w:rPr>
  </w:style>
  <w:style w:type="paragraph" w:styleId="Revize">
    <w:name w:val="Revision"/>
    <w:hidden/>
    <w:uiPriority w:val="99"/>
    <w:semiHidden/>
    <w:rsid w:val="00C52C38"/>
    <w:rPr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2E16"/>
    <w:pPr>
      <w:spacing w:after="200"/>
    </w:pPr>
    <w:rPr>
      <w:rFonts w:eastAsia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2E1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-comparative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84202-079B-49AE-A41C-4AE49ADC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1896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Tulis</dc:creator>
  <cp:keywords/>
  <cp:lastModifiedBy>František Procházka</cp:lastModifiedBy>
  <cp:revision>2</cp:revision>
  <cp:lastPrinted>2023-10-25T15:57:00Z</cp:lastPrinted>
  <dcterms:created xsi:type="dcterms:W3CDTF">2023-11-09T08:14:00Z</dcterms:created>
  <dcterms:modified xsi:type="dcterms:W3CDTF">2023-11-09T08:14:00Z</dcterms:modified>
</cp:coreProperties>
</file>