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 xml:space="preserve">uzatvorená podľa § 269 ods. 2 zákona č. 513/1991 Zb. Obchodný zákonník v znení neskorších predpisov a v súlade so zákonom č. 343/2015 </w:t>
      </w:r>
      <w:proofErr w:type="spellStart"/>
      <w:r w:rsidRPr="00D5483B">
        <w:rPr>
          <w:rFonts w:ascii="Calibri" w:hAnsi="Calibri" w:cs="Calibri"/>
          <w:szCs w:val="20"/>
          <w:lang w:val="sk-SK"/>
        </w:rPr>
        <w:t>Z.z</w:t>
      </w:r>
      <w:proofErr w:type="spellEnd"/>
      <w:r w:rsidRPr="00D5483B">
        <w:rPr>
          <w:rFonts w:ascii="Calibri" w:hAnsi="Calibri" w:cs="Calibri"/>
          <w:szCs w:val="20"/>
          <w:lang w:val="sk-SK"/>
        </w:rPr>
        <w:t>.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Odsekzoznamu"/>
        <w:ind w:left="709"/>
        <w:jc w:val="both"/>
        <w:rPr>
          <w:rFonts w:ascii="Calibri" w:hAnsi="Calibri" w:cs="Calibri"/>
          <w:szCs w:val="20"/>
          <w:lang w:val="sk-SK"/>
        </w:rPr>
      </w:pPr>
    </w:p>
    <w:p w14:paraId="70EB7213" w14:textId="3EEF752E"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Odsekzoznamu"/>
        <w:rPr>
          <w:rFonts w:ascii="Calibri" w:hAnsi="Calibri" w:cs="Calibri"/>
          <w:szCs w:val="20"/>
          <w:lang w:val="sk-SK"/>
        </w:rPr>
      </w:pPr>
    </w:p>
    <w:p w14:paraId="52A504D9"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Odsekzoznamu"/>
        <w:rPr>
          <w:rFonts w:ascii="Calibri" w:hAnsi="Calibri" w:cs="Calibri"/>
          <w:szCs w:val="20"/>
          <w:lang w:val="sk-SK"/>
        </w:rPr>
      </w:pPr>
    </w:p>
    <w:p w14:paraId="6E279378"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Odsekzoznamu"/>
        <w:rPr>
          <w:rFonts w:ascii="Calibri" w:hAnsi="Calibri" w:cs="Calibri"/>
          <w:szCs w:val="20"/>
          <w:lang w:val="sk-SK"/>
        </w:rPr>
      </w:pPr>
    </w:p>
    <w:p w14:paraId="6BBBD24E"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w:t>
      </w:r>
      <w:proofErr w:type="spellStart"/>
      <w:r w:rsidR="007F4B8C" w:rsidRPr="00D5483B">
        <w:rPr>
          <w:rFonts w:ascii="Calibri" w:hAnsi="Calibri" w:cs="Calibri"/>
          <w:szCs w:val="20"/>
          <w:lang w:val="sk-SK"/>
        </w:rPr>
        <w:t>zúčtovateľovi</w:t>
      </w:r>
      <w:proofErr w:type="spellEnd"/>
      <w:r w:rsidR="007F4B8C" w:rsidRPr="00D5483B">
        <w:rPr>
          <w:rFonts w:ascii="Calibri" w:hAnsi="Calibri" w:cs="Calibri"/>
          <w:szCs w:val="20"/>
          <w:lang w:val="sk-SK"/>
        </w:rPr>
        <w:t xml:space="preserve">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0724D784" w14:textId="77777777" w:rsidR="008C222B" w:rsidRPr="00D5483B" w:rsidRDefault="008C222B" w:rsidP="008C222B">
      <w:pPr>
        <w:pStyle w:val="Odsekzoznamu"/>
        <w:ind w:left="709"/>
        <w:rPr>
          <w:rFonts w:ascii="Calibri" w:hAnsi="Calibri" w:cs="Calibri"/>
          <w:szCs w:val="20"/>
          <w:lang w:val="sk-SK"/>
        </w:rPr>
      </w:pPr>
    </w:p>
    <w:p w14:paraId="7D470F7F" w14:textId="4FCD791E" w:rsidR="008C222B" w:rsidRPr="00D5483B" w:rsidRDefault="008C222B" w:rsidP="008C222B">
      <w:pPr>
        <w:pStyle w:val="Odsekzoznamu"/>
        <w:ind w:left="709"/>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do Odberných miest vrátane prevzatia zodpovednosti za odchýlky voči </w:t>
      </w:r>
      <w:proofErr w:type="spellStart"/>
      <w:r w:rsidRPr="00D5483B">
        <w:rPr>
          <w:rFonts w:ascii="Calibri" w:hAnsi="Calibri" w:cs="Calibri"/>
          <w:szCs w:val="20"/>
          <w:lang w:val="sk-SK"/>
        </w:rPr>
        <w:t>zúčtovateľovi</w:t>
      </w:r>
      <w:proofErr w:type="spellEnd"/>
      <w:r w:rsidRPr="00D5483B">
        <w:rPr>
          <w:rFonts w:ascii="Calibri" w:hAnsi="Calibri" w:cs="Calibri"/>
          <w:szCs w:val="20"/>
          <w:lang w:val="sk-SK"/>
        </w:rPr>
        <w:t xml:space="preserve"> odchýlok za každé z Odberných miest za týchto podmienok:</w:t>
      </w:r>
    </w:p>
    <w:p w14:paraId="3C48D914" w14:textId="77777777" w:rsidR="008C222B" w:rsidRPr="00D5483B" w:rsidRDefault="008C222B" w:rsidP="008C222B">
      <w:pPr>
        <w:pStyle w:val="Odsekzoznamu"/>
        <w:rPr>
          <w:rFonts w:ascii="Calibri" w:hAnsi="Calibri" w:cs="Calibri"/>
          <w:szCs w:val="20"/>
          <w:lang w:val="sk-SK"/>
        </w:rPr>
      </w:pP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Odsekzoznamu"/>
        <w:ind w:left="709"/>
        <w:jc w:val="both"/>
        <w:rPr>
          <w:rFonts w:ascii="Calibri" w:hAnsi="Calibri" w:cs="Calibri"/>
          <w:szCs w:val="20"/>
          <w:lang w:val="sk-SK"/>
        </w:rPr>
      </w:pP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AFFA3A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Odsekzoznamu"/>
        <w:ind w:left="709"/>
        <w:jc w:val="both"/>
        <w:rPr>
          <w:rFonts w:ascii="Calibri" w:hAnsi="Calibri" w:cs="Calibri"/>
          <w:szCs w:val="20"/>
          <w:lang w:val="sk-SK"/>
        </w:rPr>
      </w:pP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lastRenderedPageBreak/>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w:t>
      </w:r>
      <w:r w:rsidRPr="00D5483B">
        <w:rPr>
          <w:rFonts w:ascii="Calibri" w:hAnsi="Calibri" w:cs="Calibri"/>
          <w:szCs w:val="20"/>
          <w:lang w:val="sk-SK"/>
        </w:rPr>
        <w:lastRenderedPageBreak/>
        <w:t>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6D60C2D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Odsekzoznamu"/>
        <w:ind w:left="709"/>
        <w:rPr>
          <w:rFonts w:ascii="Calibri" w:hAnsi="Calibri" w:cs="Calibri"/>
          <w:szCs w:val="20"/>
          <w:lang w:val="sk-SK"/>
        </w:rPr>
      </w:pPr>
    </w:p>
    <w:p w14:paraId="6D1ACE52"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Odsekzoznamu"/>
        <w:ind w:left="709"/>
        <w:jc w:val="both"/>
        <w:rPr>
          <w:rFonts w:ascii="Calibri" w:hAnsi="Calibri" w:cs="Calibri"/>
          <w:szCs w:val="20"/>
          <w:lang w:val="sk-SK"/>
        </w:rPr>
      </w:pPr>
    </w:p>
    <w:p w14:paraId="59FE2928" w14:textId="2F7E20F0" w:rsidR="008C222B" w:rsidRPr="00D5483B" w:rsidRDefault="00B93F3C" w:rsidP="008C222B">
      <w:pPr>
        <w:pStyle w:val="Odsekzoznamu"/>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Odsekzoznamu"/>
        <w:rPr>
          <w:rFonts w:ascii="Calibri" w:hAnsi="Calibri" w:cs="Calibri"/>
          <w:szCs w:val="20"/>
          <w:lang w:val="sk-SK"/>
        </w:rPr>
      </w:pPr>
    </w:p>
    <w:p w14:paraId="2454AEF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Odsekzoznamu"/>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1FF40400" w:rsidR="008C222B" w:rsidRPr="00D5483B" w:rsidRDefault="008C222B" w:rsidP="008C222B">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4B1FD990" w14:textId="77777777" w:rsidR="008C222B" w:rsidRPr="00D5483B" w:rsidRDefault="008C222B" w:rsidP="005213D0">
      <w:pPr>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64123388"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D5483B">
        <w:rPr>
          <w:rFonts w:ascii="Calibri" w:hAnsi="Calibri" w:cs="Calibri"/>
          <w:szCs w:val="20"/>
          <w:highlight w:val="lightGray"/>
          <w:lang w:val="sk-SK" w:eastAsia="de-DE"/>
        </w:rPr>
        <w:t>4.3.5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074A06C8" w14:textId="74786729"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Odsekzoznamu"/>
        <w:ind w:left="709"/>
        <w:rPr>
          <w:rFonts w:ascii="Calibri" w:hAnsi="Calibri" w:cs="Calibri"/>
          <w:szCs w:val="20"/>
          <w:lang w:val="sk-SK"/>
        </w:rPr>
      </w:pPr>
    </w:p>
    <w:p w14:paraId="27E0C4F3" w14:textId="77777777" w:rsidR="008C222B" w:rsidRPr="00D5483B" w:rsidRDefault="008C222B" w:rsidP="008C222B">
      <w:pPr>
        <w:pStyle w:val="Odsekzoznamu"/>
        <w:ind w:left="709"/>
        <w:rPr>
          <w:rFonts w:ascii="Calibri" w:hAnsi="Calibri" w:cs="Calibri"/>
          <w:szCs w:val="20"/>
          <w:lang w:val="sk-SK"/>
        </w:rPr>
      </w:pPr>
    </w:p>
    <w:p w14:paraId="757A0FBE" w14:textId="77777777" w:rsidR="0081572E" w:rsidRPr="00D5483B" w:rsidRDefault="0081572E" w:rsidP="008C222B">
      <w:pPr>
        <w:pStyle w:val="Odsekzoznamu"/>
        <w:ind w:left="0"/>
        <w:jc w:val="center"/>
        <w:rPr>
          <w:rFonts w:ascii="Calibri" w:hAnsi="Calibri" w:cs="Calibri"/>
          <w:b/>
          <w:bCs/>
          <w:szCs w:val="20"/>
          <w:lang w:val="sk-SK"/>
        </w:rPr>
      </w:pPr>
    </w:p>
    <w:p w14:paraId="2D66CEFD" w14:textId="77777777" w:rsidR="0081572E" w:rsidRPr="00D5483B" w:rsidRDefault="0081572E" w:rsidP="008C222B">
      <w:pPr>
        <w:pStyle w:val="Odsekzoznamu"/>
        <w:ind w:left="0"/>
        <w:jc w:val="center"/>
        <w:rPr>
          <w:rFonts w:ascii="Calibri" w:hAnsi="Calibri" w:cs="Calibri"/>
          <w:b/>
          <w:bCs/>
          <w:szCs w:val="20"/>
          <w:lang w:val="sk-SK"/>
        </w:rPr>
      </w:pPr>
    </w:p>
    <w:p w14:paraId="3E668574" w14:textId="77777777" w:rsidR="0081572E" w:rsidRPr="00D5483B" w:rsidRDefault="0081572E" w:rsidP="008C222B">
      <w:pPr>
        <w:pStyle w:val="Odsekzoznamu"/>
        <w:ind w:left="0"/>
        <w:jc w:val="center"/>
        <w:rPr>
          <w:rFonts w:ascii="Calibri" w:hAnsi="Calibri" w:cs="Calibri"/>
          <w:b/>
          <w:bCs/>
          <w:szCs w:val="20"/>
          <w:lang w:val="sk-SK"/>
        </w:rPr>
      </w:pPr>
    </w:p>
    <w:p w14:paraId="511EE0B1" w14:textId="77777777" w:rsidR="009B2BEF" w:rsidRPr="00D5483B" w:rsidRDefault="009B2BEF">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lastRenderedPageBreak/>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70EFB5CE" w14:textId="77777777" w:rsidR="008C222B" w:rsidRPr="00D5483B" w:rsidRDefault="008C222B" w:rsidP="008C222B">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Odsekzoznamu"/>
        <w:ind w:left="709"/>
        <w:jc w:val="both"/>
        <w:rPr>
          <w:rFonts w:ascii="Calibri" w:hAnsi="Calibri" w:cs="Calibri"/>
          <w:szCs w:val="20"/>
          <w:lang w:val="sk-SK"/>
        </w:rPr>
      </w:pP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Odsekzoznamu"/>
        <w:ind w:left="709"/>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45334C73"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01.01.202</w:t>
      </w:r>
      <w:r w:rsidR="007F4C6B">
        <w:rPr>
          <w:rFonts w:ascii="Calibri" w:hAnsi="Calibri" w:cs="Calibri"/>
          <w:szCs w:val="20"/>
          <w:lang w:val="sk-SK"/>
        </w:rPr>
        <w:t>4</w:t>
      </w:r>
      <w:r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w:t>
      </w:r>
      <w:r w:rsidR="007F4C6B">
        <w:rPr>
          <w:rFonts w:ascii="Calibri" w:hAnsi="Calibri" w:cs="Calibri"/>
          <w:szCs w:val="20"/>
          <w:lang w:val="sk-SK"/>
        </w:rPr>
        <w:t>4</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2FA91A25"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Odsekzoznamu"/>
        <w:rPr>
          <w:rFonts w:ascii="Calibri" w:hAnsi="Calibri" w:cs="Calibri"/>
          <w:b/>
          <w:szCs w:val="20"/>
          <w:lang w:val="sk-SK"/>
        </w:rPr>
      </w:pP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Odsekzoznamu"/>
        <w:ind w:left="1701"/>
        <w:jc w:val="both"/>
        <w:rPr>
          <w:rFonts w:ascii="Calibri" w:hAnsi="Calibri" w:cs="Calibri"/>
          <w:b/>
          <w:szCs w:val="20"/>
          <w:lang w:val="sk-SK"/>
        </w:rPr>
      </w:pP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00BF1BE3"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Odsekzoznamu"/>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Odsekzoznamu"/>
        <w:ind w:left="709"/>
        <w:jc w:val="both"/>
        <w:rPr>
          <w:rFonts w:ascii="Calibri" w:hAnsi="Calibri" w:cs="Calibri"/>
          <w:b/>
          <w:bCs/>
          <w:szCs w:val="20"/>
          <w:lang w:val="sk-SK"/>
        </w:rPr>
      </w:pP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Odsekzoznamu"/>
        <w:ind w:left="709"/>
        <w:jc w:val="both"/>
        <w:rPr>
          <w:rFonts w:ascii="Calibri" w:hAnsi="Calibri" w:cs="Calibri"/>
          <w:b/>
          <w:bCs/>
          <w:szCs w:val="20"/>
          <w:lang w:val="sk-SK"/>
        </w:rPr>
      </w:pP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Odsekzoznamu"/>
        <w:ind w:left="709"/>
        <w:jc w:val="both"/>
        <w:rPr>
          <w:rFonts w:ascii="Calibri" w:hAnsi="Calibri" w:cs="Calibri"/>
          <w:b/>
          <w:bCs/>
          <w:szCs w:val="20"/>
          <w:lang w:val="sk-SK"/>
        </w:rPr>
      </w:pP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Odsekzoznamu"/>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Odsekzoznamu"/>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5483B" w:rsidRDefault="008C222B" w:rsidP="008C222B">
      <w:pPr>
        <w:pStyle w:val="Odsekzoznamu"/>
        <w:ind w:left="709"/>
        <w:jc w:val="both"/>
        <w:rPr>
          <w:rFonts w:ascii="Calibri" w:hAnsi="Calibri" w:cs="Calibri"/>
          <w:b/>
          <w:bCs/>
          <w:szCs w:val="20"/>
          <w:lang w:val="sk-SK"/>
        </w:rPr>
      </w:pPr>
    </w:p>
    <w:p w14:paraId="0A4945C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Odsekzoznamu"/>
        <w:rPr>
          <w:rFonts w:ascii="Calibri" w:hAnsi="Calibri" w:cs="Calibri"/>
          <w:b/>
          <w:bCs/>
          <w:szCs w:val="20"/>
          <w:lang w:val="sk-SK"/>
        </w:rPr>
      </w:pPr>
    </w:p>
    <w:p w14:paraId="0FFB62DA" w14:textId="7E1A9AD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Odsekzoznamu"/>
        <w:ind w:left="0"/>
        <w:jc w:val="center"/>
        <w:rPr>
          <w:rFonts w:ascii="Calibri" w:hAnsi="Calibri" w:cs="Calibri"/>
          <w:b/>
          <w:bCs/>
          <w:szCs w:val="20"/>
          <w:lang w:val="sk-SK"/>
        </w:rPr>
      </w:pPr>
    </w:p>
    <w:p w14:paraId="7A385A2B" w14:textId="77777777" w:rsidR="008C222B" w:rsidRPr="00D5483B" w:rsidRDefault="008C222B" w:rsidP="008C222B">
      <w:pPr>
        <w:pStyle w:val="Odsekzoznamu"/>
        <w:ind w:left="0"/>
        <w:jc w:val="cente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826543A" w14:textId="77777777" w:rsidR="008C222B" w:rsidRPr="00D5483B" w:rsidRDefault="008C222B" w:rsidP="008C222B">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Odsekzoznamu"/>
        <w:ind w:left="709"/>
        <w:jc w:val="both"/>
        <w:rPr>
          <w:rFonts w:ascii="Calibri" w:hAnsi="Calibri" w:cs="Calibri"/>
          <w:szCs w:val="20"/>
          <w:lang w:val="sk-SK"/>
        </w:rPr>
      </w:pPr>
    </w:p>
    <w:p w14:paraId="0FB253D1" w14:textId="2DBB43CA"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567B7615" w:rsidR="00650B3E" w:rsidRPr="00D5483B" w:rsidRDefault="00650B3E" w:rsidP="005213D0">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w:t>
      </w:r>
      <w:r w:rsidR="007F4C6B">
        <w:rPr>
          <w:rFonts w:ascii="Calibri" w:hAnsi="Calibri" w:cs="Calibri"/>
          <w:szCs w:val="20"/>
          <w:lang w:val="sk-SK"/>
        </w:rPr>
        <w:t>3</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Odsekzoznamu"/>
        <w:jc w:val="both"/>
        <w:rPr>
          <w:rFonts w:ascii="Calibri" w:hAnsi="Calibri" w:cs="Calibri"/>
          <w:szCs w:val="20"/>
          <w:lang w:val="sk-SK"/>
        </w:rPr>
      </w:pPr>
    </w:p>
    <w:p w14:paraId="076D31F7" w14:textId="57A33D5E"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Odsekzoznamu"/>
        <w:rPr>
          <w:rFonts w:ascii="Calibri" w:hAnsi="Calibri" w:cs="Calibri"/>
          <w:szCs w:val="20"/>
          <w:lang w:val="sk-SK"/>
        </w:rPr>
      </w:pPr>
    </w:p>
    <w:p w14:paraId="609AFB61" w14:textId="63DFE9E2"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Odsekzoznamu"/>
        <w:rPr>
          <w:rFonts w:ascii="Calibri" w:hAnsi="Calibri" w:cs="Calibri"/>
          <w:szCs w:val="20"/>
          <w:lang w:val="sk-SK"/>
        </w:rPr>
      </w:pPr>
    </w:p>
    <w:p w14:paraId="0F510AD5" w14:textId="201C71C6"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Odsekzoznamu"/>
        <w:rPr>
          <w:rFonts w:ascii="Calibri" w:hAnsi="Calibri" w:cs="Calibri"/>
          <w:szCs w:val="20"/>
          <w:lang w:val="sk-SK"/>
        </w:rPr>
      </w:pPr>
    </w:p>
    <w:p w14:paraId="69F3ED93"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Odsekzoznamu"/>
        <w:rPr>
          <w:rFonts w:ascii="Calibri" w:hAnsi="Calibri" w:cs="Calibri"/>
          <w:szCs w:val="20"/>
          <w:lang w:val="sk-SK"/>
        </w:rPr>
      </w:pPr>
    </w:p>
    <w:p w14:paraId="40FE87A8"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Odsekzoznamu"/>
        <w:jc w:val="both"/>
        <w:rPr>
          <w:rFonts w:ascii="Calibri" w:hAnsi="Calibri" w:cs="Calibri"/>
          <w:szCs w:val="20"/>
          <w:lang w:val="sk-SK"/>
        </w:rPr>
      </w:pPr>
    </w:p>
    <w:p w14:paraId="4742EB3C" w14:textId="49D96E4B"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lastRenderedPageBreak/>
        <w:t>Táto Zmluva nadobúda platnosť dňom jej podpisu obidvoma Zmluvnými stranami a  účinnosť dňa 01.01.2023,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Odsekzoznamu"/>
        <w:rPr>
          <w:rFonts w:ascii="Calibri" w:hAnsi="Calibri" w:cs="Calibri"/>
          <w:szCs w:val="20"/>
          <w:lang w:val="sk-SK"/>
        </w:rPr>
      </w:pPr>
    </w:p>
    <w:p w14:paraId="35690A3D" w14:textId="13445F23"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234805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Predmetom je zabezpečenie dodávky elektriny, distribúcie elektriny do odberných miest Verejného obstarávateľa a prevzatie zodpovednosti za odchýlku v odberných miestach verejného obstarávateľa voči </w:t>
      </w:r>
      <w:proofErr w:type="spellStart"/>
      <w:r w:rsidRPr="00DB0BD1">
        <w:rPr>
          <w:rFonts w:ascii="Arial Narrow" w:hAnsi="Arial Narrow"/>
          <w:sz w:val="22"/>
          <w:lang w:val="sk-SK"/>
        </w:rPr>
        <w:t>zúčtovateľovi</w:t>
      </w:r>
      <w:proofErr w:type="spellEnd"/>
      <w:r w:rsidRPr="00DB0BD1">
        <w:rPr>
          <w:rFonts w:ascii="Arial Narrow" w:hAnsi="Arial Narrow"/>
          <w:sz w:val="22"/>
          <w:lang w:val="sk-SK"/>
        </w:rPr>
        <w:t xml:space="preserve"> odchýlok formou Zmluvy o dodávke elektriny v súlade so zákonom č. 251/2012 Z. z. o energetike v platnom znení (ďalej len „Zákon o energetike“).</w:t>
      </w:r>
    </w:p>
    <w:p w14:paraId="1D0C9E99" w14:textId="77777777" w:rsidR="00DB0BD1" w:rsidRPr="00DB0BD1" w:rsidRDefault="00DB0BD1" w:rsidP="00DB0BD1">
      <w:pPr>
        <w:jc w:val="both"/>
        <w:rPr>
          <w:rFonts w:ascii="Arial Narrow" w:hAnsi="Arial Narrow"/>
          <w:sz w:val="22"/>
          <w:lang w:val="sk-SK"/>
        </w:rPr>
      </w:pPr>
    </w:p>
    <w:p w14:paraId="082D1466"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Obdobie dodávky: </w:t>
      </w:r>
      <w:r w:rsidRPr="00DB0BD1">
        <w:rPr>
          <w:rFonts w:ascii="Arial Narrow" w:hAnsi="Arial Narrow"/>
          <w:sz w:val="22"/>
          <w:lang w:val="sk-SK"/>
        </w:rPr>
        <w:tab/>
        <w:t>01.01.2024 – 31.12.2024</w:t>
      </w:r>
    </w:p>
    <w:p w14:paraId="4474451A" w14:textId="77777777" w:rsidR="00DB0BD1" w:rsidRPr="00DB0BD1" w:rsidRDefault="00DB0BD1" w:rsidP="00DB0BD1">
      <w:pPr>
        <w:jc w:val="both"/>
        <w:rPr>
          <w:rFonts w:ascii="Arial Narrow" w:hAnsi="Arial Narrow"/>
          <w:sz w:val="22"/>
          <w:lang w:val="sk-SK"/>
        </w:rPr>
      </w:pPr>
    </w:p>
    <w:p w14:paraId="3B8BCB31" w14:textId="235AB49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Predpokladaný odber:</w:t>
      </w:r>
      <w:r w:rsidRPr="00DB0BD1">
        <w:rPr>
          <w:rFonts w:ascii="Arial Narrow" w:hAnsi="Arial Narrow"/>
          <w:sz w:val="22"/>
          <w:lang w:val="sk-SK"/>
        </w:rPr>
        <w:tab/>
      </w:r>
      <w:r w:rsidR="00624CED">
        <w:rPr>
          <w:rFonts w:ascii="Arial Narrow" w:hAnsi="Arial Narrow"/>
          <w:lang w:val="sk-SK"/>
        </w:rPr>
        <w:t xml:space="preserve">70,62 </w:t>
      </w:r>
      <w:r w:rsidRPr="00DB0BD1">
        <w:rPr>
          <w:rFonts w:ascii="Arial Narrow" w:hAnsi="Arial Narrow"/>
          <w:sz w:val="22"/>
          <w:lang w:val="sk-SK"/>
        </w:rPr>
        <w:t>MWh</w:t>
      </w:r>
    </w:p>
    <w:p w14:paraId="7CFEDAFB" w14:textId="77777777" w:rsidR="00DB0BD1" w:rsidRPr="00DB0BD1" w:rsidRDefault="00DB0BD1" w:rsidP="00DB0BD1">
      <w:pPr>
        <w:jc w:val="both"/>
        <w:rPr>
          <w:rFonts w:ascii="Arial Narrow" w:hAnsi="Arial Narrow"/>
          <w:sz w:val="22"/>
          <w:lang w:val="sk-SK"/>
        </w:rPr>
      </w:pPr>
    </w:p>
    <w:p w14:paraId="5823DA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Tabuľka 1 – Zoznam Odberateľov, Typ merania, Predpokladaný odber</w:t>
      </w:r>
    </w:p>
    <w:tbl>
      <w:tblPr>
        <w:tblStyle w:val="Mriekatabuky1"/>
        <w:tblW w:w="0" w:type="auto"/>
        <w:jc w:val="center"/>
        <w:tblLook w:val="04A0" w:firstRow="1" w:lastRow="0" w:firstColumn="1" w:lastColumn="0" w:noHBand="0" w:noVBand="1"/>
      </w:tblPr>
      <w:tblGrid>
        <w:gridCol w:w="1413"/>
        <w:gridCol w:w="2268"/>
        <w:gridCol w:w="2410"/>
        <w:gridCol w:w="2409"/>
      </w:tblGrid>
      <w:tr w:rsidR="00DB0BD1" w:rsidRPr="00DB0BD1" w14:paraId="4DA5B324" w14:textId="77777777" w:rsidTr="00C5752F">
        <w:trPr>
          <w:jc w:val="center"/>
        </w:trPr>
        <w:tc>
          <w:tcPr>
            <w:tcW w:w="1413" w:type="dxa"/>
            <w:vAlign w:val="center"/>
          </w:tcPr>
          <w:p w14:paraId="7287074F"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Typ merania</w:t>
            </w:r>
          </w:p>
        </w:tc>
        <w:tc>
          <w:tcPr>
            <w:tcW w:w="2268" w:type="dxa"/>
            <w:vAlign w:val="center"/>
          </w:tcPr>
          <w:p w14:paraId="413064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Počet odberných miest</w:t>
            </w:r>
          </w:p>
        </w:tc>
        <w:tc>
          <w:tcPr>
            <w:tcW w:w="2410" w:type="dxa"/>
            <w:vAlign w:val="center"/>
          </w:tcPr>
          <w:p w14:paraId="787C08D6"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Predpokladaný odber (MWh)</w:t>
            </w:r>
          </w:p>
        </w:tc>
        <w:tc>
          <w:tcPr>
            <w:tcW w:w="2409" w:type="dxa"/>
            <w:vAlign w:val="center"/>
          </w:tcPr>
          <w:p w14:paraId="496BF5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 z celkového odberu Odberateľa</w:t>
            </w:r>
          </w:p>
        </w:tc>
      </w:tr>
      <w:tr w:rsidR="00624CED" w:rsidRPr="00DB0BD1" w14:paraId="15B4D81E" w14:textId="77777777" w:rsidTr="00C5752F">
        <w:trPr>
          <w:jc w:val="center"/>
        </w:trPr>
        <w:tc>
          <w:tcPr>
            <w:tcW w:w="1413" w:type="dxa"/>
          </w:tcPr>
          <w:p w14:paraId="68D652BA" w14:textId="77777777" w:rsidR="00624CED" w:rsidRPr="00DB0BD1" w:rsidRDefault="00624CED" w:rsidP="00624CED">
            <w:pPr>
              <w:jc w:val="center"/>
              <w:rPr>
                <w:rFonts w:ascii="Arial Narrow" w:hAnsi="Arial Narrow"/>
                <w:sz w:val="22"/>
                <w:lang w:val="sk-SK"/>
              </w:rPr>
            </w:pPr>
            <w:r w:rsidRPr="00DB0BD1">
              <w:rPr>
                <w:rFonts w:ascii="Arial Narrow" w:hAnsi="Arial Narrow"/>
                <w:sz w:val="22"/>
                <w:lang w:val="sk-SK"/>
              </w:rPr>
              <w:t>A</w:t>
            </w:r>
          </w:p>
        </w:tc>
        <w:tc>
          <w:tcPr>
            <w:tcW w:w="2268" w:type="dxa"/>
          </w:tcPr>
          <w:p w14:paraId="0130A3EF" w14:textId="1835179D" w:rsidR="00624CED" w:rsidRPr="00624CED" w:rsidRDefault="00624CED" w:rsidP="00624CED">
            <w:pPr>
              <w:jc w:val="center"/>
              <w:rPr>
                <w:rFonts w:ascii="Arial Narrow" w:hAnsi="Arial Narrow"/>
                <w:sz w:val="22"/>
                <w:highlight w:val="yellow"/>
                <w:lang w:val="sk-SK"/>
              </w:rPr>
            </w:pPr>
            <w:r>
              <w:rPr>
                <w:rFonts w:ascii="Arial Narrow" w:hAnsi="Arial Narrow"/>
                <w:lang w:val="sk-SK"/>
              </w:rPr>
              <w:t>4</w:t>
            </w:r>
          </w:p>
        </w:tc>
        <w:tc>
          <w:tcPr>
            <w:tcW w:w="2410" w:type="dxa"/>
          </w:tcPr>
          <w:p w14:paraId="420DACB0" w14:textId="37B4700D" w:rsidR="00624CED" w:rsidRPr="00624CED" w:rsidRDefault="00624CED" w:rsidP="00624CED">
            <w:pPr>
              <w:jc w:val="center"/>
              <w:rPr>
                <w:rFonts w:ascii="Arial Narrow" w:hAnsi="Arial Narrow"/>
                <w:sz w:val="22"/>
                <w:highlight w:val="yellow"/>
                <w:lang w:val="sk-SK"/>
              </w:rPr>
            </w:pPr>
            <w:r w:rsidRPr="00BC7E19">
              <w:rPr>
                <w:rFonts w:ascii="Arial Narrow" w:hAnsi="Arial Narrow"/>
                <w:lang w:val="sk-SK"/>
              </w:rPr>
              <w:t>68,607</w:t>
            </w:r>
          </w:p>
        </w:tc>
        <w:tc>
          <w:tcPr>
            <w:tcW w:w="2409" w:type="dxa"/>
          </w:tcPr>
          <w:p w14:paraId="21A6C3DE" w14:textId="24A237EF" w:rsidR="00624CED" w:rsidRPr="00624CED" w:rsidRDefault="00624CED" w:rsidP="00624CED">
            <w:pPr>
              <w:jc w:val="center"/>
              <w:rPr>
                <w:rFonts w:ascii="Arial Narrow" w:hAnsi="Arial Narrow"/>
                <w:sz w:val="22"/>
                <w:highlight w:val="yellow"/>
                <w:lang w:val="sk-SK"/>
              </w:rPr>
            </w:pPr>
            <w:r w:rsidRPr="00BC7E19">
              <w:rPr>
                <w:rFonts w:ascii="Arial Narrow" w:hAnsi="Arial Narrow"/>
                <w:lang w:val="sk-SK"/>
              </w:rPr>
              <w:t>97,15</w:t>
            </w:r>
          </w:p>
        </w:tc>
      </w:tr>
      <w:tr w:rsidR="00624CED" w:rsidRPr="00DB0BD1" w14:paraId="158A9268" w14:textId="77777777" w:rsidTr="00C5752F">
        <w:trPr>
          <w:jc w:val="center"/>
        </w:trPr>
        <w:tc>
          <w:tcPr>
            <w:tcW w:w="1413" w:type="dxa"/>
          </w:tcPr>
          <w:p w14:paraId="55D3C0C7" w14:textId="77777777" w:rsidR="00624CED" w:rsidRPr="00DB0BD1" w:rsidRDefault="00624CED" w:rsidP="00624CED">
            <w:pPr>
              <w:jc w:val="center"/>
              <w:rPr>
                <w:rFonts w:ascii="Arial Narrow" w:hAnsi="Arial Narrow"/>
                <w:sz w:val="22"/>
                <w:lang w:val="sk-SK"/>
              </w:rPr>
            </w:pPr>
            <w:r w:rsidRPr="00DB0BD1">
              <w:rPr>
                <w:rFonts w:ascii="Arial Narrow" w:hAnsi="Arial Narrow"/>
                <w:sz w:val="22"/>
                <w:lang w:val="sk-SK"/>
              </w:rPr>
              <w:t>C</w:t>
            </w:r>
          </w:p>
        </w:tc>
        <w:tc>
          <w:tcPr>
            <w:tcW w:w="2268" w:type="dxa"/>
          </w:tcPr>
          <w:p w14:paraId="37976FE1" w14:textId="43A0C116" w:rsidR="00624CED" w:rsidRPr="00624CED" w:rsidRDefault="00624CED" w:rsidP="00624CED">
            <w:pPr>
              <w:jc w:val="center"/>
              <w:rPr>
                <w:rFonts w:ascii="Arial Narrow" w:hAnsi="Arial Narrow"/>
                <w:sz w:val="22"/>
                <w:highlight w:val="yellow"/>
                <w:lang w:val="sk-SK"/>
              </w:rPr>
            </w:pPr>
            <w:r>
              <w:rPr>
                <w:rFonts w:ascii="Arial Narrow" w:hAnsi="Arial Narrow"/>
                <w:lang w:val="sk-SK"/>
              </w:rPr>
              <w:t>7</w:t>
            </w:r>
          </w:p>
        </w:tc>
        <w:tc>
          <w:tcPr>
            <w:tcW w:w="2410" w:type="dxa"/>
          </w:tcPr>
          <w:p w14:paraId="47ABDF8F" w14:textId="1B6DC05D" w:rsidR="00624CED" w:rsidRPr="00624CED" w:rsidRDefault="00624CED" w:rsidP="00624CED">
            <w:pPr>
              <w:jc w:val="center"/>
              <w:rPr>
                <w:rFonts w:ascii="Arial Narrow" w:hAnsi="Arial Narrow"/>
                <w:sz w:val="22"/>
                <w:highlight w:val="yellow"/>
                <w:lang w:val="sk-SK"/>
              </w:rPr>
            </w:pPr>
            <w:r>
              <w:rPr>
                <w:rFonts w:ascii="Arial Narrow" w:hAnsi="Arial Narrow"/>
                <w:lang w:val="sk-SK"/>
              </w:rPr>
              <w:t xml:space="preserve">  2,012</w:t>
            </w:r>
          </w:p>
        </w:tc>
        <w:tc>
          <w:tcPr>
            <w:tcW w:w="2409" w:type="dxa"/>
          </w:tcPr>
          <w:p w14:paraId="27AC3C1B" w14:textId="3C096329" w:rsidR="00624CED" w:rsidRPr="00624CED" w:rsidRDefault="00624CED" w:rsidP="00624CED">
            <w:pPr>
              <w:jc w:val="center"/>
              <w:rPr>
                <w:rFonts w:ascii="Arial Narrow" w:hAnsi="Arial Narrow"/>
                <w:sz w:val="22"/>
                <w:highlight w:val="yellow"/>
                <w:lang w:val="sk-SK"/>
              </w:rPr>
            </w:pPr>
            <w:r>
              <w:rPr>
                <w:rFonts w:ascii="Arial Narrow" w:hAnsi="Arial Narrow"/>
                <w:lang w:val="sk-SK"/>
              </w:rPr>
              <w:t xml:space="preserve"> </w:t>
            </w:r>
            <w:r w:rsidRPr="00373C46">
              <w:rPr>
                <w:rFonts w:ascii="Arial Narrow" w:hAnsi="Arial Narrow"/>
                <w:lang w:val="sk-SK"/>
              </w:rPr>
              <w:t>2,8</w:t>
            </w:r>
            <w:r>
              <w:rPr>
                <w:rFonts w:ascii="Arial Narrow" w:hAnsi="Arial Narrow"/>
                <w:lang w:val="sk-SK"/>
              </w:rPr>
              <w:t>5</w:t>
            </w:r>
          </w:p>
        </w:tc>
      </w:tr>
      <w:tr w:rsidR="00624CED" w:rsidRPr="00DB0BD1" w14:paraId="21A13F05" w14:textId="77777777" w:rsidTr="00C5752F">
        <w:trPr>
          <w:jc w:val="center"/>
        </w:trPr>
        <w:tc>
          <w:tcPr>
            <w:tcW w:w="1413" w:type="dxa"/>
          </w:tcPr>
          <w:p w14:paraId="001F54E9" w14:textId="77777777" w:rsidR="00624CED" w:rsidRPr="00DB0BD1" w:rsidRDefault="00624CED" w:rsidP="00624CED">
            <w:pPr>
              <w:jc w:val="center"/>
              <w:rPr>
                <w:rFonts w:ascii="Arial Narrow" w:hAnsi="Arial Narrow"/>
                <w:sz w:val="22"/>
                <w:lang w:val="sk-SK"/>
              </w:rPr>
            </w:pPr>
            <w:r w:rsidRPr="00DB0BD1">
              <w:rPr>
                <w:rFonts w:ascii="Arial Narrow" w:hAnsi="Arial Narrow"/>
                <w:b/>
                <w:bCs/>
                <w:sz w:val="22"/>
                <w:lang w:val="sk-SK"/>
              </w:rPr>
              <w:t>Spolu</w:t>
            </w:r>
          </w:p>
        </w:tc>
        <w:tc>
          <w:tcPr>
            <w:tcW w:w="2268" w:type="dxa"/>
          </w:tcPr>
          <w:p w14:paraId="4D0919CE" w14:textId="329D6EEF" w:rsidR="00624CED" w:rsidRPr="00624CED" w:rsidRDefault="00624CED" w:rsidP="00624CED">
            <w:pPr>
              <w:jc w:val="center"/>
              <w:rPr>
                <w:rFonts w:ascii="Arial Narrow" w:hAnsi="Arial Narrow"/>
                <w:b/>
                <w:bCs/>
                <w:sz w:val="22"/>
                <w:highlight w:val="yellow"/>
                <w:lang w:val="sk-SK"/>
              </w:rPr>
            </w:pPr>
            <w:r>
              <w:rPr>
                <w:rFonts w:ascii="Arial Narrow" w:hAnsi="Arial Narrow"/>
                <w:b/>
                <w:bCs/>
                <w:lang w:val="sk-SK"/>
              </w:rPr>
              <w:t>11</w:t>
            </w:r>
          </w:p>
        </w:tc>
        <w:tc>
          <w:tcPr>
            <w:tcW w:w="2410" w:type="dxa"/>
          </w:tcPr>
          <w:p w14:paraId="712FBF4A" w14:textId="3CF8C16A" w:rsidR="00624CED" w:rsidRPr="00624CED" w:rsidRDefault="00624CED" w:rsidP="00624CED">
            <w:pPr>
              <w:jc w:val="center"/>
              <w:rPr>
                <w:rFonts w:ascii="Arial Narrow" w:hAnsi="Arial Narrow"/>
                <w:sz w:val="22"/>
                <w:highlight w:val="yellow"/>
                <w:lang w:val="sk-SK"/>
              </w:rPr>
            </w:pPr>
            <w:r w:rsidRPr="00BC7E19">
              <w:rPr>
                <w:rFonts w:ascii="Arial Narrow" w:hAnsi="Arial Narrow"/>
                <w:lang w:val="sk-SK"/>
              </w:rPr>
              <w:t>70,6</w:t>
            </w:r>
            <w:r>
              <w:rPr>
                <w:rFonts w:ascii="Arial Narrow" w:hAnsi="Arial Narrow"/>
                <w:lang w:val="sk-SK"/>
              </w:rPr>
              <w:t>2</w:t>
            </w:r>
          </w:p>
        </w:tc>
        <w:tc>
          <w:tcPr>
            <w:tcW w:w="2409" w:type="dxa"/>
          </w:tcPr>
          <w:p w14:paraId="4FCA5EBC" w14:textId="3EAEEC73" w:rsidR="00624CED" w:rsidRPr="00624CED" w:rsidRDefault="00624CED" w:rsidP="00624CED">
            <w:pPr>
              <w:jc w:val="center"/>
              <w:rPr>
                <w:rFonts w:ascii="Arial Narrow" w:hAnsi="Arial Narrow"/>
                <w:sz w:val="22"/>
                <w:highlight w:val="yellow"/>
                <w:lang w:val="sk-SK"/>
              </w:rPr>
            </w:pPr>
            <w:r>
              <w:rPr>
                <w:rFonts w:ascii="Arial Narrow" w:hAnsi="Arial Narrow"/>
                <w:lang w:val="sk-SK"/>
              </w:rPr>
              <w:t>100</w:t>
            </w:r>
          </w:p>
        </w:tc>
      </w:tr>
    </w:tbl>
    <w:p w14:paraId="41FB6BCC" w14:textId="77777777" w:rsidR="00DB0BD1" w:rsidRPr="00DB0BD1" w:rsidRDefault="00DB0BD1" w:rsidP="00DB0BD1">
      <w:pPr>
        <w:jc w:val="both"/>
        <w:rPr>
          <w:rFonts w:ascii="Arial Narrow" w:hAnsi="Arial Narrow"/>
          <w:sz w:val="22"/>
          <w:lang w:val="sk-SK"/>
        </w:rPr>
      </w:pPr>
    </w:p>
    <w:p w14:paraId="656347CD"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Vysvetlivky:</w:t>
      </w:r>
    </w:p>
    <w:p w14:paraId="2CC6636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A</w:t>
      </w:r>
      <w:r w:rsidRPr="00DB0BD1">
        <w:rPr>
          <w:rFonts w:ascii="Calibri" w:hAnsi="Calibri" w:cs="Calibri"/>
          <w:sz w:val="18"/>
          <w:szCs w:val="18"/>
          <w:vertAlign w:val="superscript"/>
          <w:lang w:val="sk-SK" w:eastAsia="sk-SK"/>
        </w:rPr>
        <w:t>1</w:t>
      </w:r>
      <w:r w:rsidRPr="00DB0BD1">
        <w:rPr>
          <w:rFonts w:ascii="Calibri" w:hAnsi="Calibri" w:cs="Calibri"/>
          <w:szCs w:val="20"/>
          <w:lang w:val="sk-SK" w:eastAsia="sk-SK"/>
        </w:rPr>
        <w:t xml:space="preserve">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s možnosťou diaľkového odpočtu, </w:t>
      </w:r>
    </w:p>
    <w:p w14:paraId="51DF6D4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B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bez možnosti diaľkového odpočtu, </w:t>
      </w:r>
    </w:p>
    <w:p w14:paraId="036F61D6"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C - meranie bez </w:t>
      </w:r>
      <w:proofErr w:type="spellStart"/>
      <w:r w:rsidRPr="00DB0BD1">
        <w:rPr>
          <w:rFonts w:ascii="Calibri" w:hAnsi="Calibri" w:cs="Calibri"/>
          <w:szCs w:val="20"/>
          <w:lang w:val="sk-SK" w:eastAsia="sk-SK"/>
        </w:rPr>
        <w:t>priebehového</w:t>
      </w:r>
      <w:proofErr w:type="spellEnd"/>
      <w:r w:rsidRPr="00DB0BD1">
        <w:rPr>
          <w:rFonts w:ascii="Calibri" w:hAnsi="Calibri" w:cs="Calibri"/>
          <w:szCs w:val="20"/>
          <w:lang w:val="sk-SK" w:eastAsia="sk-SK"/>
        </w:rPr>
        <w:t xml:space="preserve"> merania a bez možnosti diaľkového odpočtu. </w:t>
      </w:r>
    </w:p>
    <w:p w14:paraId="6308EE9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68B5D1E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2242437E"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r w:rsidRPr="00DB0BD1">
        <w:rPr>
          <w:rFonts w:ascii="Calibri" w:hAnsi="Calibri" w:cs="Calibri"/>
          <w:szCs w:val="20"/>
          <w:lang w:val="sk-SK" w:eastAsia="sk-SK"/>
        </w:rPr>
        <w:t>Podrobný zoznam odberných miest jednotlivých verejných obstarávateľov je uvedený v prílohe č. 2. - Zoznam odberných miest obsahuje nasledovné údaje: </w:t>
      </w:r>
    </w:p>
    <w:p w14:paraId="6323F191"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názov Odberateľa (+ IČO), </w:t>
      </w:r>
    </w:p>
    <w:p w14:paraId="74F73BBD"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EIC, </w:t>
      </w:r>
    </w:p>
    <w:p w14:paraId="4BBBA95C"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adresu odberného miesta, </w:t>
      </w:r>
    </w:p>
    <w:p w14:paraId="795D173E"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predpokladaný odber (MWh), </w:t>
      </w:r>
    </w:p>
    <w:p w14:paraId="0351AA27"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hodnotu ističa (A)/rezervovanú kapacitu (kW), </w:t>
      </w:r>
    </w:p>
    <w:p w14:paraId="6EF93AC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počet fáz, </w:t>
      </w:r>
    </w:p>
    <w:p w14:paraId="6A502534"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typ merania (A, B, C), </w:t>
      </w:r>
    </w:p>
    <w:p w14:paraId="1FB02F0F"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napäťová úroveň. </w:t>
      </w:r>
    </w:p>
    <w:p w14:paraId="0CB8FE9C" w14:textId="77777777" w:rsidR="008C222B" w:rsidRPr="00D5483B" w:rsidRDefault="008C222B" w:rsidP="008C222B">
      <w:pPr>
        <w:rPr>
          <w:rFonts w:ascii="Calibri" w:hAnsi="Calibri" w:cs="Calibri"/>
          <w:b/>
          <w:bCs/>
          <w:szCs w:val="20"/>
          <w:lang w:val="sk-SK"/>
        </w:rPr>
      </w:pP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4E70536B" w14:textId="7364FE57" w:rsidR="008C222B" w:rsidRPr="00D5483B" w:rsidRDefault="00DB0BD1" w:rsidP="008C222B">
      <w:pPr>
        <w:jc w:val="center"/>
        <w:rPr>
          <w:rFonts w:ascii="Calibri" w:hAnsi="Calibri" w:cs="Calibri"/>
          <w:b/>
          <w:bCs/>
          <w:szCs w:val="20"/>
          <w:lang w:val="sk-SK"/>
        </w:rPr>
      </w:pPr>
      <w:r>
        <w:rPr>
          <w:rFonts w:ascii="Calibri" w:hAnsi="Calibri" w:cs="Calibri"/>
          <w:b/>
          <w:bCs/>
          <w:szCs w:val="20"/>
          <w:lang w:val="sk-SK"/>
        </w:rPr>
        <w:lastRenderedPageBreak/>
        <w:t>Prí</w:t>
      </w:r>
      <w:r w:rsidR="008C222B" w:rsidRPr="00D5483B">
        <w:rPr>
          <w:rFonts w:ascii="Calibri" w:hAnsi="Calibri" w:cs="Calibri"/>
          <w:b/>
          <w:bCs/>
          <w:szCs w:val="20"/>
          <w:lang w:val="sk-SK"/>
        </w:rPr>
        <w:t>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Odsekzoznamu"/>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Odsekzoznamu"/>
        <w:ind w:left="0"/>
        <w:jc w:val="both"/>
        <w:rPr>
          <w:rFonts w:ascii="Calibri" w:hAnsi="Calibri" w:cs="Calibri"/>
          <w:szCs w:val="20"/>
          <w:lang w:val="sk-SK"/>
        </w:rPr>
      </w:pPr>
    </w:p>
    <w:bookmarkEnd w:id="18"/>
    <w:p w14:paraId="2AB8742A" w14:textId="35A0C22D" w:rsidR="00EB7B07" w:rsidRPr="00D5483B" w:rsidRDefault="00EB7B07"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Default="008C222B" w:rsidP="005213D0">
      <w:pPr>
        <w:jc w:val="center"/>
        <w:rPr>
          <w:rFonts w:ascii="Calibri" w:hAnsi="Calibri" w:cs="Calibri"/>
          <w:b/>
          <w:bCs/>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45B7833D" w14:textId="77777777" w:rsidR="00DB0BD1" w:rsidRDefault="00DB0BD1" w:rsidP="005213D0">
      <w:pPr>
        <w:jc w:val="center"/>
        <w:rPr>
          <w:rFonts w:ascii="Calibri" w:hAnsi="Calibri" w:cs="Calibri"/>
          <w:b/>
          <w:bCs/>
          <w:szCs w:val="20"/>
          <w:lang w:val="sk-SK"/>
        </w:rPr>
      </w:pPr>
    </w:p>
    <w:p w14:paraId="2BD2CF71" w14:textId="77777777" w:rsidR="00DB0BD1" w:rsidRPr="00D5483B" w:rsidRDefault="00DB0BD1" w:rsidP="005213D0">
      <w:pPr>
        <w:jc w:val="center"/>
        <w:rPr>
          <w:rFonts w:ascii="Calibri" w:hAnsi="Calibri" w:cs="Calibri"/>
          <w:b/>
          <w:szCs w:val="20"/>
          <w:lang w:val="sk-SK"/>
        </w:rPr>
      </w:pPr>
    </w:p>
    <w:p w14:paraId="141F9C1B" w14:textId="6A884E1D" w:rsidR="008C222B" w:rsidRPr="00D5483B" w:rsidRDefault="008C222B" w:rsidP="008C222B">
      <w:pPr>
        <w:jc w:val="center"/>
        <w:rPr>
          <w:rFonts w:ascii="Calibri" w:hAnsi="Calibri" w:cs="Calibri"/>
          <w:b/>
          <w:bCs/>
          <w:szCs w:val="20"/>
          <w:lang w:val="sk-SK"/>
        </w:rPr>
      </w:pPr>
    </w:p>
    <w:tbl>
      <w:tblPr>
        <w:tblStyle w:val="Mriekatabuky"/>
        <w:tblW w:w="0" w:type="auto"/>
        <w:jc w:val="center"/>
        <w:tblLook w:val="04A0" w:firstRow="1" w:lastRow="0" w:firstColumn="1" w:lastColumn="0" w:noHBand="0" w:noVBand="1"/>
      </w:tblPr>
      <w:tblGrid>
        <w:gridCol w:w="5240"/>
        <w:gridCol w:w="2977"/>
      </w:tblGrid>
      <w:tr w:rsidR="00DB0BD1" w:rsidRPr="000C494C" w14:paraId="68882CE7" w14:textId="77777777" w:rsidTr="00C5752F">
        <w:trPr>
          <w:jc w:val="center"/>
        </w:trPr>
        <w:tc>
          <w:tcPr>
            <w:tcW w:w="5240" w:type="dxa"/>
            <w:shd w:val="clear" w:color="auto" w:fill="F2F2F2" w:themeFill="background1" w:themeFillShade="F2"/>
            <w:vAlign w:val="center"/>
          </w:tcPr>
          <w:p w14:paraId="79674D76" w14:textId="77777777" w:rsidR="00DB0BD1" w:rsidRPr="00F11110" w:rsidRDefault="00DB0BD1" w:rsidP="00C5752F">
            <w:pPr>
              <w:rPr>
                <w:rFonts w:ascii="Arial Narrow" w:hAnsi="Arial Narrow"/>
                <w:b/>
                <w:bCs/>
                <w:lang w:val="sk-SK"/>
              </w:rPr>
            </w:pPr>
            <w:bookmarkStart w:id="22" w:name="_Hlk103841749"/>
            <w:r w:rsidRPr="00F11110">
              <w:rPr>
                <w:rFonts w:ascii="Arial Narrow" w:hAnsi="Arial Narrow"/>
                <w:b/>
                <w:bCs/>
                <w:lang w:val="sk-SK"/>
              </w:rPr>
              <w:t>Špecifikácia ceny</w:t>
            </w:r>
          </w:p>
        </w:tc>
        <w:tc>
          <w:tcPr>
            <w:tcW w:w="2977" w:type="dxa"/>
            <w:shd w:val="clear" w:color="auto" w:fill="F2F2F2" w:themeFill="background1" w:themeFillShade="F2"/>
            <w:vAlign w:val="center"/>
          </w:tcPr>
          <w:p w14:paraId="0B139FD5" w14:textId="77777777" w:rsidR="00DB0BD1" w:rsidRDefault="00DB0BD1" w:rsidP="00C5752F">
            <w:pPr>
              <w:jc w:val="center"/>
              <w:rPr>
                <w:rFonts w:ascii="Arial Narrow" w:hAnsi="Arial Narrow"/>
                <w:b/>
                <w:bCs/>
                <w:lang w:val="sk-SK"/>
              </w:rPr>
            </w:pPr>
            <w:r w:rsidRPr="00F11110">
              <w:rPr>
                <w:rFonts w:ascii="Arial Narrow" w:hAnsi="Arial Narrow"/>
                <w:b/>
                <w:bCs/>
                <w:lang w:val="sk-SK"/>
              </w:rPr>
              <w:t xml:space="preserve">Jednotková cena </w:t>
            </w:r>
            <w:r>
              <w:rPr>
                <w:rFonts w:ascii="Arial Narrow" w:hAnsi="Arial Narrow"/>
                <w:b/>
                <w:bCs/>
                <w:lang w:val="sk-SK"/>
              </w:rPr>
              <w:t>aditíva</w:t>
            </w:r>
          </w:p>
          <w:p w14:paraId="0AE75A84" w14:textId="77777777" w:rsidR="00DB0BD1" w:rsidRPr="00F11110" w:rsidRDefault="00DB0BD1" w:rsidP="00C5752F">
            <w:pPr>
              <w:jc w:val="center"/>
              <w:rPr>
                <w:rFonts w:ascii="Arial Narrow" w:hAnsi="Arial Narrow"/>
                <w:b/>
                <w:bCs/>
                <w:lang w:val="sk-SK"/>
              </w:rPr>
            </w:pPr>
            <w:r w:rsidRPr="00F11110">
              <w:rPr>
                <w:rFonts w:ascii="Arial Narrow" w:hAnsi="Arial Narrow"/>
                <w:b/>
                <w:bCs/>
                <w:lang w:val="sk-SK"/>
              </w:rPr>
              <w:t>v</w:t>
            </w:r>
            <w:r>
              <w:rPr>
                <w:rFonts w:ascii="Arial Narrow" w:hAnsi="Arial Narrow"/>
                <w:b/>
                <w:bCs/>
                <w:lang w:val="sk-SK"/>
              </w:rPr>
              <w:t> </w:t>
            </w:r>
            <w:r w:rsidRPr="00F11110">
              <w:rPr>
                <w:rFonts w:ascii="Arial Narrow" w:hAnsi="Arial Narrow"/>
                <w:b/>
                <w:bCs/>
                <w:lang w:val="sk-SK"/>
              </w:rPr>
              <w:t>EUR</w:t>
            </w:r>
            <w:r>
              <w:rPr>
                <w:rFonts w:ascii="Arial Narrow" w:hAnsi="Arial Narrow"/>
                <w:b/>
                <w:bCs/>
                <w:lang w:val="sk-SK"/>
              </w:rPr>
              <w:t>/MWh</w:t>
            </w:r>
            <w:r w:rsidRPr="00F11110">
              <w:rPr>
                <w:rFonts w:ascii="Arial Narrow" w:hAnsi="Arial Narrow"/>
                <w:b/>
                <w:bCs/>
                <w:lang w:val="sk-SK"/>
              </w:rPr>
              <w:t xml:space="preserve"> bez DPH</w:t>
            </w:r>
          </w:p>
        </w:tc>
      </w:tr>
      <w:tr w:rsidR="00DB0BD1" w:rsidRPr="000C494C" w14:paraId="46E7DD54" w14:textId="77777777" w:rsidTr="00C5752F">
        <w:trPr>
          <w:trHeight w:val="443"/>
          <w:jc w:val="center"/>
        </w:trPr>
        <w:tc>
          <w:tcPr>
            <w:tcW w:w="5240" w:type="dxa"/>
            <w:vAlign w:val="center"/>
          </w:tcPr>
          <w:p w14:paraId="4B2F878A" w14:textId="77777777" w:rsidR="00DB0BD1" w:rsidRPr="00F11110" w:rsidRDefault="00DB0BD1" w:rsidP="00C5752F">
            <w:pPr>
              <w:rPr>
                <w:rFonts w:ascii="Arial Narrow" w:hAnsi="Arial Narrow"/>
                <w:b/>
                <w:bCs/>
                <w:lang w:val="sk-SK"/>
              </w:rPr>
            </w:pPr>
            <w:r w:rsidRPr="00F11110">
              <w:rPr>
                <w:rFonts w:ascii="Arial Narrow" w:hAnsi="Arial Narrow"/>
                <w:b/>
                <w:bCs/>
                <w:lang w:val="sk-SK"/>
              </w:rPr>
              <w:t>Cena za</w:t>
            </w:r>
            <w:r>
              <w:rPr>
                <w:rFonts w:ascii="Arial Narrow" w:hAnsi="Arial Narrow"/>
                <w:b/>
                <w:bCs/>
                <w:lang w:val="sk-SK"/>
              </w:rPr>
              <w:t xml:space="preserve"> dodávku elektriny</w:t>
            </w:r>
            <w:r w:rsidRPr="00F11110">
              <w:rPr>
                <w:rFonts w:ascii="Arial Narrow" w:hAnsi="Arial Narrow"/>
                <w:b/>
                <w:bCs/>
                <w:lang w:val="sk-SK"/>
              </w:rPr>
              <w:t xml:space="preserve"> </w:t>
            </w:r>
          </w:p>
        </w:tc>
        <w:tc>
          <w:tcPr>
            <w:tcW w:w="2977" w:type="dxa"/>
          </w:tcPr>
          <w:p w14:paraId="796F8901" w14:textId="77777777" w:rsidR="00DB0BD1" w:rsidRPr="00F11110" w:rsidRDefault="00DB0BD1" w:rsidP="00C5752F">
            <w:pPr>
              <w:jc w:val="center"/>
              <w:rPr>
                <w:rFonts w:ascii="Arial Narrow" w:hAnsi="Arial Narrow"/>
                <w:b/>
                <w:bCs/>
                <w:lang w:val="sk-SK"/>
              </w:rPr>
            </w:pPr>
          </w:p>
        </w:tc>
      </w:tr>
      <w:bookmarkEnd w:id="22"/>
    </w:tbl>
    <w:p w14:paraId="7631C35B" w14:textId="3A144565" w:rsidR="00DB0BD1" w:rsidRDefault="00DB0BD1">
      <w:pPr>
        <w:widowControl/>
        <w:autoSpaceDE/>
        <w:autoSpaceDN/>
        <w:rPr>
          <w:rFonts w:ascii="Calibri" w:hAnsi="Calibri" w:cs="Calibri"/>
          <w:b/>
          <w:bCs/>
          <w:szCs w:val="20"/>
          <w:lang w:val="sk-SK"/>
        </w:rPr>
      </w:pPr>
      <w:r>
        <w:rPr>
          <w:rFonts w:ascii="Calibri" w:hAnsi="Calibri" w:cs="Calibri"/>
          <w:b/>
          <w:bCs/>
          <w:szCs w:val="20"/>
          <w:lang w:val="sk-SK"/>
        </w:rPr>
        <w:br w:type="page"/>
      </w:r>
    </w:p>
    <w:p w14:paraId="36B6F3D5" w14:textId="77777777" w:rsidR="004A013D" w:rsidRPr="00D5483B" w:rsidRDefault="004A013D">
      <w:pPr>
        <w:widowControl/>
        <w:autoSpaceDE/>
        <w:autoSpaceDN/>
        <w:rPr>
          <w:rFonts w:ascii="Calibri" w:hAnsi="Calibri" w:cs="Calibri"/>
          <w:b/>
          <w:bCs/>
          <w:szCs w:val="20"/>
          <w:lang w:val="sk-SK"/>
        </w:rPr>
      </w:pP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3"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3"/>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24B62188" w:rsidR="0077705E" w:rsidRDefault="0077705E">
      <w:pPr>
        <w:widowControl/>
        <w:autoSpaceDE/>
        <w:autoSpaceDN/>
        <w:rPr>
          <w:rFonts w:ascii="Calibri" w:hAnsi="Calibri" w:cs="Calibri"/>
          <w:szCs w:val="20"/>
          <w:lang w:val="sk-SK"/>
        </w:rPr>
      </w:pPr>
    </w:p>
    <w:p w14:paraId="44F97B1D" w14:textId="77777777" w:rsidR="00DB0BD1" w:rsidRPr="002C21D4" w:rsidRDefault="00DB0BD1" w:rsidP="00DB0BD1">
      <w:pPr>
        <w:jc w:val="both"/>
        <w:rPr>
          <w:rFonts w:ascii="Arial Narrow" w:hAnsi="Arial Narrow"/>
          <w:lang w:val="sk-SK"/>
        </w:rPr>
      </w:pPr>
      <w:r w:rsidRPr="002C21D4">
        <w:rPr>
          <w:rFonts w:ascii="Arial Narrow" w:hAnsi="Arial Narrow"/>
          <w:lang w:val="sk-SK"/>
        </w:rPr>
        <w:t xml:space="preserve">Údaje o všetkých známych subdodávateľoch poskytovateľa, ktorí sú známi v čase predkladania ponuky a údaje o osobe    </w:t>
      </w:r>
    </w:p>
    <w:p w14:paraId="31F4F169" w14:textId="5281BBDC" w:rsidR="00DB0BD1" w:rsidRDefault="00DB0BD1" w:rsidP="00DB0BD1">
      <w:pPr>
        <w:jc w:val="both"/>
        <w:rPr>
          <w:rFonts w:ascii="Arial Narrow" w:hAnsi="Arial Narrow"/>
          <w:lang w:val="sk-SK"/>
        </w:rPr>
      </w:pPr>
      <w:r w:rsidRPr="002C21D4">
        <w:rPr>
          <w:rFonts w:ascii="Arial Narrow" w:hAnsi="Arial Narrow"/>
          <w:lang w:val="sk-SK"/>
        </w:rPr>
        <w:t>oprávnenej konať za subdodávateľa v rozsahu meno a priezvisko, adresa pobytu, dátum narodenia:</w:t>
      </w:r>
    </w:p>
    <w:p w14:paraId="08A2A267" w14:textId="77777777" w:rsidR="00DB0BD1" w:rsidRPr="002C21D4" w:rsidRDefault="00DB0BD1" w:rsidP="00DB0BD1">
      <w:pPr>
        <w:jc w:val="both"/>
        <w:rPr>
          <w:rFonts w:ascii="Arial Narrow" w:hAnsi="Arial Narrow"/>
          <w:lang w:val="sk-SK"/>
        </w:rPr>
      </w:pPr>
    </w:p>
    <w:p w14:paraId="1CDE15E0" w14:textId="77777777" w:rsidR="00DB0BD1" w:rsidRPr="002C21D4" w:rsidRDefault="00DB0BD1" w:rsidP="00DB0BD1">
      <w:pPr>
        <w:jc w:val="both"/>
        <w:rPr>
          <w:rFonts w:ascii="Arial Narrow" w:hAnsi="Arial Narrow"/>
          <w:lang w:val="sk-SK"/>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DB0BD1" w:rsidRPr="000C494C" w14:paraId="7E13ABAC"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77777777" w:rsidR="00DB0BD1" w:rsidRPr="002C21D4" w:rsidRDefault="00DB0BD1" w:rsidP="00C5752F">
            <w:pPr>
              <w:jc w:val="both"/>
              <w:rPr>
                <w:rFonts w:ascii="Arial Narrow" w:hAnsi="Arial Narrow" w:cs="Calibri"/>
                <w:b/>
                <w:bCs/>
                <w:color w:val="000000"/>
                <w:lang w:val="sk-SK" w:eastAsia="sk-SK"/>
              </w:rPr>
            </w:pPr>
            <w:r w:rsidRPr="002C21D4">
              <w:rPr>
                <w:rFonts w:ascii="Arial Narrow" w:hAnsi="Arial Narrow" w:cs="Calibri"/>
                <w:b/>
                <w:bCs/>
                <w:color w:val="000000"/>
                <w:lang w:val="sk-SK" w:eastAsia="sk-SK"/>
              </w:rPr>
              <w:t>Údaje o osobe oprávnenej konať za subdodávateľa v rozsahu meno a priezvisko, adresa pobytu, dátum narodenia</w:t>
            </w:r>
          </w:p>
        </w:tc>
      </w:tr>
      <w:tr w:rsidR="00DB0BD1" w:rsidRPr="000C494C" w14:paraId="3313A087"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53ADD7D3" w14:textId="77777777" w:rsidR="00DB0BD1" w:rsidRPr="002C21D4" w:rsidRDefault="00DB0BD1" w:rsidP="00C5752F">
            <w:pPr>
              <w:rPr>
                <w:rFonts w:ascii="Arial Narrow" w:hAnsi="Arial Narrow" w:cs="Calibri"/>
                <w:color w:val="000000"/>
                <w:lang w:val="sk-SK" w:eastAsia="sk-SK"/>
              </w:rPr>
            </w:pPr>
          </w:p>
        </w:tc>
        <w:tc>
          <w:tcPr>
            <w:tcW w:w="2409" w:type="dxa"/>
            <w:tcBorders>
              <w:top w:val="single" w:sz="6" w:space="0" w:color="A6A6A6" w:themeColor="background1" w:themeShade="A6"/>
            </w:tcBorders>
            <w:shd w:val="clear" w:color="auto" w:fill="auto"/>
            <w:vAlign w:val="center"/>
            <w:hideMark/>
          </w:tcPr>
          <w:p w14:paraId="4F3D9AAF" w14:textId="77777777" w:rsidR="00DB0BD1" w:rsidRPr="002C21D4" w:rsidRDefault="00DB0BD1" w:rsidP="00C5752F">
            <w:pPr>
              <w:rPr>
                <w:rFonts w:ascii="Arial Narrow" w:hAnsi="Arial Narrow" w:cs="Calibri"/>
                <w:color w:val="000000"/>
                <w:lang w:val="sk-SK" w:eastAsia="sk-SK"/>
              </w:rPr>
            </w:pPr>
          </w:p>
        </w:tc>
        <w:tc>
          <w:tcPr>
            <w:tcW w:w="1480" w:type="dxa"/>
            <w:tcBorders>
              <w:top w:val="single" w:sz="6" w:space="0" w:color="A6A6A6" w:themeColor="background1" w:themeShade="A6"/>
            </w:tcBorders>
            <w:shd w:val="clear" w:color="auto" w:fill="auto"/>
            <w:vAlign w:val="center"/>
            <w:hideMark/>
          </w:tcPr>
          <w:p w14:paraId="09640E09" w14:textId="77777777" w:rsidR="00DB0BD1" w:rsidRPr="002C21D4" w:rsidRDefault="00DB0BD1" w:rsidP="00C5752F">
            <w:pPr>
              <w:rPr>
                <w:rFonts w:ascii="Arial Narrow" w:hAnsi="Arial Narrow" w:cs="Calibri"/>
                <w:color w:val="000000"/>
                <w:lang w:val="sk-SK" w:eastAsia="sk-SK"/>
              </w:rPr>
            </w:pPr>
          </w:p>
        </w:tc>
        <w:tc>
          <w:tcPr>
            <w:tcW w:w="3056" w:type="dxa"/>
            <w:tcBorders>
              <w:top w:val="single" w:sz="6" w:space="0" w:color="A6A6A6" w:themeColor="background1" w:themeShade="A6"/>
            </w:tcBorders>
            <w:vAlign w:val="center"/>
          </w:tcPr>
          <w:p w14:paraId="5E7B164E" w14:textId="77777777" w:rsidR="00DB0BD1" w:rsidRPr="002C21D4" w:rsidRDefault="00DB0BD1" w:rsidP="00C5752F">
            <w:pPr>
              <w:rPr>
                <w:rFonts w:ascii="Arial Narrow" w:hAnsi="Arial Narrow" w:cs="Calibri"/>
                <w:iCs/>
                <w:color w:val="000000"/>
                <w:lang w:val="sk-SK" w:eastAsia="sk-SK"/>
              </w:rPr>
            </w:pPr>
          </w:p>
        </w:tc>
      </w:tr>
    </w:tbl>
    <w:p w14:paraId="4C984272" w14:textId="19B4D4F6" w:rsidR="00DB0BD1" w:rsidRDefault="00DB0BD1">
      <w:pPr>
        <w:widowControl/>
        <w:autoSpaceDE/>
        <w:autoSpaceDN/>
        <w:rPr>
          <w:rFonts w:ascii="Calibri" w:hAnsi="Calibri" w:cs="Calibri"/>
          <w:szCs w:val="20"/>
          <w:lang w:val="sk-SK"/>
        </w:rPr>
      </w:pPr>
      <w:r>
        <w:rPr>
          <w:rFonts w:ascii="Calibri" w:hAnsi="Calibri" w:cs="Calibri"/>
          <w:szCs w:val="20"/>
          <w:lang w:val="sk-SK"/>
        </w:rPr>
        <w:br w:type="page"/>
      </w:r>
    </w:p>
    <w:p w14:paraId="495AA973" w14:textId="77777777" w:rsidR="00DB0BD1" w:rsidRPr="00D5483B" w:rsidRDefault="00DB0BD1">
      <w:pPr>
        <w:widowControl/>
        <w:autoSpaceDE/>
        <w:autoSpaceDN/>
        <w:rPr>
          <w:rFonts w:ascii="Calibri" w:hAnsi="Calibri" w:cs="Calibri"/>
          <w:szCs w:val="20"/>
          <w:lang w:val="sk-SK"/>
        </w:rPr>
      </w:pPr>
    </w:p>
    <w:p w14:paraId="1494C5D7" w14:textId="30EA495C" w:rsidR="0077705E" w:rsidRPr="00D5483B" w:rsidRDefault="0077705E" w:rsidP="0077705E">
      <w:pPr>
        <w:jc w:val="center"/>
        <w:rPr>
          <w:rFonts w:ascii="Calibri" w:hAnsi="Calibri" w:cs="Calibri"/>
          <w:b/>
          <w:bCs/>
          <w:szCs w:val="20"/>
          <w:lang w:val="sk-SK"/>
        </w:rPr>
      </w:pPr>
      <w:bookmarkStart w:id="24" w:name="OLE_LINK83"/>
      <w:r w:rsidRPr="00D5483B">
        <w:rPr>
          <w:rFonts w:ascii="Calibri" w:hAnsi="Calibri" w:cs="Calibri"/>
          <w:b/>
          <w:bCs/>
          <w:szCs w:val="20"/>
          <w:lang w:val="sk-SK"/>
        </w:rPr>
        <w:t>Príloha č. 6</w:t>
      </w:r>
    </w:p>
    <w:p w14:paraId="4306E4C8" w14:textId="77777777" w:rsidR="00D37318" w:rsidRPr="00D5483B" w:rsidRDefault="00D37318" w:rsidP="00C92635">
      <w:pPr>
        <w:jc w:val="center"/>
        <w:rPr>
          <w:rFonts w:ascii="Calibri" w:hAnsi="Calibri" w:cs="Calibri"/>
          <w:b/>
          <w:bCs/>
          <w:szCs w:val="20"/>
          <w:lang w:val="sk-SK"/>
        </w:rPr>
      </w:pPr>
      <w:bookmarkStart w:id="25"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5"/>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6"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6"/>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2C97697A"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7"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7"/>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proofErr w:type="spellStart"/>
      <w:r w:rsidR="0054001E" w:rsidRPr="00D5483B">
        <w:rPr>
          <w:rFonts w:cs="Calibri"/>
          <w:color w:val="000000"/>
          <w:szCs w:val="20"/>
          <w:lang w:val="sk-SK" w:eastAsia="cs-CZ" w:bidi="cs-CZ"/>
        </w:rPr>
        <w:t>t.j</w:t>
      </w:r>
      <w:proofErr w:type="spellEnd"/>
      <w:r w:rsidR="0054001E" w:rsidRPr="00D5483B">
        <w:rPr>
          <w:rFonts w:cs="Calibri"/>
          <w:color w:val="000000"/>
          <w:szCs w:val="20"/>
          <w:lang w:val="sk-SK" w:eastAsia="cs-CZ" w:bidi="cs-CZ"/>
        </w:rPr>
        <w:t xml:space="preserve">.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0950721C"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do 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5EAE9923"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4"/>
      <w:r w:rsidR="002C151A" w:rsidRPr="00D5483B">
        <w:rPr>
          <w:rFonts w:cs="Calibri"/>
          <w:szCs w:val="20"/>
          <w:lang w:val="sk-SK"/>
        </w:rPr>
        <w:t>.</w:t>
      </w:r>
      <w:r w:rsidR="00317B71" w:rsidRPr="00D5483B">
        <w:rPr>
          <w:rFonts w:cs="Calibri"/>
          <w:color w:val="FF0000"/>
          <w:szCs w:val="20"/>
          <w:lang w:val="sk-SK"/>
        </w:rPr>
        <w:t xml:space="preserve"> </w:t>
      </w:r>
      <w:bookmarkStart w:id="28"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9"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8"/>
      <w:bookmarkEnd w:id="29"/>
    </w:p>
    <w:p w14:paraId="3D8E706D" w14:textId="14C7198A"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30"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D5483B">
        <w:rPr>
          <w:rFonts w:cs="Calibri"/>
          <w:noProof/>
          <w:szCs w:val="20"/>
          <w:lang w:val="sk-SK" w:eastAsia="cs-CZ" w:bidi="cs-CZ"/>
        </w:rPr>
        <w:t>1</w:t>
      </w:r>
      <w:r w:rsidRPr="00D5483B">
        <w:rPr>
          <w:rFonts w:cs="Calibri"/>
          <w:szCs w:val="20"/>
          <w:lang w:val="sk-SK" w:eastAsia="cs-CZ" w:bidi="cs-CZ"/>
        </w:rPr>
        <w:fldChar w:fldCharType="end"/>
      </w:r>
      <w:bookmarkStart w:id="31" w:name="_Ref115343337"/>
      <w:r w:rsidRPr="00D5483B">
        <w:rPr>
          <w:rFonts w:cs="Calibri"/>
          <w:szCs w:val="20"/>
          <w:lang w:val="sk-SK" w:eastAsia="cs-CZ" w:bidi="cs-CZ"/>
        </w:rPr>
        <w:t xml:space="preserve"> - Prehľad Preddavkov</w:t>
      </w:r>
      <w:bookmarkEnd w:id="30"/>
      <w:bookmarkEnd w:id="3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1"/>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18"/>
  </w:num>
  <w:num w:numId="2" w16cid:durableId="188448308">
    <w:abstractNumId w:val="23"/>
  </w:num>
  <w:num w:numId="3" w16cid:durableId="773551550">
    <w:abstractNumId w:val="5"/>
  </w:num>
  <w:num w:numId="4" w16cid:durableId="1414015038">
    <w:abstractNumId w:val="1"/>
  </w:num>
  <w:num w:numId="5" w16cid:durableId="188302564">
    <w:abstractNumId w:val="11"/>
  </w:num>
  <w:num w:numId="6" w16cid:durableId="653678443">
    <w:abstractNumId w:val="10"/>
  </w:num>
  <w:num w:numId="7" w16cid:durableId="1355768912">
    <w:abstractNumId w:val="22"/>
  </w:num>
  <w:num w:numId="8" w16cid:durableId="202838677">
    <w:abstractNumId w:val="26"/>
  </w:num>
  <w:num w:numId="9" w16cid:durableId="294064600">
    <w:abstractNumId w:val="25"/>
  </w:num>
  <w:num w:numId="10" w16cid:durableId="1353536655">
    <w:abstractNumId w:val="17"/>
  </w:num>
  <w:num w:numId="11" w16cid:durableId="1114596022">
    <w:abstractNumId w:val="20"/>
  </w:num>
  <w:num w:numId="12" w16cid:durableId="2029019473">
    <w:abstractNumId w:val="6"/>
  </w:num>
  <w:num w:numId="13" w16cid:durableId="1729376544">
    <w:abstractNumId w:val="7"/>
  </w:num>
  <w:num w:numId="14" w16cid:durableId="662271022">
    <w:abstractNumId w:val="13"/>
  </w:num>
  <w:num w:numId="15" w16cid:durableId="10497414">
    <w:abstractNumId w:val="9"/>
  </w:num>
  <w:num w:numId="16" w16cid:durableId="1055469740">
    <w:abstractNumId w:val="24"/>
  </w:num>
  <w:num w:numId="17" w16cid:durableId="245305785">
    <w:abstractNumId w:val="15"/>
  </w:num>
  <w:num w:numId="18" w16cid:durableId="777531245">
    <w:abstractNumId w:val="3"/>
  </w:num>
  <w:num w:numId="19" w16cid:durableId="298536685">
    <w:abstractNumId w:val="21"/>
  </w:num>
  <w:num w:numId="20" w16cid:durableId="698505989">
    <w:abstractNumId w:val="14"/>
  </w:num>
  <w:num w:numId="21" w16cid:durableId="1598096749">
    <w:abstractNumId w:val="4"/>
  </w:num>
  <w:num w:numId="22" w16cid:durableId="1537815857">
    <w:abstractNumId w:val="19"/>
  </w:num>
  <w:num w:numId="23" w16cid:durableId="195235842">
    <w:abstractNumId w:val="0"/>
  </w:num>
  <w:num w:numId="24" w16cid:durableId="238487198">
    <w:abstractNumId w:val="28"/>
  </w:num>
  <w:num w:numId="25" w16cid:durableId="2006276063">
    <w:abstractNumId w:val="27"/>
  </w:num>
  <w:num w:numId="26" w16cid:durableId="705178451">
    <w:abstractNumId w:val="12"/>
  </w:num>
  <w:num w:numId="27" w16cid:durableId="1742363860">
    <w:abstractNumId w:val="16"/>
  </w:num>
  <w:num w:numId="28" w16cid:durableId="2013989724">
    <w:abstractNumId w:val="2"/>
  </w:num>
  <w:num w:numId="29" w16cid:durableId="67148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3651B"/>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24CED"/>
    <w:rsid w:val="00650B3E"/>
    <w:rsid w:val="00651ED6"/>
    <w:rsid w:val="0067774B"/>
    <w:rsid w:val="00697951"/>
    <w:rsid w:val="006B5842"/>
    <w:rsid w:val="006E184A"/>
    <w:rsid w:val="006E2755"/>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7F4C6B"/>
    <w:rsid w:val="0081572E"/>
    <w:rsid w:val="008453D3"/>
    <w:rsid w:val="008C222B"/>
    <w:rsid w:val="008E4C71"/>
    <w:rsid w:val="00902695"/>
    <w:rsid w:val="0093743F"/>
    <w:rsid w:val="00955A24"/>
    <w:rsid w:val="00967096"/>
    <w:rsid w:val="00976AED"/>
    <w:rsid w:val="009771A5"/>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B0BD1"/>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0AB7"/>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5242</Words>
  <Characters>29882</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Veronika Sestakova</cp:lastModifiedBy>
  <cp:revision>11</cp:revision>
  <dcterms:created xsi:type="dcterms:W3CDTF">2022-10-03T07:07:00Z</dcterms:created>
  <dcterms:modified xsi:type="dcterms:W3CDTF">2023-11-16T14:36:00Z</dcterms:modified>
</cp:coreProperties>
</file>