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„Konserwacja urządzeń oświetlenia ulicznego będących własnością Gminy Andrychów”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4</w:t>
      </w:r>
      <w:r>
        <w:rPr>
          <w:rFonts w:cs="Calibri"/>
          <w:sz w:val="26"/>
          <w:szCs w:val="26"/>
          <w:shd w:fill="auto" w:val="clear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/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LibreOffice/7.3.5.2$Windows_X86_64 LibreOffice_project/184fe81b8c8c30d8b5082578aee2fed2ea847c01</Application>
  <AppVersion>15.0000</AppVersion>
  <Pages>2</Pages>
  <Words>175</Words>
  <Characters>1347</Characters>
  <CharactersWithSpaces>1501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2024-02-01T09:43:50Z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