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5E5FAA11"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0425EF">
        <w:rPr>
          <w:b/>
          <w:sz w:val="28"/>
          <w:szCs w:val="28"/>
          <w:highlight w:val="yellow"/>
        </w:rPr>
        <w:t>1</w:t>
      </w:r>
      <w:r w:rsidR="00FF5E5B" w:rsidRPr="00FF5E5B">
        <w:rPr>
          <w:b/>
          <w:sz w:val="28"/>
          <w:szCs w:val="28"/>
          <w:highlight w:val="yellow"/>
        </w:rPr>
        <w:t>/32</w:t>
      </w:r>
      <w:r w:rsidR="000425EF">
        <w:rPr>
          <w:b/>
          <w:sz w:val="28"/>
          <w:szCs w:val="28"/>
          <w:highlight w:val="yellow"/>
        </w:rPr>
        <w:t>72</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2153089"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425EF" w:rsidRPr="000425EF">
        <w:rPr>
          <w:b/>
          <w:i/>
          <w:sz w:val="24"/>
          <w:szCs w:val="24"/>
          <w:highlight w:val="yellow"/>
        </w:rPr>
        <w:t>Šariš</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38A2D972"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536">
        <w:rPr>
          <w:b/>
          <w:sz w:val="24"/>
          <w:szCs w:val="24"/>
          <w:highlight w:val="yellow"/>
        </w:rPr>
        <w:t>30</w:t>
      </w:r>
      <w:bookmarkStart w:id="0" w:name="_GoBack"/>
      <w:bookmarkEnd w:id="0"/>
      <w:r w:rsidR="007F5B88" w:rsidRPr="00370F83">
        <w:rPr>
          <w:b/>
          <w:sz w:val="24"/>
          <w:szCs w:val="24"/>
          <w:highlight w:val="yellow"/>
        </w:rPr>
        <w:t>.</w:t>
      </w:r>
      <w:r w:rsidR="00B7021C">
        <w:rPr>
          <w:b/>
          <w:sz w:val="24"/>
          <w:szCs w:val="24"/>
          <w:highlight w:val="yellow"/>
        </w:rPr>
        <w:t>1</w:t>
      </w:r>
      <w:r w:rsidR="000425EF">
        <w:rPr>
          <w:b/>
          <w:sz w:val="24"/>
          <w:szCs w:val="24"/>
          <w:highlight w:val="yellow"/>
        </w:rPr>
        <w:t>1</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E110" w14:textId="77777777" w:rsidR="00100D0B" w:rsidRDefault="00100D0B" w:rsidP="008F1132">
      <w:r>
        <w:separator/>
      </w:r>
    </w:p>
  </w:endnote>
  <w:endnote w:type="continuationSeparator" w:id="0">
    <w:p w14:paraId="7A8CAFFA" w14:textId="77777777" w:rsidR="00100D0B" w:rsidRDefault="00100D0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1536">
      <w:rPr>
        <w:rStyle w:val="slostrany"/>
        <w:noProof/>
      </w:rPr>
      <w:t>3</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8E5E" w14:textId="77777777" w:rsidR="00100D0B" w:rsidRDefault="00100D0B" w:rsidP="008F1132">
      <w:r>
        <w:separator/>
      </w:r>
    </w:p>
  </w:footnote>
  <w:footnote w:type="continuationSeparator" w:id="0">
    <w:p w14:paraId="57EEF5B5" w14:textId="77777777" w:rsidR="00100D0B" w:rsidRDefault="00100D0B"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5EF"/>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0D0B"/>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EC0"/>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536"/>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190F"/>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82"/>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3502"/>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B6673"/>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B86A-AEB3-4B02-9D1A-1ECF4B64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6056</Words>
  <Characters>34524</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18</cp:revision>
  <cp:lastPrinted>2019-03-19T09:49:00Z</cp:lastPrinted>
  <dcterms:created xsi:type="dcterms:W3CDTF">2019-03-19T11:58:00Z</dcterms:created>
  <dcterms:modified xsi:type="dcterms:W3CDTF">2019-10-24T10:34:00Z</dcterms:modified>
</cp:coreProperties>
</file>