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289DEBD0" w14:textId="77777777" w:rsidR="00AF0CA0" w:rsidRDefault="00E0585E" w:rsidP="00AF0CA0">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AF0CA0" w:rsidRPr="00AF0CA0">
        <w:rPr>
          <w:rFonts w:ascii="Arial" w:hAnsi="Arial"/>
          <w:b/>
          <w:color w:val="000000"/>
        </w:rPr>
        <w:t>ALFAGEN - EQUIPMENT FOR CASTING STRIPS FROM ALUMINIUM AND ITS ALLOYS</w:t>
      </w:r>
    </w:p>
    <w:p w14:paraId="73710215" w14:textId="0CAB746B" w:rsidR="00E0585E" w:rsidRPr="002639AC" w:rsidRDefault="00312FD9" w:rsidP="00AF0CA0">
      <w:pPr>
        <w:pBdr>
          <w:bottom w:val="single" w:sz="8" w:space="1" w:color="73767D"/>
        </w:pBdr>
        <w:spacing w:after="60"/>
        <w:ind w:left="3119" w:hanging="3119"/>
        <w:rPr>
          <w:rFonts w:ascii="Arial" w:eastAsia="Calibri" w:hAnsi="Arial" w:cs="Arial"/>
          <w:b/>
        </w:rPr>
      </w:pPr>
      <w:r>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do(es)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1"/>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4B614E40" w14:textId="77777777" w:rsidR="004D49BA" w:rsidRDefault="0020373D" w:rsidP="004D49BA">
      <w:pPr>
        <w:pBdr>
          <w:bottom w:val="single" w:sz="8" w:space="1" w:color="73767D"/>
        </w:pBdr>
        <w:spacing w:before="240" w:after="60"/>
        <w:rPr>
          <w:rFonts w:ascii="Arial" w:hAnsi="Arial"/>
          <w:b/>
          <w:color w:val="000000"/>
        </w:rPr>
      </w:pPr>
      <w:r>
        <w:rPr>
          <w:rFonts w:ascii="Arial" w:hAnsi="Arial"/>
          <w:b/>
        </w:rPr>
        <w:t xml:space="preserve">Contract/public contract title: </w:t>
      </w:r>
      <w:r w:rsidR="004D49BA" w:rsidRPr="004D49BA">
        <w:rPr>
          <w:rFonts w:ascii="Arial" w:hAnsi="Arial"/>
          <w:b/>
          <w:color w:val="000000"/>
        </w:rPr>
        <w:t>ALFAGEN - EQUIPMENT FOR CASTING STRIPS FROM ALUMINIUM AND ITS ALLOYS</w:t>
      </w:r>
    </w:p>
    <w:p w14:paraId="13931F4A" w14:textId="71FB2903" w:rsidR="0020373D" w:rsidRPr="002639AC" w:rsidRDefault="00312FD9" w:rsidP="004D49BA">
      <w:pPr>
        <w:pBdr>
          <w:bottom w:val="single" w:sz="8" w:space="1" w:color="73767D"/>
        </w:pBdr>
        <w:spacing w:before="240"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Pr>
          <w:rFonts w:ascii="Arial" w:hAnsi="Arial"/>
          <w:color w:val="000000"/>
        </w:rPr>
        <w:t>are not more than 50% owned directly or indirectly by any of the entities listed in letter a), or</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t>do not act on behalf of or at the direction of any of the entities listed in letter a) or b)</w:t>
      </w:r>
      <w:bookmarkStart w:id="0" w:name="_Hlk144299543"/>
      <w:r w:rsidR="00750A3E" w:rsidRPr="002639AC">
        <w:rPr>
          <w:rStyle w:val="Znakapoznpodarou"/>
          <w:rFonts w:ascii="Arial" w:eastAsiaTheme="majorEastAsia" w:hAnsi="Arial" w:cs="Arial"/>
          <w:color w:val="000000"/>
        </w:rPr>
        <w:footnoteReference w:id="2"/>
      </w:r>
      <w:bookmarkEnd w:id="0"/>
      <w:r>
        <w:rPr>
          <w:rFonts w:ascii="Arial" w:hAnsi="Arial"/>
          <w:color w:val="000000"/>
        </w:rPr>
        <w:t>;</w:t>
      </w:r>
    </w:p>
    <w:p w14:paraId="07ADF5E9" w14:textId="5D36AD95" w:rsidR="0020373D" w:rsidRPr="00312FD9" w:rsidRDefault="0020373D" w:rsidP="004135B4">
      <w:pPr>
        <w:pStyle w:val="podpisra"/>
        <w:numPr>
          <w:ilvl w:val="0"/>
          <w:numId w:val="55"/>
        </w:numPr>
        <w:tabs>
          <w:tab w:val="right" w:leader="dot" w:pos="4962"/>
        </w:tabs>
        <w:spacing w:before="120" w:line="264" w:lineRule="auto"/>
        <w:ind w:left="284" w:hanging="284"/>
        <w:jc w:val="both"/>
      </w:pPr>
      <w: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t xml:space="preserve">Council Regulation (EU) No. 208/2014, on restrictive measures against certain persons, entities, authorities  in view of the situation in Ukraine, </w:t>
      </w:r>
      <w:bookmarkEnd w:id="1"/>
      <w:r>
        <w:t>or Council Regulation (EC) No. 765/2006 of 18 May 2006 concerning restrictive measures against President Lukashenko and certain officials of Belarus (as amended)</w:t>
      </w:r>
      <w:r w:rsidRPr="00312FD9">
        <w:footnoteReference w:id="3"/>
      </w:r>
      <w:r>
        <w:t>;</w:t>
      </w:r>
    </w:p>
    <w:p w14:paraId="0F49B53C" w14:textId="5103419E" w:rsidR="00F5716B" w:rsidRPr="00312FD9" w:rsidRDefault="0020373D" w:rsidP="004135B4">
      <w:pPr>
        <w:pStyle w:val="podpisra"/>
        <w:numPr>
          <w:ilvl w:val="0"/>
          <w:numId w:val="55"/>
        </w:numPr>
        <w:tabs>
          <w:tab w:val="right" w:leader="dot" w:pos="4962"/>
        </w:tabs>
        <w:spacing w:before="120" w:line="264" w:lineRule="auto"/>
        <w:ind w:left="284" w:hanging="284"/>
        <w:jc w:val="both"/>
      </w:pPr>
      <w:r w:rsidRPr="00312FD9">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CC64E" w14:textId="77777777" w:rsidR="004D264C" w:rsidRDefault="004D264C" w:rsidP="00A05102">
      <w:pPr>
        <w:spacing w:before="0" w:line="240" w:lineRule="auto"/>
      </w:pPr>
      <w:r>
        <w:separator/>
      </w:r>
    </w:p>
  </w:endnote>
  <w:endnote w:type="continuationSeparator" w:id="0">
    <w:p w14:paraId="55AA2B1F" w14:textId="77777777" w:rsidR="004D264C" w:rsidRDefault="004D264C"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97AB2" w14:textId="77777777" w:rsidR="004D264C" w:rsidRDefault="004D264C" w:rsidP="00A05102">
      <w:pPr>
        <w:spacing w:before="0" w:line="240" w:lineRule="auto"/>
      </w:pPr>
      <w:r>
        <w:separator/>
      </w:r>
    </w:p>
  </w:footnote>
  <w:footnote w:type="continuationSeparator" w:id="0">
    <w:p w14:paraId="33E1F07F" w14:textId="77777777" w:rsidR="004D264C" w:rsidRDefault="004D264C" w:rsidP="00A05102">
      <w:pPr>
        <w:spacing w:before="0" w:line="240" w:lineRule="auto"/>
      </w:pPr>
      <w:r>
        <w:continuationSeparator/>
      </w:r>
    </w:p>
  </w:footnote>
  <w:footnote w:id="1">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2">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measures  in view of Russia’s activities destabilizing the situation in Ukraine, as amended, the applicant/recipient of funds may omit this point from the affidavit.</w:t>
      </w:r>
    </w:p>
  </w:footnote>
  <w:footnote w:id="3">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6131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0000">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9264;mso-position-horizontal-relative:text;mso-position-vertical-relative:text" o:allowincell="f" fillcolor="window">
          <v:imagedata r:id="rId2" o:title="" croptop="12136f"/>
        </v:shape>
        <o:OLEObject Type="Embed" ProgID="Word.Picture.8" ShapeID="_x0000_s1027" DrawAspect="Content" ObjectID="_1783488895"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000000"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83488896"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264C"/>
    <w:rsid w:val="004D47DA"/>
    <w:rsid w:val="004D49B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0CA0"/>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46ED6"/>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D20AF"/>
    <w:rsid w:val="00DE1785"/>
    <w:rsid w:val="00DE1F1D"/>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9621B"/>
    <w:rsid w:val="00EA17F7"/>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b3886af2-c3cb-4630-8b9a-f715be43eb86"/>
    <ds:schemaRef ds:uri="19de1775-3985-40a2-9f0a-c09b13a85e10"/>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0CF6640F-6B95-4F02-B86D-A3994AE8E717}"/>
</file>

<file path=docProps/app.xml><?xml version="1.0" encoding="utf-8"?>
<Properties xmlns="http://schemas.openxmlformats.org/officeDocument/2006/extended-properties" xmlns:vt="http://schemas.openxmlformats.org/officeDocument/2006/docPropsVTypes">
  <Template>Normal</Template>
  <TotalTime>21</TotalTime>
  <Pages>2</Pages>
  <Words>670</Words>
  <Characters>3958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Jan Machara</cp:lastModifiedBy>
  <cp:revision>6</cp:revision>
  <dcterms:created xsi:type="dcterms:W3CDTF">2024-04-22T13:04:00Z</dcterms:created>
  <dcterms:modified xsi:type="dcterms:W3CDTF">2024-07-26T06:48:00Z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