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158C6590" w14:textId="074F44E0" w:rsidR="0002228C" w:rsidRPr="004D239D" w:rsidRDefault="00135159" w:rsidP="0002228C">
      <w:pPr>
        <w:jc w:val="center"/>
        <w:rPr>
          <w:rFonts w:cs="Arial"/>
          <w:b/>
          <w:noProof w:val="0"/>
          <w:sz w:val="28"/>
          <w:szCs w:val="28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>za časť č.1</w:t>
      </w:r>
      <w:r w:rsidRPr="00FE3878">
        <w:rPr>
          <w:rFonts w:cs="Arial"/>
          <w:b/>
          <w:noProof w:val="0"/>
          <w:sz w:val="24"/>
        </w:rPr>
        <w:t xml:space="preserve">: </w:t>
      </w:r>
      <w:r w:rsidR="00FE3878" w:rsidRPr="00FE3878">
        <w:rPr>
          <w:rFonts w:cs="Arial"/>
          <w:b/>
          <w:noProof w:val="0"/>
          <w:sz w:val="24"/>
        </w:rPr>
        <w:t>OZ Poľana –ústredie a LS Divín, Kriváň 334, 962 04 Kriváň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A470078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>Organizačná zložka OZ Poľana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  <w:bookmarkStart w:id="3" w:name="_GoBack"/>
            <w:bookmarkEnd w:id="3"/>
          </w:p>
        </w:tc>
        <w:tc>
          <w:tcPr>
            <w:tcW w:w="3161" w:type="pct"/>
          </w:tcPr>
          <w:p w14:paraId="48A94E61" w14:textId="5E47CE3F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65070F86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Ing. Anton Kamenský -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0C1BCF6F" w14:textId="3A1304C2" w:rsidR="00135159" w:rsidRPr="00FE3878" w:rsidRDefault="00E87941" w:rsidP="005D413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vozidiel_OZ Poľana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A6D1" w14:textId="77777777" w:rsidR="00D85872" w:rsidRDefault="00D85872">
      <w:r>
        <w:separator/>
      </w:r>
    </w:p>
  </w:endnote>
  <w:endnote w:type="continuationSeparator" w:id="0">
    <w:p w14:paraId="29A075B6" w14:textId="77777777" w:rsidR="00D85872" w:rsidRDefault="00D85872">
      <w:r>
        <w:continuationSeparator/>
      </w:r>
    </w:p>
  </w:endnote>
  <w:endnote w:type="continuationNotice" w:id="1">
    <w:p w14:paraId="5B34E5C6" w14:textId="77777777" w:rsidR="00D85872" w:rsidRDefault="00D85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B4DA554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E387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E387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D85872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3BB09" w14:textId="77777777" w:rsidR="00D85872" w:rsidRDefault="00D85872">
      <w:r>
        <w:separator/>
      </w:r>
    </w:p>
  </w:footnote>
  <w:footnote w:type="continuationSeparator" w:id="0">
    <w:p w14:paraId="1F0E5DE7" w14:textId="77777777" w:rsidR="00D85872" w:rsidRDefault="00D85872">
      <w:r>
        <w:continuationSeparator/>
      </w:r>
    </w:p>
  </w:footnote>
  <w:footnote w:type="continuationNotice" w:id="1">
    <w:p w14:paraId="63E0283A" w14:textId="77777777" w:rsidR="00D85872" w:rsidRDefault="00D85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6CE50EC0" w14:textId="0D8C25BA" w:rsidR="00276227" w:rsidRDefault="00135159" w:rsidP="00135159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6429E0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05D70869" w14:textId="0CA20A8D" w:rsidR="00276227" w:rsidRDefault="00135159" w:rsidP="00964780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87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4CF1-C4F0-4616-B4E3-8B83FD24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1799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Bystriansky, Martin</cp:lastModifiedBy>
  <cp:revision>3</cp:revision>
  <cp:lastPrinted>2023-11-15T13:16:00Z</cp:lastPrinted>
  <dcterms:created xsi:type="dcterms:W3CDTF">2024-05-15T09:59:00Z</dcterms:created>
  <dcterms:modified xsi:type="dcterms:W3CDTF">2024-05-20T06:14:00Z</dcterms:modified>
</cp:coreProperties>
</file>