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1B8CFE3D" w14:textId="3A972BED" w:rsidR="0073020D" w:rsidRDefault="00D27799" w:rsidP="002947AB">
      <w:pPr>
        <w:pStyle w:val="Default"/>
        <w:jc w:val="center"/>
        <w:rPr>
          <w:rFonts w:asciiTheme="minorHAnsi" w:hAnsiTheme="minorHAnsi" w:cstheme="minorHAnsi"/>
          <w:bCs/>
          <w:sz w:val="22"/>
          <w:szCs w:val="22"/>
        </w:rPr>
      </w:pP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Divadlo J. G. Tajovského Zvolen - zníženie energetickej náročnosti objektu divadla</w:t>
      </w: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 xml:space="preserve"> </w:t>
      </w:r>
      <w:r w:rsidR="0073020D">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4BB95E20"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Mgr. Ondrej Lunter, predseda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E628F3F"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F548C9">
        <w:rPr>
          <w:rFonts w:ascii="Calibri" w:eastAsia="Times New Roman" w:hAnsi="Calibri" w:cs="Calibri"/>
          <w:lang w:eastAsia="sk-SK"/>
        </w:rPr>
        <w:t>SK</w:t>
      </w:r>
      <w:r w:rsidR="00F238C9" w:rsidRPr="00F548C9">
        <w:rPr>
          <w:rFonts w:ascii="Calibri" w:eastAsia="Times New Roman" w:hAnsi="Calibri" w:cs="Calibri"/>
          <w:lang w:eastAsia="sk-SK"/>
        </w:rPr>
        <w:t>86 8180 0000 0070 0069 6986</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2B2A081A"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 xml:space="preserve">Mgr. Martin Daniš, </w:t>
      </w:r>
      <w:r w:rsidR="00073D7E">
        <w:rPr>
          <w:rFonts w:ascii="Calibri" w:eastAsia="Times New Roman" w:hAnsi="Calibri" w:cs="Calibri"/>
          <w:color w:val="000000"/>
          <w:lang w:eastAsia="sk-SK"/>
        </w:rPr>
        <w:t>riaditeľ odboru</w:t>
      </w:r>
      <w:r w:rsidRPr="00A82098">
        <w:rPr>
          <w:rFonts w:ascii="Calibri" w:eastAsia="Times New Roman" w:hAnsi="Calibri" w:cs="Calibri"/>
          <w:color w:val="000000"/>
          <w:lang w:eastAsia="sk-SK"/>
        </w:rPr>
        <w:t xml:space="preserve"> verejného obstarávania a investícií Úradu </w:t>
      </w:r>
      <w:r w:rsidR="008F5855">
        <w:rPr>
          <w:rFonts w:ascii="Calibri" w:eastAsia="Times New Roman" w:hAnsi="Calibri" w:cs="Calibri"/>
          <w:color w:val="000000"/>
          <w:lang w:eastAsia="sk-SK"/>
        </w:rPr>
        <w:t>BBSK</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25F304A5" w14:textId="1249B6A8"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3622D1" w:rsidRPr="00B5500A">
        <w:rPr>
          <w:rFonts w:ascii="Calibri" w:eastAsia="Times New Roman" w:hAnsi="Calibri" w:cs="Calibri"/>
          <w:bCs/>
          <w:noProof/>
          <w:color w:val="000000"/>
          <w:lang w:eastAsia="sk-SK"/>
        </w:rPr>
        <w:t>Ing. Tomáš Deák</w:t>
      </w:r>
      <w:r w:rsidRPr="00B5500A">
        <w:rPr>
          <w:rFonts w:ascii="Calibri" w:eastAsia="Times New Roman" w:hAnsi="Calibri" w:cs="Calibri"/>
          <w:bCs/>
          <w:color w:val="000000"/>
          <w:lang w:eastAsia="sk-SK"/>
        </w:rPr>
        <w:t xml:space="preserve">, </w:t>
      </w:r>
      <w:r w:rsidR="006F6953" w:rsidRPr="00B5500A">
        <w:rPr>
          <w:rFonts w:ascii="Calibri" w:eastAsia="Times New Roman" w:hAnsi="Calibri" w:cs="Calibri"/>
          <w:bCs/>
          <w:color w:val="000000"/>
          <w:lang w:eastAsia="sk-SK"/>
        </w:rPr>
        <w:t>vedúci oddelenia</w:t>
      </w:r>
      <w:r w:rsidRPr="00B5500A">
        <w:rPr>
          <w:rFonts w:ascii="Calibri" w:eastAsia="Times New Roman" w:hAnsi="Calibri" w:cs="Calibri"/>
          <w:bCs/>
          <w:color w:val="000000"/>
          <w:lang w:eastAsia="sk-SK"/>
        </w:rPr>
        <w:t xml:space="preserve"> </w:t>
      </w:r>
      <w:r w:rsidR="00B5500A" w:rsidRPr="00B5500A">
        <w:rPr>
          <w:rFonts w:ascii="Calibri" w:eastAsia="Times New Roman" w:hAnsi="Calibri" w:cs="Calibri"/>
          <w:bCs/>
          <w:color w:val="000000"/>
          <w:lang w:eastAsia="sk-SK"/>
        </w:rPr>
        <w:t>pozemných stavieb</w:t>
      </w:r>
      <w:r w:rsidR="00D316B6">
        <w:rPr>
          <w:rFonts w:ascii="Calibri" w:eastAsia="Times New Roman" w:hAnsi="Calibri" w:cs="Calibri"/>
          <w:bCs/>
          <w:color w:val="000000"/>
          <w:lang w:eastAsia="sk-SK"/>
        </w:rPr>
        <w:t xml:space="preserve"> Úradu BBSK</w:t>
      </w:r>
    </w:p>
    <w:p w14:paraId="7705ED7A" w14:textId="15FA9309" w:rsidR="00A82098" w:rsidRPr="00B5500A" w:rsidRDefault="003622D1" w:rsidP="00A82098">
      <w:pPr>
        <w:widowControl w:val="0"/>
        <w:spacing w:after="0" w:line="240" w:lineRule="auto"/>
        <w:ind w:left="2835" w:right="-284" w:hanging="3"/>
        <w:rPr>
          <w:rFonts w:ascii="Calibri" w:eastAsia="Times New Roman" w:hAnsi="Calibri" w:cs="Calibri"/>
          <w:bCs/>
          <w:color w:val="000000"/>
          <w:lang w:eastAsia="sk-SK"/>
        </w:rPr>
      </w:pPr>
      <w:r w:rsidRPr="00B5500A">
        <w:rPr>
          <w:rFonts w:ascii="Calibri" w:eastAsia="Times New Roman" w:hAnsi="Calibri" w:cs="Calibri"/>
          <w:bCs/>
          <w:noProof/>
          <w:color w:val="000000"/>
          <w:lang w:eastAsia="sk-SK"/>
        </w:rPr>
        <w:t>Ing. Peter Mišura</w:t>
      </w:r>
      <w:r w:rsidR="00A82098" w:rsidRPr="00B5500A">
        <w:rPr>
          <w:rFonts w:ascii="Calibri" w:eastAsia="Times New Roman" w:hAnsi="Calibri" w:cs="Calibri"/>
          <w:bCs/>
          <w:color w:val="000000"/>
          <w:lang w:eastAsia="sk-SK"/>
        </w:rPr>
        <w:t xml:space="preserve">, odborný referent pre </w:t>
      </w:r>
      <w:r w:rsidRPr="00B5500A">
        <w:rPr>
          <w:rFonts w:ascii="Calibri" w:eastAsia="Times New Roman" w:hAnsi="Calibri" w:cs="Calibri"/>
          <w:bCs/>
          <w:noProof/>
          <w:color w:val="000000"/>
          <w:lang w:eastAsia="sk-SK"/>
        </w:rPr>
        <w:t>investície</w:t>
      </w:r>
      <w:r w:rsidR="00D316B6">
        <w:rPr>
          <w:rFonts w:ascii="Calibri" w:eastAsia="Times New Roman" w:hAnsi="Calibri" w:cs="Calibri"/>
          <w:bCs/>
          <w:noProof/>
          <w:color w:val="000000"/>
          <w:lang w:eastAsia="sk-SK"/>
        </w:rPr>
        <w:t xml:space="preserve"> Úradu BBSK</w:t>
      </w:r>
    </w:p>
    <w:p w14:paraId="397462B9" w14:textId="0F1C90D9"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048/4325 111, 048/4325</w:t>
      </w:r>
      <w:r w:rsidR="00C54D37">
        <w:rPr>
          <w:rFonts w:ascii="Calibri" w:eastAsia="Times New Roman" w:hAnsi="Calibri" w:cs="Calibri"/>
          <w:color w:val="000000"/>
          <w:lang w:eastAsia="sk-SK"/>
        </w:rPr>
        <w:t>645</w:t>
      </w:r>
      <w:r w:rsidRPr="00A82098">
        <w:rPr>
          <w:rFonts w:ascii="Calibri" w:eastAsia="Times New Roman" w:hAnsi="Calibri" w:cs="Calibri"/>
          <w:color w:val="000000"/>
          <w:lang w:eastAsia="sk-SK"/>
        </w:rPr>
        <w:t>, 048/4325</w:t>
      </w:r>
      <w:r w:rsidR="00C54D37">
        <w:rPr>
          <w:rFonts w:ascii="Calibri" w:eastAsia="Times New Roman" w:hAnsi="Calibri" w:cs="Calibri"/>
          <w:color w:val="000000"/>
          <w:lang w:eastAsia="sk-SK"/>
        </w:rPr>
        <w:t>673</w:t>
      </w:r>
      <w:r w:rsidRPr="00A82098">
        <w:rPr>
          <w:rFonts w:ascii="Calibri" w:eastAsia="Times New Roman" w:hAnsi="Calibri" w:cs="Calibri"/>
          <w:color w:val="000000"/>
          <w:lang w:eastAsia="sk-SK"/>
        </w:rPr>
        <w:t>, 048/432552</w:t>
      </w:r>
      <w:r w:rsidR="00D754EA">
        <w:rPr>
          <w:rFonts w:ascii="Calibri" w:eastAsia="Times New Roman" w:hAnsi="Calibri" w:cs="Calibri"/>
          <w:color w:val="000000"/>
          <w:lang w:eastAsia="sk-SK"/>
        </w:rPr>
        <w:t>6</w:t>
      </w:r>
    </w:p>
    <w:p w14:paraId="40FC215C" w14:textId="01FEA08C"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11" w:history="1">
        <w:r w:rsidRPr="00A82098">
          <w:rPr>
            <w:rFonts w:ascii="Calibri" w:eastAsia="Times New Roman" w:hAnsi="Calibri" w:cs="Calibri"/>
            <w:color w:val="0563C1"/>
            <w:u w:val="single"/>
            <w:lang w:eastAsia="sk-SK"/>
          </w:rPr>
          <w:t>podatelna@bbsk.sk</w:t>
        </w:r>
      </w:hyperlink>
      <w:r w:rsidRPr="00A82098">
        <w:rPr>
          <w:rFonts w:ascii="Calibri" w:eastAsia="Times New Roman" w:hAnsi="Calibri" w:cs="Calibri"/>
          <w:color w:val="000000"/>
          <w:lang w:eastAsia="sk-SK"/>
        </w:rPr>
        <w:t xml:space="preserve">, </w:t>
      </w:r>
      <w:hyperlink r:id="rId12" w:history="1">
        <w:r w:rsidRPr="00A82098">
          <w:rPr>
            <w:rFonts w:ascii="Calibri" w:eastAsia="Times New Roman" w:hAnsi="Calibri" w:cs="Calibri"/>
            <w:color w:val="0563C1"/>
            <w:u w:val="single"/>
            <w:lang w:eastAsia="sk-SK"/>
          </w:rPr>
          <w:t>martin.danis@bbsk.s</w:t>
        </w:r>
      </w:hyperlink>
      <w:r>
        <w:rPr>
          <w:rFonts w:ascii="Calibri" w:eastAsia="Times New Roman" w:hAnsi="Calibri" w:cs="Calibri"/>
          <w:color w:val="0563C1"/>
          <w:u w:val="single"/>
          <w:lang w:eastAsia="sk-SK"/>
        </w:rPr>
        <w:t>k</w:t>
      </w:r>
      <w:r w:rsidRPr="00A82098">
        <w:rPr>
          <w:rFonts w:ascii="Calibri" w:eastAsia="Times New Roman" w:hAnsi="Calibri" w:cs="Calibri"/>
          <w:color w:val="000000"/>
          <w:lang w:eastAsia="sk-SK"/>
        </w:rPr>
        <w:t xml:space="preserve">, </w:t>
      </w:r>
      <w:hyperlink r:id="rId13" w:history="1">
        <w:r w:rsidR="00726B7E" w:rsidRPr="00726B7E">
          <w:rPr>
            <w:color w:val="0563C1"/>
            <w:u w:val="single"/>
            <w:lang w:eastAsia="sk-SK"/>
          </w:rPr>
          <w:t>tomas.deak@bbsk.sk</w:t>
        </w:r>
      </w:hyperlink>
      <w:r w:rsidR="00726B7E" w:rsidRPr="00726B7E">
        <w:rPr>
          <w:rFonts w:ascii="Calibri" w:eastAsia="Times New Roman" w:hAnsi="Calibri" w:cs="Calibri"/>
          <w:color w:val="0563C1"/>
          <w:u w:val="single"/>
          <w:lang w:eastAsia="sk-SK"/>
        </w:rPr>
        <w:t>,</w:t>
      </w:r>
      <w:r w:rsidR="00726B7E">
        <w:rPr>
          <w:rFonts w:ascii="Calibri" w:eastAsia="Times New Roman" w:hAnsi="Calibri" w:cs="Calibri"/>
          <w:color w:val="000000"/>
          <w:lang w:eastAsia="sk-SK"/>
        </w:rPr>
        <w:t xml:space="preserve"> </w:t>
      </w:r>
      <w:r w:rsidR="00726B7E" w:rsidRPr="00726B7E">
        <w:rPr>
          <w:rFonts w:ascii="Calibri" w:eastAsia="Times New Roman" w:hAnsi="Calibri" w:cs="Calibri"/>
          <w:color w:val="0563C1"/>
          <w:u w:val="single"/>
          <w:lang w:eastAsia="sk-SK"/>
        </w:rPr>
        <w:t>peter.misura@bbsk.sk</w:t>
      </w:r>
      <w:r w:rsidRPr="00A82098">
        <w:rPr>
          <w:rFonts w:ascii="Calibri" w:eastAsia="Times New Roman" w:hAnsi="Calibri" w:cs="Calibri"/>
          <w:color w:val="000000"/>
          <w:lang w:eastAsia="sk-SK"/>
        </w:rPr>
        <w:t xml:space="preserve"> </w:t>
      </w:r>
    </w:p>
    <w:p w14:paraId="3E87E2B7" w14:textId="77777777" w:rsidR="00141CBD" w:rsidRDefault="00141CBD" w:rsidP="002947AB">
      <w:pPr>
        <w:spacing w:after="0" w:line="240" w:lineRule="auto"/>
        <w:jc w:val="both"/>
        <w:rPr>
          <w:rFonts w:cstheme="minorHAnsi"/>
        </w:rPr>
      </w:pP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lastRenderedPageBreak/>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7777777" w:rsidR="0073020D" w:rsidRDefault="0073020D" w:rsidP="002947AB">
      <w:pPr>
        <w:pStyle w:val="Default"/>
        <w:jc w:val="both"/>
        <w:rPr>
          <w:rFonts w:asciiTheme="minorHAnsi" w:hAnsiTheme="minorHAnsi" w:cstheme="minorHAnsi"/>
          <w:sz w:val="22"/>
          <w:szCs w:val="22"/>
        </w:rPr>
      </w:pPr>
    </w:p>
    <w:p w14:paraId="5D88EBC6" w14:textId="77777777" w:rsidR="00F548C9" w:rsidRDefault="00F548C9" w:rsidP="002947AB">
      <w:pPr>
        <w:shd w:val="clear" w:color="auto" w:fill="FFFFFF" w:themeFill="background1"/>
        <w:spacing w:line="240" w:lineRule="auto"/>
        <w:jc w:val="center"/>
        <w:rPr>
          <w:rFonts w:cstheme="minorHAnsi"/>
          <w:b/>
        </w:rPr>
      </w:pPr>
    </w:p>
    <w:p w14:paraId="1B3DAD79" w14:textId="181E4D51"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2425DA4" w14:textId="095AD2BC"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19149B" w:rsidRPr="00F548C9">
        <w:rPr>
          <w:rFonts w:asciiTheme="minorHAnsi" w:hAnsiTheme="minorHAnsi" w:cstheme="minorHAnsi"/>
          <w:b/>
          <w:bCs/>
        </w:rPr>
        <w:t>Divadlo J. G. Tajovského Zvolen - zníženie energetickej náročnosti objektu divadla</w:t>
      </w:r>
      <w:r w:rsidR="0019149B">
        <w:rPr>
          <w:rStyle w:val="Odkaznakomentr"/>
          <w:rFonts w:asciiTheme="minorHAnsi" w:eastAsiaTheme="minorHAnsi" w:hAnsiTheme="minorHAnsi" w:cstheme="minorBidi"/>
          <w:noProof w:val="0"/>
          <w:lang w:eastAsia="en-US"/>
        </w:rPr>
        <w:t xml:space="preserve"> (</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6ED6AE15"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Ministerstvo </w:t>
      </w:r>
      <w:r w:rsidR="00BB1F80" w:rsidRPr="00BD7ABC">
        <w:rPr>
          <w:rFonts w:asciiTheme="minorHAnsi" w:hAnsiTheme="minorHAnsi" w:cstheme="minorHAnsi"/>
        </w:rPr>
        <w:t>dopravy</w:t>
      </w:r>
      <w:r w:rsidRPr="00BD7ABC">
        <w:rPr>
          <w:rFonts w:asciiTheme="minorHAnsi" w:hAnsiTheme="minorHAnsi" w:cstheme="minorHAnsi"/>
        </w:rPr>
        <w:t xml:space="preserve"> Slovenskej republiky (ďalej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302954">
        <w:rPr>
          <w:rFonts w:asciiTheme="minorHAnsi" w:hAnsiTheme="minorHAnsi" w:cstheme="minorHAnsi"/>
        </w:rPr>
        <w:t> </w:t>
      </w:r>
      <w:r w:rsidRPr="00BD7ABC">
        <w:rPr>
          <w:rFonts w:asciiTheme="minorHAnsi" w:hAnsiTheme="minorHAnsi" w:cstheme="minorHAnsi"/>
        </w:rPr>
        <w:t>objednávateľom</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obnovy a odolnosti na obnovu verejných historických a pamiatkovo chránených budov</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26683393" w14:textId="77777777" w:rsidR="00F548C9" w:rsidRDefault="00F548C9" w:rsidP="002947AB">
      <w:pPr>
        <w:spacing w:after="0" w:line="240" w:lineRule="auto"/>
        <w:jc w:val="center"/>
        <w:rPr>
          <w:rFonts w:cstheme="minorHAnsi"/>
          <w:b/>
        </w:rPr>
      </w:pPr>
    </w:p>
    <w:p w14:paraId="770EBD7A" w14:textId="68C9F27A"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2929F5EF" w14:textId="1E87D438" w:rsidR="00302954" w:rsidRDefault="00302954" w:rsidP="00897781">
      <w:pPr>
        <w:pStyle w:val="Odsekzoznamu"/>
        <w:tabs>
          <w:tab w:val="left" w:pos="0"/>
        </w:tabs>
        <w:spacing w:after="240"/>
        <w:ind w:left="0"/>
        <w:contextualSpacing/>
        <w:jc w:val="both"/>
        <w:rPr>
          <w:rFonts w:asciiTheme="minorHAnsi" w:hAnsiTheme="minorHAnsi" w:cstheme="minorHAnsi"/>
        </w:rPr>
      </w:pPr>
      <w:r w:rsidRPr="007E632E">
        <w:rPr>
          <w:rFonts w:asciiTheme="minorHAnsi" w:hAnsiTheme="minorHAnsi" w:cstheme="minorHAnsi"/>
          <w:b/>
          <w:bCs/>
        </w:rPr>
        <w:t>1.</w:t>
      </w:r>
      <w:r w:rsidRPr="00302954">
        <w:rPr>
          <w:rFonts w:asciiTheme="minorHAnsi" w:hAnsiTheme="minorHAnsi" w:cstheme="minorHAnsi"/>
        </w:rPr>
        <w:t xml:space="preserve"> </w:t>
      </w:r>
      <w:r w:rsidR="003763B5" w:rsidRPr="00302954">
        <w:rPr>
          <w:rFonts w:asciiTheme="minorHAnsi" w:hAnsiTheme="minorHAnsi" w:cstheme="minorHAnsi"/>
        </w:rPr>
        <w:t xml:space="preserve">Objednávateľ je </w:t>
      </w:r>
      <w:r w:rsidR="00A82098" w:rsidRPr="00302954">
        <w:rPr>
          <w:rFonts w:asciiTheme="minorHAnsi" w:hAnsiTheme="minorHAnsi" w:cstheme="minorHAnsi"/>
        </w:rPr>
        <w:t>výlučným vlastníkom</w:t>
      </w:r>
      <w:r w:rsidR="003763B5"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003763B5" w:rsidRPr="00302954">
        <w:rPr>
          <w:rFonts w:asciiTheme="minorHAnsi" w:hAnsiTheme="minorHAnsi" w:cstheme="minorHAnsi"/>
        </w:rPr>
        <w:t xml:space="preserve"> čl. III Zmluvy.</w:t>
      </w:r>
    </w:p>
    <w:p w14:paraId="7ACC5BC9" w14:textId="77777777" w:rsidR="00B26568" w:rsidRPr="00897781" w:rsidRDefault="00B26568" w:rsidP="00897781">
      <w:pPr>
        <w:pStyle w:val="Odsekzoznamu"/>
        <w:tabs>
          <w:tab w:val="left" w:pos="0"/>
        </w:tabs>
        <w:spacing w:after="240"/>
        <w:ind w:left="0"/>
        <w:contextualSpacing/>
        <w:jc w:val="both"/>
        <w:rPr>
          <w:rFonts w:asciiTheme="minorHAnsi" w:hAnsiTheme="minorHAnsi" w:cstheme="minorHAnsi"/>
        </w:rPr>
      </w:pPr>
    </w:p>
    <w:p w14:paraId="09EEC18D" w14:textId="22BBBD41"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r w:rsidRPr="00302954">
        <w:rPr>
          <w:rFonts w:asciiTheme="minorHAnsi" w:hAnsiTheme="minorHAnsi" w:cstheme="minorHAnsi"/>
          <w:b/>
        </w:rPr>
        <w:t xml:space="preserve">2. </w:t>
      </w:r>
      <w:r w:rsidR="001E66FD" w:rsidRPr="00302954">
        <w:rPr>
          <w:rFonts w:asciiTheme="minorHAnsi" w:hAnsiTheme="minorHAnsi" w:cstheme="minorHAnsi"/>
        </w:rPr>
        <w:t>Zhotoviteľ vyhlasuje, že je</w:t>
      </w:r>
      <w:r w:rsidR="00F16DEF">
        <w:rPr>
          <w:rFonts w:asciiTheme="minorHAnsi" w:hAnsiTheme="minorHAnsi" w:cstheme="minorHAnsi"/>
        </w:rPr>
        <w:t xml:space="preserve"> podnikateľom</w:t>
      </w:r>
      <w:r w:rsidR="001E66FD" w:rsidRPr="00302954">
        <w:rPr>
          <w:rFonts w:asciiTheme="minorHAnsi" w:hAnsiTheme="minorHAnsi" w:cstheme="minorHAnsi"/>
        </w:rPr>
        <w:t xml:space="preserve"> s právnou subjektivitou, ktor</w:t>
      </w:r>
      <w:r w:rsidR="00F16DEF">
        <w:rPr>
          <w:rFonts w:asciiTheme="minorHAnsi" w:hAnsiTheme="minorHAnsi" w:cstheme="minorHAnsi"/>
        </w:rPr>
        <w:t>ého</w:t>
      </w:r>
      <w:r w:rsidR="001E66FD"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001E66FD"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001E66FD"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001E66FD" w:rsidRPr="00302954">
        <w:rPr>
          <w:rFonts w:asciiTheme="minorHAnsi" w:hAnsiTheme="minorHAnsi" w:cstheme="minorHAnsi"/>
        </w:rPr>
        <w:t>na vykonanie diela v</w:t>
      </w:r>
      <w:r w:rsidR="00E4631E">
        <w:rPr>
          <w:rFonts w:asciiTheme="minorHAnsi" w:hAnsiTheme="minorHAnsi" w:cstheme="minorHAnsi"/>
        </w:rPr>
        <w:t> </w:t>
      </w:r>
      <w:r w:rsidR="001E66FD" w:rsidRPr="00302954">
        <w:rPr>
          <w:rFonts w:asciiTheme="minorHAnsi" w:hAnsiTheme="minorHAnsi" w:cstheme="minorHAnsi"/>
        </w:rPr>
        <w:t>zmysle Zmluvy a</w:t>
      </w:r>
      <w:r w:rsidR="00E4631E">
        <w:rPr>
          <w:rFonts w:asciiTheme="minorHAnsi" w:hAnsiTheme="minorHAnsi" w:cstheme="minorHAnsi"/>
        </w:rPr>
        <w:t> </w:t>
      </w:r>
      <w:r w:rsidR="001E66FD" w:rsidRPr="00302954">
        <w:rPr>
          <w:rFonts w:asciiTheme="minorHAnsi" w:hAnsiTheme="minorHAnsi" w:cstheme="minorHAnsi"/>
        </w:rPr>
        <w:t>všeobecne záväzných právnych predpisov a</w:t>
      </w:r>
      <w:r w:rsidR="00E4631E">
        <w:rPr>
          <w:rFonts w:asciiTheme="minorHAnsi" w:hAnsiTheme="minorHAnsi" w:cstheme="minorHAnsi"/>
        </w:rPr>
        <w:t> </w:t>
      </w:r>
      <w:r w:rsidR="001E66FD" w:rsidRPr="00302954">
        <w:rPr>
          <w:rFonts w:asciiTheme="minorHAnsi" w:hAnsiTheme="minorHAnsi" w:cstheme="minorHAnsi"/>
        </w:rPr>
        <w:t>technických noriem Slovenskej republiky a</w:t>
      </w:r>
      <w:r w:rsidR="00E4631E">
        <w:rPr>
          <w:rFonts w:asciiTheme="minorHAnsi" w:hAnsiTheme="minorHAnsi" w:cstheme="minorHAnsi"/>
        </w:rPr>
        <w:t> </w:t>
      </w:r>
      <w:r w:rsidR="001E66FD" w:rsidRPr="00302954">
        <w:rPr>
          <w:rFonts w:asciiTheme="minorHAnsi" w:hAnsiTheme="minorHAnsi" w:cstheme="minorHAnsi"/>
        </w:rPr>
        <w:t>Európskej únie.</w:t>
      </w:r>
    </w:p>
    <w:p w14:paraId="2E913396" w14:textId="77777777"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p>
    <w:p w14:paraId="3178AFF3" w14:textId="08919C9A" w:rsidR="001E66FD" w:rsidRDefault="00302954" w:rsidP="00302954">
      <w:pPr>
        <w:pStyle w:val="Odsekzoznamu"/>
        <w:tabs>
          <w:tab w:val="left" w:pos="0"/>
        </w:tabs>
        <w:spacing w:after="240"/>
        <w:ind w:left="0"/>
        <w:contextualSpacing/>
        <w:jc w:val="both"/>
        <w:rPr>
          <w:rFonts w:asciiTheme="minorHAnsi" w:hAnsiTheme="minorHAnsi" w:cstheme="minorHAnsi"/>
        </w:rPr>
      </w:pPr>
      <w:r w:rsidRPr="007E632E">
        <w:rPr>
          <w:rFonts w:asciiTheme="minorHAnsi" w:eastAsiaTheme="minorHAnsi" w:hAnsiTheme="minorHAnsi" w:cstheme="minorHAnsi"/>
          <w:b/>
          <w:bCs/>
          <w:noProof w:val="0"/>
          <w:lang w:eastAsia="en-US"/>
        </w:rPr>
        <w:t>3.</w:t>
      </w:r>
      <w:r w:rsidR="001006B4">
        <w:rPr>
          <w:rFonts w:cstheme="minorHAnsi"/>
          <w:b/>
          <w:bCs/>
        </w:rPr>
        <w:t xml:space="preserve"> </w:t>
      </w:r>
      <w:r w:rsidR="001E66FD"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001E66FD" w:rsidRPr="007E632E">
        <w:rPr>
          <w:rFonts w:asciiTheme="minorHAnsi" w:hAnsiTheme="minorHAnsi" w:cstheme="minorHAnsi"/>
        </w:rPr>
        <w:t>mluvy dostatočne zvážil a</w:t>
      </w:r>
      <w:r w:rsidR="00E4631E">
        <w:rPr>
          <w:rFonts w:asciiTheme="minorHAnsi" w:hAnsiTheme="minorHAnsi" w:cstheme="minorHAnsi"/>
        </w:rPr>
        <w:t> </w:t>
      </w:r>
      <w:r w:rsidR="001E66FD" w:rsidRPr="007E632E">
        <w:rPr>
          <w:rFonts w:asciiTheme="minorHAnsi" w:hAnsiTheme="minorHAnsi" w:cstheme="minorHAnsi"/>
        </w:rPr>
        <w:t>s</w:t>
      </w:r>
      <w:r w:rsidR="00E4631E">
        <w:rPr>
          <w:rFonts w:asciiTheme="minorHAnsi" w:hAnsiTheme="minorHAnsi" w:cstheme="minorHAnsi"/>
        </w:rPr>
        <w:t> </w:t>
      </w:r>
      <w:r w:rsidR="001E66FD" w:rsidRPr="007E632E">
        <w:rPr>
          <w:rFonts w:asciiTheme="minorHAnsi" w:hAnsiTheme="minorHAnsi" w:cstheme="minorHAnsi"/>
        </w:rPr>
        <w:t>vynaložením odbornej starostlivosti a</w:t>
      </w:r>
      <w:r w:rsidR="00E4631E">
        <w:rPr>
          <w:rFonts w:asciiTheme="minorHAnsi" w:hAnsiTheme="minorHAnsi" w:cstheme="minorHAnsi"/>
        </w:rPr>
        <w:t> </w:t>
      </w:r>
      <w:r w:rsidR="001E66FD"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001E66FD"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001E66FD" w:rsidRPr="007E632E">
        <w:rPr>
          <w:rFonts w:asciiTheme="minorHAnsi" w:hAnsiTheme="minorHAnsi" w:cstheme="minorHAnsi"/>
        </w:rPr>
        <w:t>, v</w:t>
      </w:r>
      <w:r w:rsidR="00E4631E">
        <w:rPr>
          <w:rFonts w:asciiTheme="minorHAnsi" w:hAnsiTheme="minorHAnsi" w:cstheme="minorHAnsi"/>
        </w:rPr>
        <w:t> </w:t>
      </w:r>
      <w:r w:rsidR="001E66FD"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001E66FD"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001E66FD" w:rsidRPr="007E632E">
        <w:rPr>
          <w:rFonts w:asciiTheme="minorHAnsi" w:hAnsiTheme="minorHAnsi" w:cstheme="minorHAnsi"/>
        </w:rPr>
        <w:t>nákladov na takéto materiály, práce a</w:t>
      </w:r>
      <w:r w:rsidR="00E4631E">
        <w:rPr>
          <w:rFonts w:asciiTheme="minorHAnsi" w:hAnsiTheme="minorHAnsi" w:cstheme="minorHAnsi"/>
        </w:rPr>
        <w:t> </w:t>
      </w:r>
      <w:r w:rsidR="001E66FD"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001E66FD"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001E66FD"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001E66FD" w:rsidRPr="007E632E">
        <w:rPr>
          <w:rFonts w:asciiTheme="minorHAnsi" w:hAnsiTheme="minorHAnsi" w:cstheme="minorHAnsi"/>
        </w:rPr>
        <w:t xml:space="preserve"> a</w:t>
      </w:r>
      <w:r w:rsidR="00E4631E">
        <w:rPr>
          <w:rFonts w:asciiTheme="minorHAnsi" w:hAnsiTheme="minorHAnsi" w:cstheme="minorHAnsi"/>
        </w:rPr>
        <w:t> </w:t>
      </w:r>
      <w:r w:rsidR="001E66FD"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001E66FD" w:rsidRPr="007E632E">
        <w:rPr>
          <w:rFonts w:asciiTheme="minorHAnsi" w:hAnsiTheme="minorHAnsi" w:cstheme="minorHAnsi"/>
        </w:rPr>
        <w:t xml:space="preserve"> diel</w:t>
      </w:r>
      <w:r w:rsidR="00AF66CA" w:rsidRPr="007E632E">
        <w:rPr>
          <w:rFonts w:asciiTheme="minorHAnsi" w:hAnsiTheme="minorHAnsi" w:cstheme="minorHAnsi"/>
        </w:rPr>
        <w:t>o</w:t>
      </w:r>
      <w:r w:rsidR="001E66FD" w:rsidRPr="007E632E">
        <w:rPr>
          <w:rFonts w:asciiTheme="minorHAnsi" w:hAnsiTheme="minorHAnsi" w:cstheme="minorHAnsi"/>
        </w:rPr>
        <w:t>.</w:t>
      </w:r>
    </w:p>
    <w:p w14:paraId="48426601" w14:textId="77777777" w:rsidR="00302954" w:rsidRPr="007E632E" w:rsidRDefault="00302954" w:rsidP="007E632E">
      <w:pPr>
        <w:pStyle w:val="Odsekzoznamu"/>
        <w:tabs>
          <w:tab w:val="left" w:pos="0"/>
        </w:tabs>
        <w:spacing w:after="240"/>
        <w:ind w:left="0"/>
        <w:contextualSpacing/>
        <w:jc w:val="both"/>
        <w:rPr>
          <w:rFonts w:asciiTheme="minorHAnsi" w:hAnsiTheme="minorHAnsi" w:cstheme="minorHAnsi"/>
        </w:rPr>
      </w:pPr>
    </w:p>
    <w:p w14:paraId="1530CB9C" w14:textId="4515AE0C" w:rsidR="00843968" w:rsidRPr="007B6B84" w:rsidRDefault="00302954" w:rsidP="00302954">
      <w:pPr>
        <w:pStyle w:val="Odsekzoznamu"/>
        <w:tabs>
          <w:tab w:val="left" w:pos="0"/>
        </w:tabs>
        <w:ind w:left="0"/>
        <w:contextualSpacing/>
        <w:jc w:val="both"/>
        <w:rPr>
          <w:rFonts w:asciiTheme="minorHAnsi" w:hAnsiTheme="minorHAnsi" w:cstheme="minorHAnsi"/>
        </w:rPr>
      </w:pPr>
      <w:r w:rsidRPr="007E632E">
        <w:rPr>
          <w:rFonts w:asciiTheme="minorHAnsi" w:hAnsiTheme="minorHAnsi" w:cstheme="minorHAnsi"/>
          <w:b/>
          <w:bCs/>
        </w:rPr>
        <w:t xml:space="preserve">4. </w:t>
      </w:r>
      <w:r w:rsidR="001E66FD" w:rsidRPr="007B6B84">
        <w:rPr>
          <w:rFonts w:asciiTheme="minorHAnsi" w:hAnsiTheme="minorHAnsi" w:cstheme="minorHAnsi"/>
        </w:rPr>
        <w:t>Zhotoviteľ vyhlasuje</w:t>
      </w:r>
      <w:r w:rsidR="00E4631E" w:rsidRPr="007B6B84">
        <w:rPr>
          <w:rFonts w:asciiTheme="minorHAnsi" w:hAnsiTheme="minorHAnsi" w:cstheme="minorHAnsi"/>
        </w:rPr>
        <w:t> </w:t>
      </w:r>
      <w:r w:rsidR="001E66FD" w:rsidRPr="007B6B84">
        <w:rPr>
          <w:rFonts w:asciiTheme="minorHAnsi" w:hAnsiTheme="minorHAnsi" w:cstheme="minorHAnsi"/>
        </w:rPr>
        <w:t>, že sa v</w:t>
      </w:r>
      <w:r w:rsidR="00E4631E" w:rsidRPr="007B6B84">
        <w:rPr>
          <w:rFonts w:asciiTheme="minorHAnsi" w:hAnsiTheme="minorHAnsi" w:cstheme="minorHAnsi"/>
        </w:rPr>
        <w:t> </w:t>
      </w:r>
      <w:r w:rsidR="001E66FD" w:rsidRPr="007B6B84">
        <w:rPr>
          <w:rFonts w:asciiTheme="minorHAnsi" w:hAnsiTheme="minorHAnsi" w:cstheme="minorHAnsi"/>
        </w:rPr>
        <w:t>plnom rozsahu oboznámil s</w:t>
      </w:r>
      <w:r w:rsidR="00E4631E" w:rsidRPr="007B6B84">
        <w:rPr>
          <w:rFonts w:asciiTheme="minorHAnsi" w:hAnsiTheme="minorHAnsi" w:cstheme="minorHAnsi"/>
        </w:rPr>
        <w:t> </w:t>
      </w:r>
      <w:r w:rsidR="001E66FD" w:rsidRPr="007B6B84">
        <w:rPr>
          <w:rFonts w:asciiTheme="minorHAnsi" w:hAnsiTheme="minorHAnsi" w:cstheme="minorHAnsi"/>
        </w:rPr>
        <w:t>rozsahom, s</w:t>
      </w:r>
      <w:r w:rsidR="00E4631E" w:rsidRPr="007B6B84">
        <w:rPr>
          <w:rFonts w:asciiTheme="minorHAnsi" w:hAnsiTheme="minorHAnsi" w:cstheme="minorHAnsi"/>
        </w:rPr>
        <w:t> </w:t>
      </w:r>
      <w:r w:rsidR="001E66FD" w:rsidRPr="007B6B84">
        <w:rPr>
          <w:rFonts w:asciiTheme="minorHAnsi" w:hAnsiTheme="minorHAnsi" w:cstheme="minorHAnsi"/>
        </w:rPr>
        <w:t>povahou diela, charakterom prác a</w:t>
      </w:r>
      <w:r w:rsidR="00E4631E" w:rsidRPr="007B6B84">
        <w:rPr>
          <w:rFonts w:asciiTheme="minorHAnsi" w:hAnsiTheme="minorHAnsi" w:cstheme="minorHAnsi"/>
        </w:rPr>
        <w:t> </w:t>
      </w:r>
      <w:r w:rsidR="001E66FD" w:rsidRPr="007B6B84">
        <w:rPr>
          <w:rFonts w:asciiTheme="minorHAnsi" w:hAnsiTheme="minorHAnsi" w:cstheme="minorHAnsi"/>
        </w:rPr>
        <w:t>s</w:t>
      </w:r>
      <w:r w:rsidR="00E4631E" w:rsidRPr="007B6B84">
        <w:rPr>
          <w:rFonts w:asciiTheme="minorHAnsi" w:hAnsiTheme="minorHAnsi" w:cstheme="minorHAnsi"/>
        </w:rPr>
        <w:t> </w:t>
      </w:r>
      <w:r w:rsidR="001E66FD" w:rsidRPr="007B6B84">
        <w:rPr>
          <w:rFonts w:asciiTheme="minorHAnsi" w:hAnsiTheme="minorHAnsi" w:cstheme="minorHAnsi"/>
        </w:rPr>
        <w:t xml:space="preserve">účelom, ktorý má dielo po jeho riadnom vykonaní plniť, že sú mu známe technické, kvalitatívne </w:t>
      </w:r>
      <w:r w:rsidR="001E66FD" w:rsidRPr="007B6B84">
        <w:rPr>
          <w:rFonts w:asciiTheme="minorHAnsi" w:hAnsiTheme="minorHAnsi" w:cstheme="minorHAnsi"/>
        </w:rPr>
        <w:lastRenderedPageBreak/>
        <w:t>a</w:t>
      </w:r>
      <w:r w:rsidR="00E4631E" w:rsidRPr="007B6B84">
        <w:rPr>
          <w:rFonts w:asciiTheme="minorHAnsi" w:hAnsiTheme="minorHAnsi" w:cstheme="minorHAnsi"/>
        </w:rPr>
        <w:t> </w:t>
      </w:r>
      <w:r w:rsidR="001E66FD" w:rsidRPr="007B6B84">
        <w:rPr>
          <w:rFonts w:asciiTheme="minorHAnsi" w:hAnsiTheme="minorHAnsi" w:cstheme="minorHAnsi"/>
        </w:rPr>
        <w:t>všetky iné podmienky potrebné k</w:t>
      </w:r>
      <w:r w:rsidR="00E4631E" w:rsidRPr="007B6B84">
        <w:rPr>
          <w:rFonts w:asciiTheme="minorHAnsi" w:hAnsiTheme="minorHAnsi" w:cstheme="minorHAnsi"/>
        </w:rPr>
        <w:t> </w:t>
      </w:r>
      <w:r w:rsidR="001E66FD" w:rsidRPr="007B6B84">
        <w:rPr>
          <w:rFonts w:asciiTheme="minorHAnsi" w:hAnsiTheme="minorHAnsi" w:cstheme="minorHAnsi"/>
        </w:rPr>
        <w:t>riadnemu vykonaniu diela a</w:t>
      </w:r>
      <w:r w:rsidR="00E4631E" w:rsidRPr="007B6B84">
        <w:rPr>
          <w:rFonts w:asciiTheme="minorHAnsi" w:hAnsiTheme="minorHAnsi" w:cstheme="minorHAnsi"/>
        </w:rPr>
        <w:t> </w:t>
      </w:r>
      <w:r w:rsidR="001E66FD" w:rsidRPr="007B6B84">
        <w:rPr>
          <w:rFonts w:asciiTheme="minorHAnsi" w:hAnsiTheme="minorHAnsi" w:cstheme="minorHAnsi"/>
        </w:rPr>
        <w:t>disponuje takými kapacitami a</w:t>
      </w:r>
      <w:r w:rsidR="00E4631E" w:rsidRPr="007B6B84">
        <w:rPr>
          <w:rFonts w:asciiTheme="minorHAnsi" w:hAnsiTheme="minorHAnsi" w:cstheme="minorHAnsi"/>
        </w:rPr>
        <w:t> </w:t>
      </w:r>
      <w:r w:rsidR="001E66FD"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001E66FD"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001E66FD" w:rsidRPr="007B6B84">
        <w:rPr>
          <w:rFonts w:asciiTheme="minorHAnsi" w:hAnsiTheme="minorHAnsi" w:cstheme="minorHAnsi"/>
        </w:rPr>
        <w:t xml:space="preserve">vykonanie diela.  </w:t>
      </w:r>
    </w:p>
    <w:p w14:paraId="0EFA2F43" w14:textId="7B5EF03D" w:rsidR="00B96CA2" w:rsidRDefault="00B96CA2" w:rsidP="00302954">
      <w:pPr>
        <w:pStyle w:val="Odsekzoznamu"/>
        <w:tabs>
          <w:tab w:val="left" w:pos="0"/>
        </w:tabs>
        <w:ind w:left="0"/>
        <w:contextualSpacing/>
        <w:jc w:val="both"/>
        <w:rPr>
          <w:rFonts w:asciiTheme="minorHAnsi" w:hAnsiTheme="minorHAnsi" w:cstheme="minorHAnsi"/>
        </w:rPr>
      </w:pPr>
      <w:r>
        <w:rPr>
          <w:rFonts w:asciiTheme="minorHAnsi" w:hAnsiTheme="minorHAnsi" w:cstheme="minorHAnsi"/>
          <w:b/>
          <w:bCs/>
        </w:rPr>
        <w:t xml:space="preserve">5. </w:t>
      </w: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6555BFC4" w14:textId="77777777" w:rsidR="00B96CA2" w:rsidRPr="00BD7ABC" w:rsidRDefault="00B96CA2" w:rsidP="007E632E">
      <w:pPr>
        <w:pStyle w:val="Odsekzoznamu"/>
        <w:tabs>
          <w:tab w:val="left" w:pos="0"/>
        </w:tabs>
        <w:ind w:left="0"/>
        <w:contextualSpacing/>
        <w:jc w:val="both"/>
        <w:rPr>
          <w:rFonts w:asciiTheme="minorHAnsi" w:hAnsiTheme="minorHAnsi" w:cstheme="minorHAnsi"/>
        </w:rPr>
      </w:pPr>
    </w:p>
    <w:p w14:paraId="42C4F08E" w14:textId="77777777" w:rsidR="00F548C9" w:rsidRDefault="00F548C9" w:rsidP="001E66FD">
      <w:pPr>
        <w:spacing w:after="0" w:line="240" w:lineRule="auto"/>
        <w:jc w:val="center"/>
        <w:rPr>
          <w:rFonts w:cstheme="minorHAnsi"/>
          <w:b/>
        </w:rPr>
      </w:pPr>
    </w:p>
    <w:p w14:paraId="147FDD03" w14:textId="068F4E8B"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68453F43" w14:textId="77777777" w:rsidR="00F548C9" w:rsidRDefault="00F548C9" w:rsidP="007E632E">
      <w:pPr>
        <w:pStyle w:val="Odsekzoznamu"/>
        <w:suppressAutoHyphens/>
        <w:snapToGrid w:val="0"/>
        <w:ind w:left="0"/>
        <w:jc w:val="center"/>
        <w:rPr>
          <w:rFonts w:asciiTheme="minorHAnsi" w:hAnsiTheme="minorHAnsi" w:cstheme="minorHAnsi"/>
          <w:b/>
        </w:rPr>
      </w:pPr>
    </w:p>
    <w:p w14:paraId="1D81399F" w14:textId="184D4B0F"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489464D9"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Divadlo J. G. Tajovského Zvolen - zníženie energetickej náročnosti objektu divadla</w:t>
      </w:r>
    </w:p>
    <w:p w14:paraId="44858FDE" w14:textId="1FDDF1CD" w:rsidR="003B6D9B" w:rsidRDefault="001E66FD" w:rsidP="00CE2331">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3327E7" w:rsidRPr="003327E7">
        <w:rPr>
          <w:rFonts w:asciiTheme="minorHAnsi" w:hAnsiTheme="minorHAnsi" w:cstheme="minorHAnsi"/>
          <w:sz w:val="22"/>
          <w:szCs w:val="22"/>
        </w:rPr>
        <w:t>ul. Divadelná 1727/3,</w:t>
      </w:r>
      <w:r w:rsidR="00667E00">
        <w:rPr>
          <w:rFonts w:asciiTheme="minorHAnsi" w:hAnsiTheme="minorHAnsi" w:cstheme="minorHAnsi"/>
          <w:sz w:val="22"/>
          <w:szCs w:val="22"/>
        </w:rPr>
        <w:t xml:space="preserve"> </w:t>
      </w:r>
      <w:r w:rsidR="000923F7">
        <w:rPr>
          <w:rFonts w:asciiTheme="minorHAnsi" w:hAnsiTheme="minorHAnsi" w:cstheme="minorHAnsi"/>
          <w:sz w:val="22"/>
          <w:szCs w:val="22"/>
        </w:rPr>
        <w:t xml:space="preserve">Zvolen, </w:t>
      </w:r>
      <w:r w:rsidR="007801E6">
        <w:rPr>
          <w:rFonts w:asciiTheme="minorHAnsi" w:hAnsiTheme="minorHAnsi" w:cstheme="minorHAnsi"/>
          <w:sz w:val="22"/>
          <w:szCs w:val="22"/>
        </w:rPr>
        <w:t>stavba – budova so súpisným číslom 1727, nachádzajúca sa na pozemku</w:t>
      </w:r>
      <w:r w:rsidR="0019582E">
        <w:rPr>
          <w:rFonts w:asciiTheme="minorHAnsi" w:hAnsiTheme="minorHAnsi" w:cstheme="minorHAnsi"/>
          <w:sz w:val="22"/>
          <w:szCs w:val="22"/>
        </w:rPr>
        <w:t xml:space="preserve"> umiestnenom na</w:t>
      </w:r>
      <w:r w:rsidR="003327E7" w:rsidRPr="003327E7">
        <w:rPr>
          <w:rFonts w:asciiTheme="minorHAnsi" w:hAnsiTheme="minorHAnsi" w:cstheme="minorHAnsi"/>
          <w:sz w:val="22"/>
          <w:szCs w:val="22"/>
        </w:rPr>
        <w:t xml:space="preserve"> parc</w:t>
      </w:r>
      <w:r w:rsidR="0019582E">
        <w:rPr>
          <w:rFonts w:asciiTheme="minorHAnsi" w:hAnsiTheme="minorHAnsi" w:cstheme="minorHAnsi"/>
          <w:sz w:val="22"/>
          <w:szCs w:val="22"/>
        </w:rPr>
        <w:t>ele KN „C“</w:t>
      </w:r>
      <w:r w:rsidR="003327E7" w:rsidRPr="003327E7">
        <w:rPr>
          <w:rFonts w:asciiTheme="minorHAnsi" w:hAnsiTheme="minorHAnsi" w:cstheme="minorHAnsi"/>
          <w:sz w:val="22"/>
          <w:szCs w:val="22"/>
        </w:rPr>
        <w:t xml:space="preserve"> č. 1241</w:t>
      </w:r>
      <w:r w:rsidR="00050DF7">
        <w:rPr>
          <w:rFonts w:asciiTheme="minorHAnsi" w:hAnsiTheme="minorHAnsi" w:cstheme="minorHAnsi"/>
          <w:sz w:val="22"/>
          <w:szCs w:val="22"/>
        </w:rPr>
        <w:t xml:space="preserve"> o výmere 3443 m</w:t>
      </w:r>
      <w:r w:rsidR="00556B0F">
        <w:rPr>
          <w:rFonts w:asciiTheme="minorHAnsi" w:hAnsiTheme="minorHAnsi" w:cstheme="minorHAnsi"/>
          <w:sz w:val="22"/>
          <w:szCs w:val="22"/>
          <w:vertAlign w:val="superscript"/>
        </w:rPr>
        <w:t>2</w:t>
      </w:r>
      <w:r w:rsidR="00CE2331">
        <w:rPr>
          <w:rFonts w:asciiTheme="minorHAnsi" w:hAnsiTheme="minorHAnsi" w:cstheme="minorHAnsi"/>
          <w:sz w:val="22"/>
          <w:szCs w:val="22"/>
        </w:rPr>
        <w:t>,</w:t>
      </w:r>
      <w:r w:rsidR="00556B0F">
        <w:rPr>
          <w:rFonts w:asciiTheme="minorHAnsi" w:hAnsiTheme="minorHAnsi" w:cstheme="minorHAnsi"/>
          <w:sz w:val="22"/>
          <w:szCs w:val="22"/>
        </w:rPr>
        <w:t xml:space="preserve"> druh pozemku</w:t>
      </w:r>
      <w:r w:rsidR="00D47D1E">
        <w:rPr>
          <w:rFonts w:asciiTheme="minorHAnsi" w:hAnsiTheme="minorHAnsi" w:cstheme="minorHAnsi"/>
          <w:sz w:val="22"/>
          <w:szCs w:val="22"/>
        </w:rPr>
        <w:t>:</w:t>
      </w:r>
      <w:r w:rsidR="00556B0F">
        <w:rPr>
          <w:rFonts w:asciiTheme="minorHAnsi" w:hAnsiTheme="minorHAnsi" w:cstheme="minorHAnsi"/>
          <w:sz w:val="22"/>
          <w:szCs w:val="22"/>
        </w:rPr>
        <w:t xml:space="preserve"> </w:t>
      </w:r>
      <w:r w:rsidR="0004121F">
        <w:rPr>
          <w:rFonts w:asciiTheme="minorHAnsi" w:hAnsiTheme="minorHAnsi" w:cstheme="minorHAnsi"/>
          <w:sz w:val="22"/>
          <w:szCs w:val="22"/>
        </w:rPr>
        <w:t xml:space="preserve">zastavaná plocha a nádvorie, zapísaná na LV č. </w:t>
      </w:r>
      <w:r w:rsidR="000D0BFF">
        <w:rPr>
          <w:rFonts w:asciiTheme="minorHAnsi" w:hAnsiTheme="minorHAnsi" w:cstheme="minorHAnsi"/>
          <w:sz w:val="22"/>
          <w:szCs w:val="22"/>
        </w:rPr>
        <w:t>2796 vedenom Okresným úradom Zvolen, katastrálnym odborom pre</w:t>
      </w:r>
      <w:r w:rsidR="00CE2331">
        <w:rPr>
          <w:rFonts w:asciiTheme="minorHAnsi" w:hAnsiTheme="minorHAnsi" w:cstheme="minorHAnsi"/>
          <w:sz w:val="22"/>
          <w:szCs w:val="22"/>
        </w:rPr>
        <w:t xml:space="preserve"> okres </w:t>
      </w:r>
      <w:r w:rsidR="00C3218D">
        <w:rPr>
          <w:rFonts w:asciiTheme="minorHAnsi" w:hAnsiTheme="minorHAnsi" w:cstheme="minorHAnsi"/>
          <w:sz w:val="22"/>
          <w:szCs w:val="22"/>
        </w:rPr>
        <w:t>Zvolen</w:t>
      </w:r>
      <w:r w:rsidR="00CE2331">
        <w:rPr>
          <w:rFonts w:asciiTheme="minorHAnsi" w:hAnsiTheme="minorHAnsi" w:cstheme="minorHAnsi"/>
          <w:sz w:val="22"/>
          <w:szCs w:val="22"/>
        </w:rPr>
        <w:t>,</w:t>
      </w:r>
      <w:r w:rsidR="000D0BFF">
        <w:rPr>
          <w:rFonts w:asciiTheme="minorHAnsi" w:hAnsiTheme="minorHAnsi" w:cstheme="minorHAnsi"/>
          <w:sz w:val="22"/>
          <w:szCs w:val="22"/>
        </w:rPr>
        <w:t xml:space="preserve"> obec Zvolen,</w:t>
      </w:r>
      <w:r w:rsidR="00CE2331">
        <w:rPr>
          <w:rFonts w:asciiTheme="minorHAnsi" w:hAnsiTheme="minorHAnsi" w:cstheme="minorHAnsi"/>
          <w:sz w:val="22"/>
          <w:szCs w:val="22"/>
        </w:rPr>
        <w:t xml:space="preserve"> katastrálne územie </w:t>
      </w:r>
      <w:r w:rsidR="00C3218D">
        <w:rPr>
          <w:rFonts w:asciiTheme="minorHAnsi" w:hAnsiTheme="minorHAnsi" w:cstheme="minorHAnsi"/>
          <w:sz w:val="22"/>
          <w:szCs w:val="22"/>
        </w:rPr>
        <w:t>Zvolen</w:t>
      </w:r>
      <w:r w:rsidR="007108A3">
        <w:rPr>
          <w:rFonts w:asciiTheme="minorHAnsi" w:hAnsiTheme="minorHAnsi" w:cstheme="minorHAnsi"/>
          <w:sz w:val="22"/>
          <w:szCs w:val="22"/>
        </w:rPr>
        <w:t xml:space="preserve"> </w:t>
      </w:r>
    </w:p>
    <w:p w14:paraId="1876F2CD" w14:textId="227A2FB9" w:rsidR="00546202" w:rsidRPr="00546202" w:rsidRDefault="00546202" w:rsidP="00CE2331">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(ďalej len ako „</w:t>
      </w:r>
      <w:r>
        <w:rPr>
          <w:rFonts w:asciiTheme="minorHAnsi" w:hAnsiTheme="minorHAnsi" w:cstheme="minorHAnsi"/>
          <w:b/>
          <w:bCs/>
          <w:sz w:val="22"/>
          <w:szCs w:val="22"/>
        </w:rPr>
        <w:t>stavba</w:t>
      </w:r>
      <w:r>
        <w:rPr>
          <w:rFonts w:asciiTheme="minorHAnsi" w:hAnsiTheme="minorHAnsi" w:cstheme="minorHAnsi"/>
          <w:sz w:val="22"/>
          <w:szCs w:val="22"/>
        </w:rPr>
        <w:t>“)</w:t>
      </w:r>
      <w:r w:rsidR="000D0BFF">
        <w:rPr>
          <w:rFonts w:asciiTheme="minorHAnsi" w:hAnsiTheme="minorHAnsi" w:cstheme="minorHAns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4AFB086A"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9828D0" w:rsidRPr="009828D0">
        <w:rPr>
          <w:rFonts w:asciiTheme="minorHAnsi" w:hAnsiTheme="minorHAnsi" w:cstheme="minorHAnsi"/>
          <w:color w:val="auto"/>
          <w:sz w:val="22"/>
          <w:szCs w:val="22"/>
          <w:lang w:eastAsia="cs-CZ"/>
        </w:rPr>
        <w:t>Divadlo J. G. Tajovského Zvolen - zníženie energetickej náročnosti objektu divadla</w:t>
      </w:r>
      <w:r w:rsidR="009828D0">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vyhotovenou projektantom </w:t>
      </w:r>
      <w:r w:rsidR="009828D0" w:rsidRPr="009828D0">
        <w:rPr>
          <w:rFonts w:asciiTheme="minorHAnsi" w:hAnsiTheme="minorHAnsi" w:cstheme="minorHAnsi"/>
          <w:sz w:val="22"/>
          <w:szCs w:val="22"/>
          <w:lang w:eastAsia="cs-CZ"/>
        </w:rPr>
        <w:t>ECB MARTIN s.r.o.</w:t>
      </w:r>
      <w:r w:rsidR="004A31BA">
        <w:rPr>
          <w:rFonts w:asciiTheme="minorHAnsi" w:hAnsiTheme="minorHAnsi" w:cstheme="minorHAnsi"/>
          <w:sz w:val="22"/>
          <w:szCs w:val="22"/>
          <w:lang w:eastAsia="cs-CZ"/>
        </w:rPr>
        <w:t xml:space="preserve">, </w:t>
      </w:r>
      <w:r w:rsidR="009828D0" w:rsidRPr="004A31BA">
        <w:rPr>
          <w:rFonts w:asciiTheme="minorHAnsi" w:hAnsiTheme="minorHAnsi" w:cstheme="minorHAnsi"/>
          <w:sz w:val="22"/>
          <w:szCs w:val="22"/>
          <w:lang w:eastAsia="cs-CZ"/>
        </w:rPr>
        <w:t>038 04 Bystrička 526</w:t>
      </w:r>
      <w:r w:rsidR="00A35E4E">
        <w:rPr>
          <w:rFonts w:asciiTheme="minorHAnsi" w:hAnsiTheme="minorHAnsi" w:cstheme="minorHAnsi"/>
          <w:sz w:val="22"/>
          <w:szCs w:val="22"/>
          <w:lang w:eastAsia="cs-CZ"/>
        </w:rPr>
        <w:t>, IČO</w:t>
      </w:r>
      <w:r w:rsidR="00494A75">
        <w:rPr>
          <w:rFonts w:asciiTheme="minorHAnsi" w:hAnsiTheme="minorHAnsi" w:cstheme="minorHAnsi"/>
          <w:sz w:val="22"/>
          <w:szCs w:val="22"/>
          <w:lang w:eastAsia="cs-CZ"/>
        </w:rPr>
        <w:t>: 44 404</w:t>
      </w:r>
      <w:r w:rsidR="00097CAE">
        <w:rPr>
          <w:rFonts w:asciiTheme="minorHAnsi" w:hAnsiTheme="minorHAnsi" w:cstheme="minorHAnsi"/>
          <w:sz w:val="22"/>
          <w:szCs w:val="22"/>
          <w:lang w:eastAsia="cs-CZ"/>
        </w:rPr>
        <w:t> </w:t>
      </w:r>
      <w:r w:rsidR="00494A75">
        <w:rPr>
          <w:rFonts w:asciiTheme="minorHAnsi" w:hAnsiTheme="minorHAnsi" w:cstheme="minorHAnsi"/>
          <w:sz w:val="22"/>
          <w:szCs w:val="22"/>
          <w:lang w:eastAsia="cs-CZ"/>
        </w:rPr>
        <w:t>972</w:t>
      </w:r>
      <w:r w:rsidR="00097CAE">
        <w:rPr>
          <w:rFonts w:asciiTheme="minorHAnsi" w:hAnsiTheme="minorHAnsi" w:cstheme="minorHAnsi"/>
          <w:sz w:val="22"/>
          <w:szCs w:val="22"/>
          <w:lang w:eastAsia="cs-CZ"/>
        </w:rPr>
        <w:t xml:space="preserve">, zapísanou </w:t>
      </w:r>
      <w:r w:rsidR="000877D4">
        <w:rPr>
          <w:rFonts w:asciiTheme="minorHAnsi" w:hAnsiTheme="minorHAnsi" w:cstheme="minorHAnsi"/>
          <w:sz w:val="22"/>
          <w:szCs w:val="22"/>
          <w:lang w:eastAsia="cs-CZ"/>
        </w:rPr>
        <w:t xml:space="preserve">v </w:t>
      </w:r>
      <w:r w:rsidR="00097CAE">
        <w:rPr>
          <w:rFonts w:asciiTheme="minorHAnsi" w:hAnsiTheme="minorHAnsi" w:cstheme="minorHAnsi"/>
          <w:sz w:val="22"/>
          <w:szCs w:val="22"/>
          <w:lang w:eastAsia="cs-CZ"/>
        </w:rPr>
        <w:t>Obchodn</w:t>
      </w:r>
      <w:r w:rsidR="000877D4">
        <w:rPr>
          <w:rFonts w:asciiTheme="minorHAnsi" w:hAnsiTheme="minorHAnsi" w:cstheme="minorHAnsi"/>
          <w:sz w:val="22"/>
          <w:szCs w:val="22"/>
          <w:lang w:eastAsia="cs-CZ"/>
        </w:rPr>
        <w:t>om</w:t>
      </w:r>
      <w:r w:rsidR="00097CAE">
        <w:rPr>
          <w:rFonts w:asciiTheme="minorHAnsi" w:hAnsiTheme="minorHAnsi" w:cstheme="minorHAnsi"/>
          <w:sz w:val="22"/>
          <w:szCs w:val="22"/>
          <w:lang w:eastAsia="cs-CZ"/>
        </w:rPr>
        <w:t xml:space="preserve"> registr</w:t>
      </w:r>
      <w:r w:rsidR="000877D4">
        <w:rPr>
          <w:rFonts w:asciiTheme="minorHAnsi" w:hAnsiTheme="minorHAnsi" w:cstheme="minorHAnsi"/>
          <w:sz w:val="22"/>
          <w:szCs w:val="22"/>
          <w:lang w:eastAsia="cs-CZ"/>
        </w:rPr>
        <w:t>i</w:t>
      </w:r>
      <w:r w:rsidR="00097CAE">
        <w:rPr>
          <w:rFonts w:asciiTheme="minorHAnsi" w:hAnsiTheme="minorHAnsi" w:cstheme="minorHAnsi"/>
          <w:sz w:val="22"/>
          <w:szCs w:val="22"/>
          <w:lang w:eastAsia="cs-CZ"/>
        </w:rPr>
        <w:t xml:space="preserve"> Okresného súdu Žilina</w:t>
      </w:r>
      <w:r w:rsidR="00682917">
        <w:rPr>
          <w:rFonts w:asciiTheme="minorHAnsi" w:hAnsiTheme="minorHAnsi" w:cstheme="minorHAnsi"/>
          <w:sz w:val="22"/>
          <w:szCs w:val="22"/>
          <w:lang w:eastAsia="cs-CZ"/>
        </w:rPr>
        <w:t>, odd.</w:t>
      </w:r>
      <w:r w:rsidR="00E86C8D">
        <w:rPr>
          <w:rFonts w:asciiTheme="minorHAnsi" w:hAnsiTheme="minorHAnsi" w:cstheme="minorHAnsi"/>
          <w:sz w:val="22"/>
          <w:szCs w:val="22"/>
          <w:lang w:eastAsia="cs-CZ"/>
        </w:rPr>
        <w:t>:</w:t>
      </w:r>
      <w:r w:rsidR="00682917">
        <w:rPr>
          <w:rFonts w:asciiTheme="minorHAnsi" w:hAnsiTheme="minorHAnsi" w:cstheme="minorHAnsi"/>
          <w:sz w:val="22"/>
          <w:szCs w:val="22"/>
          <w:lang w:eastAsia="cs-CZ"/>
        </w:rPr>
        <w:t xml:space="preserve"> Sro, vložka číslo: 50231/L</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0425BB53" w:rsidR="001E66FD" w:rsidRDefault="00A20077"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lastRenderedPageBreak/>
        <w:t xml:space="preserve">Číslo konania: </w:t>
      </w:r>
      <w:r w:rsidRPr="00A20077">
        <w:rPr>
          <w:rFonts w:asciiTheme="minorHAnsi" w:hAnsiTheme="minorHAnsi" w:cstheme="minorHAnsi"/>
          <w:bCs/>
          <w:i/>
          <w:iCs/>
          <w:sz w:val="22"/>
          <w:szCs w:val="22"/>
          <w:shd w:val="clear" w:color="auto" w:fill="FFFFFF"/>
        </w:rPr>
        <w:t>SÚ 3203/2023-Pe</w:t>
      </w:r>
      <w:r>
        <w:rPr>
          <w:rFonts w:asciiTheme="minorHAnsi" w:hAnsiTheme="minorHAnsi" w:cstheme="minorHAnsi"/>
          <w:bCs/>
          <w:i/>
          <w:iCs/>
          <w:sz w:val="22"/>
          <w:szCs w:val="22"/>
          <w:shd w:val="clear" w:color="auto" w:fill="FFFFFF"/>
        </w:rPr>
        <w:t xml:space="preserve">, vydané </w:t>
      </w:r>
      <w:r w:rsidR="004C651A">
        <w:rPr>
          <w:rFonts w:asciiTheme="minorHAnsi" w:hAnsiTheme="minorHAnsi" w:cstheme="minorHAnsi"/>
          <w:bCs/>
          <w:i/>
          <w:iCs/>
          <w:sz w:val="22"/>
          <w:szCs w:val="22"/>
          <w:shd w:val="clear" w:color="auto" w:fill="FFFFFF"/>
        </w:rPr>
        <w:t>m</w:t>
      </w:r>
      <w:r>
        <w:rPr>
          <w:rFonts w:asciiTheme="minorHAnsi" w:hAnsiTheme="minorHAnsi" w:cstheme="minorHAnsi"/>
          <w:bCs/>
          <w:i/>
          <w:iCs/>
          <w:sz w:val="22"/>
          <w:szCs w:val="22"/>
          <w:shd w:val="clear" w:color="auto" w:fill="FFFFFF"/>
        </w:rPr>
        <w:t xml:space="preserve">estom Zvolen dňa </w:t>
      </w:r>
      <w:r w:rsidRPr="00A20077">
        <w:rPr>
          <w:rFonts w:asciiTheme="minorHAnsi" w:hAnsiTheme="minorHAnsi" w:cstheme="minorHAnsi"/>
          <w:bCs/>
          <w:i/>
          <w:iCs/>
          <w:sz w:val="22"/>
          <w:szCs w:val="22"/>
          <w:shd w:val="clear" w:color="auto" w:fill="FFFFFF"/>
        </w:rPr>
        <w:t>28. 07. 2023</w:t>
      </w:r>
      <w:r>
        <w:rPr>
          <w:rFonts w:asciiTheme="minorHAnsi" w:hAnsiTheme="minorHAnsi" w:cstheme="minorHAnsi"/>
          <w:bCs/>
          <w:i/>
          <w:iCs/>
          <w:sz w:val="22"/>
          <w:szCs w:val="22"/>
          <w:shd w:val="clear" w:color="auto" w:fill="FFFFFF"/>
        </w:rPr>
        <w:t xml:space="preserve">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325AB465"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w:t>
      </w:r>
      <w:r w:rsidR="0082768F">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povolení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418C1F70"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lastRenderedPageBreak/>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57CD597E" w14:textId="77777777" w:rsidR="00F548C9" w:rsidRDefault="00F548C9" w:rsidP="001E66FD">
      <w:pPr>
        <w:pStyle w:val="Default"/>
        <w:jc w:val="center"/>
        <w:rPr>
          <w:rFonts w:asciiTheme="minorHAnsi" w:hAnsiTheme="minorHAnsi" w:cstheme="minorHAnsi"/>
          <w:b/>
          <w:bCs/>
          <w:color w:val="auto"/>
          <w:sz w:val="22"/>
          <w:szCs w:val="22"/>
        </w:rPr>
      </w:pPr>
    </w:p>
    <w:p w14:paraId="0CCBE338" w14:textId="4398CBC0"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32FB031E"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9828D0">
        <w:rPr>
          <w:rFonts w:asciiTheme="minorHAnsi" w:hAnsiTheme="minorHAnsi" w:cstheme="minorHAnsi"/>
          <w:b/>
          <w:bCs/>
          <w:color w:val="auto"/>
          <w:sz w:val="22"/>
          <w:szCs w:val="22"/>
        </w:rPr>
        <w:t xml:space="preserve">do </w:t>
      </w:r>
      <w:r w:rsidR="009B2AA3">
        <w:rPr>
          <w:rFonts w:asciiTheme="minorHAnsi" w:hAnsiTheme="minorHAnsi" w:cstheme="minorHAnsi"/>
          <w:b/>
          <w:bCs/>
          <w:color w:val="auto"/>
          <w:sz w:val="22"/>
          <w:szCs w:val="22"/>
        </w:rPr>
        <w:t>250</w:t>
      </w:r>
      <w:r w:rsidRPr="009828D0">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19473625"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hyperlink r:id="rId14" w:history="1">
        <w:r w:rsidR="00A5276F" w:rsidRPr="00A5276F">
          <w:rPr>
            <w:rFonts w:asciiTheme="minorHAnsi" w:hAnsiTheme="minorHAnsi" w:cstheme="minorHAnsi"/>
            <w:color w:val="auto"/>
            <w:sz w:val="22"/>
            <w:szCs w:val="22"/>
          </w:rPr>
          <w:t>tomas.deak@bbsk.sk</w:t>
        </w:r>
      </w:hyperlink>
      <w:r w:rsidR="00A5276F" w:rsidRPr="00A5276F">
        <w:rPr>
          <w:rFonts w:asciiTheme="minorHAnsi" w:hAnsiTheme="minorHAnsi" w:cstheme="minorHAnsi"/>
          <w:color w:val="auto"/>
          <w:sz w:val="22"/>
          <w:szCs w:val="22"/>
        </w:rPr>
        <w:t>, peter.misura@bbsk.sk</w:t>
      </w:r>
      <w:r>
        <w:rPr>
          <w:rFonts w:asciiTheme="minorHAnsi" w:hAnsiTheme="minorHAnsi" w:cstheme="minorHAnsi"/>
          <w:color w:val="auto"/>
          <w:sz w:val="22"/>
          <w:szCs w:val="22"/>
        </w:rPr>
        <w:t>.</w:t>
      </w:r>
    </w:p>
    <w:p w14:paraId="5DF5E9A3" w14:textId="1E949D45" w:rsidR="001E66FD" w:rsidRDefault="001E66FD" w:rsidP="00453328">
      <w:pPr>
        <w:spacing w:line="259" w:lineRule="auto"/>
        <w:rPr>
          <w:rFonts w:cstheme="minorHAnsi"/>
        </w:rPr>
      </w:pPr>
      <w:r>
        <w:rPr>
          <w:rFonts w:cstheme="minorHAnsi"/>
        </w:rPr>
        <w:t xml:space="preserve"> </w:t>
      </w:r>
    </w:p>
    <w:p w14:paraId="1FDE2BDF" w14:textId="77777777" w:rsidR="00F548C9" w:rsidRDefault="00F548C9" w:rsidP="001E66FD">
      <w:pPr>
        <w:autoSpaceDE w:val="0"/>
        <w:autoSpaceDN w:val="0"/>
        <w:adjustRightInd w:val="0"/>
        <w:spacing w:after="0" w:line="240" w:lineRule="auto"/>
        <w:jc w:val="center"/>
        <w:rPr>
          <w:rFonts w:cstheme="minorHAnsi"/>
          <w:b/>
          <w:bCs/>
          <w:color w:val="000000"/>
        </w:rPr>
      </w:pPr>
    </w:p>
    <w:p w14:paraId="2A45465F" w14:textId="7BEF2151"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Cena za dielo je stanovená </w:t>
      </w:r>
      <w:r w:rsidRPr="007E632E">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73B6F3C0" w14:textId="77777777" w:rsidR="00F548C9" w:rsidRDefault="00F548C9" w:rsidP="001E66FD">
      <w:pPr>
        <w:autoSpaceDE w:val="0"/>
        <w:autoSpaceDN w:val="0"/>
        <w:adjustRightInd w:val="0"/>
        <w:spacing w:after="0" w:line="240" w:lineRule="auto"/>
        <w:jc w:val="center"/>
        <w:rPr>
          <w:rFonts w:cstheme="minorHAnsi"/>
          <w:b/>
          <w:bCs/>
          <w:color w:val="000000"/>
        </w:rPr>
      </w:pPr>
    </w:p>
    <w:p w14:paraId="254BCB6D" w14:textId="2945BED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CF17A0C" w:rsidR="001E66FD" w:rsidRPr="00ED244E" w:rsidRDefault="001E66FD" w:rsidP="001D7E9D">
      <w:pPr>
        <w:pStyle w:val="Odsekzoznamu"/>
        <w:numPr>
          <w:ilvl w:val="0"/>
          <w:numId w:val="6"/>
        </w:numPr>
        <w:tabs>
          <w:tab w:val="left" w:pos="0"/>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faktúry za vykonané dodávky a práce na diele v zmysle tejto </w:t>
      </w:r>
      <w:r w:rsidR="00ED244E">
        <w:rPr>
          <w:rFonts w:asciiTheme="minorHAnsi" w:hAnsiTheme="minorHAnsi" w:cstheme="minorHAnsi"/>
          <w:color w:val="000000"/>
        </w:rPr>
        <w:t xml:space="preserve"> </w:t>
      </w:r>
      <w:r w:rsidRPr="00ED244E">
        <w:rPr>
          <w:rFonts w:asciiTheme="minorHAnsi" w:hAnsiTheme="minorHAnsi" w:cstheme="minorHAnsi"/>
          <w:color w:val="000000"/>
        </w:rPr>
        <w:t>Zmluvy maximálne v troch fakturačných celkoch nasledovne:</w:t>
      </w:r>
    </w:p>
    <w:p w14:paraId="57BF19F7" w14:textId="1A2E2ECB" w:rsidR="001E66FD" w:rsidRPr="00643097"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43097">
        <w:rPr>
          <w:rFonts w:asciiTheme="minorHAnsi" w:hAnsiTheme="minorHAnsi" w:cstheme="minorHAnsi"/>
          <w:color w:val="000000"/>
        </w:rPr>
        <w:t>minimálne 25</w:t>
      </w:r>
      <w:r w:rsidR="002125E6" w:rsidRPr="00643097">
        <w:rPr>
          <w:rFonts w:asciiTheme="minorHAnsi" w:hAnsiTheme="minorHAnsi" w:cstheme="minorHAnsi"/>
          <w:color w:val="000000"/>
        </w:rPr>
        <w:t xml:space="preserve"> </w:t>
      </w:r>
      <w:r w:rsidR="009B2AA3" w:rsidRPr="00643097">
        <w:rPr>
          <w:rFonts w:asciiTheme="minorHAnsi" w:hAnsiTheme="minorHAnsi" w:cstheme="minorHAnsi"/>
          <w:color w:val="000000"/>
        </w:rPr>
        <w:t xml:space="preserve">% a </w:t>
      </w:r>
      <w:r w:rsidRPr="00643097">
        <w:rPr>
          <w:rFonts w:asciiTheme="minorHAnsi" w:hAnsiTheme="minorHAnsi" w:cstheme="minorHAnsi"/>
          <w:color w:val="000000"/>
        </w:rPr>
        <w:t>maximálne 30</w:t>
      </w:r>
      <w:r w:rsidR="002125E6" w:rsidRPr="00643097">
        <w:rPr>
          <w:rFonts w:asciiTheme="minorHAnsi" w:hAnsiTheme="minorHAnsi" w:cstheme="minorHAnsi"/>
          <w:color w:val="000000"/>
        </w:rPr>
        <w:t xml:space="preserve"> </w:t>
      </w:r>
      <w:r w:rsidRPr="00643097">
        <w:rPr>
          <w:rFonts w:asciiTheme="minorHAnsi" w:hAnsiTheme="minorHAnsi" w:cstheme="minorHAnsi"/>
          <w:color w:val="000000"/>
        </w:rPr>
        <w:t xml:space="preserve">% z  ceny </w:t>
      </w:r>
      <w:r w:rsidR="002D6BF7" w:rsidRPr="00643097">
        <w:rPr>
          <w:rFonts w:asciiTheme="minorHAnsi" w:hAnsiTheme="minorHAnsi" w:cstheme="minorHAnsi"/>
          <w:color w:val="000000"/>
        </w:rPr>
        <w:t xml:space="preserve">za </w:t>
      </w:r>
      <w:r w:rsidRPr="00643097">
        <w:rPr>
          <w:rFonts w:asciiTheme="minorHAnsi" w:hAnsiTheme="minorHAnsi" w:cstheme="minorHAnsi"/>
          <w:color w:val="000000"/>
        </w:rPr>
        <w:t>diel</w:t>
      </w:r>
      <w:r w:rsidR="002D6BF7" w:rsidRPr="00643097">
        <w:rPr>
          <w:rFonts w:asciiTheme="minorHAnsi" w:hAnsiTheme="minorHAnsi" w:cstheme="minorHAnsi"/>
          <w:color w:val="000000"/>
        </w:rPr>
        <w:t>o</w:t>
      </w:r>
      <w:r w:rsidRPr="00643097">
        <w:rPr>
          <w:rFonts w:asciiTheme="minorHAnsi" w:hAnsiTheme="minorHAnsi" w:cstheme="minorHAnsi"/>
          <w:color w:val="000000"/>
        </w:rPr>
        <w:t xml:space="preserve"> s DPH,</w:t>
      </w:r>
    </w:p>
    <w:p w14:paraId="595404C7" w14:textId="5677A980" w:rsidR="001E66FD" w:rsidRPr="00CE444F"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CE444F">
        <w:rPr>
          <w:rFonts w:asciiTheme="minorHAnsi" w:hAnsiTheme="minorHAnsi" w:cstheme="minorHAnsi"/>
          <w:color w:val="000000"/>
        </w:rPr>
        <w:t>cena fakturovaných prác a dodávok na diele v zmysle tejto Zmluvy v rámci druhého fakturačného celku bude</w:t>
      </w:r>
      <w:r w:rsidR="009B2AA3" w:rsidRPr="00CE444F">
        <w:rPr>
          <w:rFonts w:asciiTheme="minorHAnsi" w:hAnsiTheme="minorHAnsi" w:cstheme="minorHAnsi"/>
          <w:color w:val="000000"/>
        </w:rPr>
        <w:t xml:space="preserve"> minimálne 25</w:t>
      </w:r>
      <w:r w:rsidR="002125E6" w:rsidRPr="00CE444F">
        <w:rPr>
          <w:rFonts w:asciiTheme="minorHAnsi" w:hAnsiTheme="minorHAnsi" w:cstheme="minorHAnsi"/>
          <w:color w:val="000000"/>
        </w:rPr>
        <w:t xml:space="preserve"> </w:t>
      </w:r>
      <w:r w:rsidR="009B2AA3" w:rsidRPr="00CE444F">
        <w:rPr>
          <w:rFonts w:asciiTheme="minorHAnsi" w:hAnsiTheme="minorHAnsi" w:cstheme="minorHAnsi"/>
          <w:color w:val="000000"/>
        </w:rPr>
        <w:t>% a</w:t>
      </w:r>
      <w:r w:rsidRPr="00CE444F">
        <w:rPr>
          <w:rFonts w:asciiTheme="minorHAnsi" w:hAnsiTheme="minorHAnsi" w:cstheme="minorHAnsi"/>
          <w:color w:val="000000"/>
        </w:rPr>
        <w:t xml:space="preserve"> maximálne 30 % z  ceny </w:t>
      </w:r>
      <w:r w:rsidR="000C5EB1" w:rsidRPr="00CE444F">
        <w:rPr>
          <w:rFonts w:asciiTheme="minorHAnsi" w:hAnsiTheme="minorHAnsi" w:cstheme="minorHAnsi"/>
          <w:color w:val="000000"/>
        </w:rPr>
        <w:t xml:space="preserve">za </w:t>
      </w:r>
      <w:r w:rsidRPr="00CE444F">
        <w:rPr>
          <w:rFonts w:asciiTheme="minorHAnsi" w:hAnsiTheme="minorHAnsi" w:cstheme="minorHAnsi"/>
          <w:color w:val="000000"/>
        </w:rPr>
        <w:t>diel</w:t>
      </w:r>
      <w:r w:rsidR="000C5EB1" w:rsidRPr="00CE444F">
        <w:rPr>
          <w:rFonts w:asciiTheme="minorHAnsi" w:hAnsiTheme="minorHAnsi" w:cstheme="minorHAnsi"/>
          <w:color w:val="000000"/>
        </w:rPr>
        <w:t>o</w:t>
      </w:r>
      <w:r w:rsidRPr="00CE444F">
        <w:rPr>
          <w:rFonts w:asciiTheme="minorHAnsi" w:hAnsiTheme="minorHAnsi" w:cstheme="minorHAnsi"/>
          <w:color w:val="000000"/>
        </w:rPr>
        <w:t xml:space="preserve"> s</w:t>
      </w:r>
      <w:r w:rsidR="002D6BF7" w:rsidRPr="00CE444F">
        <w:rPr>
          <w:rFonts w:asciiTheme="minorHAnsi" w:hAnsiTheme="minorHAnsi" w:cstheme="minorHAnsi"/>
          <w:color w:val="000000"/>
        </w:rPr>
        <w:t> </w:t>
      </w:r>
      <w:r w:rsidRPr="00CE444F">
        <w:rPr>
          <w:rFonts w:asciiTheme="minorHAnsi" w:hAnsiTheme="minorHAnsi" w:cstheme="minorHAnsi"/>
          <w:color w:val="000000"/>
        </w:rPr>
        <w:t>DPH</w:t>
      </w:r>
      <w:r w:rsidR="002D6BF7" w:rsidRPr="00CE444F">
        <w:rPr>
          <w:rFonts w:asciiTheme="minorHAnsi" w:hAnsiTheme="minorHAnsi" w:cstheme="minorHAnsi"/>
          <w:color w:val="000000"/>
        </w:rPr>
        <w:t>,</w:t>
      </w:r>
      <w:r w:rsidRPr="00CE444F">
        <w:rPr>
          <w:rFonts w:asciiTheme="minorHAnsi" w:hAnsiTheme="minorHAnsi" w:cstheme="minorHAnsi"/>
          <w:color w:val="000000"/>
        </w:rPr>
        <w:t xml:space="preserve"> </w:t>
      </w:r>
    </w:p>
    <w:p w14:paraId="07481D4A" w14:textId="2E0B46C9"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ED244E">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ED244E">
        <w:rPr>
          <w:rFonts w:asciiTheme="minorHAnsi" w:hAnsiTheme="minorHAnsi" w:cstheme="minorHAnsi"/>
          <w:color w:val="000000"/>
        </w:rPr>
        <w:t xml:space="preserve">minimálne </w:t>
      </w:r>
      <w:r w:rsidRPr="00ED244E">
        <w:rPr>
          <w:rFonts w:asciiTheme="minorHAnsi" w:hAnsiTheme="minorHAnsi" w:cstheme="minorHAnsi"/>
          <w:color w:val="000000"/>
        </w:rPr>
        <w:t xml:space="preserve">40 % z  ceny </w:t>
      </w:r>
      <w:r w:rsidR="000C5EB1">
        <w:rPr>
          <w:rFonts w:asciiTheme="minorHAnsi" w:hAnsiTheme="minorHAnsi" w:cstheme="minorHAnsi"/>
          <w:color w:val="000000"/>
        </w:rPr>
        <w:t xml:space="preserve">za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BD7ABC"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a dodávky na diele boli skutočne realizované podľa </w:t>
      </w:r>
      <w:r w:rsidR="008B5306">
        <w:rPr>
          <w:rFonts w:asciiTheme="minorHAnsi" w:hAnsiTheme="minorHAnsi" w:cstheme="minorHAnsi"/>
          <w:color w:val="000000"/>
        </w:rPr>
        <w:t>D</w:t>
      </w:r>
      <w:r>
        <w:rPr>
          <w:rFonts w:asciiTheme="minorHAnsi" w:hAnsiTheme="minorHAnsi" w:cstheme="minorHAnsi"/>
          <w:color w:val="000000"/>
        </w:rPr>
        <w:t xml:space="preserve">okumentácie a ocenené položkou zo schváleného rozpočtu. Jednotlivé položky v </w:t>
      </w:r>
      <w:r w:rsidR="008B5306">
        <w:rPr>
          <w:rFonts w:asciiTheme="minorHAnsi" w:hAnsiTheme="minorHAnsi" w:cstheme="minorHAnsi"/>
          <w:color w:val="000000"/>
        </w:rPr>
        <w:t xml:space="preserve">súpise podľa predchádzajúcej vety </w:t>
      </w:r>
      <w:r>
        <w:rPr>
          <w:rFonts w:asciiTheme="minorHAnsi" w:hAnsiTheme="minorHAnsi" w:cstheme="minorHAnsi"/>
          <w:color w:val="000000"/>
        </w:rPr>
        <w:t xml:space="preserve">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757E29" w:rsidRPr="00BD7ABC">
        <w:rPr>
          <w:rFonts w:asciiTheme="minorHAnsi" w:hAnsiTheme="minorHAnsi" w:cstheme="minorHAnsi"/>
          <w:b/>
          <w:bCs/>
          <w:color w:val="000000"/>
        </w:rPr>
        <w:t>Systém vykazovania vykonaných prác musí zabezpečiť, aby vykonaná práca nebola vyplatená dvakrát</w:t>
      </w:r>
      <w:r w:rsidR="00ED33C5">
        <w:rPr>
          <w:rFonts w:asciiTheme="minorHAnsi" w:hAnsiTheme="minorHAnsi" w:cstheme="minorHAnsi"/>
          <w:b/>
          <w:bCs/>
          <w:color w:val="000000"/>
        </w:rPr>
        <w:t xml:space="preserve">, pričom: </w:t>
      </w:r>
    </w:p>
    <w:p w14:paraId="2CAF55BC" w14:textId="210F1033" w:rsidR="00BB1F80"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BB1F80">
        <w:rPr>
          <w:rFonts w:asciiTheme="minorHAnsi" w:hAnsiTheme="minorHAnsi" w:cstheme="minorHAnsi"/>
          <w:color w:val="000000"/>
        </w:rPr>
        <w:t>položky súpisu vykonaných prác musia byť v súlade s položkami prác uvedenými v  rozpočte/ocenenom výkaze výmer,</w:t>
      </w:r>
    </w:p>
    <w:p w14:paraId="4737FE49" w14:textId="13FAA2DB" w:rsidR="00BB1F80" w:rsidRPr="00315600"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315600">
        <w:rPr>
          <w:rFonts w:asciiTheme="minorHAnsi" w:hAnsiTheme="minorHAnsi" w:cstheme="minorHAnsi"/>
          <w:color w:val="000000"/>
        </w:rPr>
        <w:t>súpis vykonaných prác musí zaznamenávať množstv</w:t>
      </w:r>
      <w:r w:rsidR="00517832">
        <w:rPr>
          <w:rFonts w:asciiTheme="minorHAnsi" w:hAnsiTheme="minorHAnsi" w:cstheme="minorHAnsi"/>
          <w:color w:val="000000"/>
        </w:rPr>
        <w:t>o</w:t>
      </w:r>
      <w:r w:rsidRPr="00315600">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315600"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315600">
        <w:rPr>
          <w:rFonts w:asciiTheme="minorHAnsi" w:hAnsiTheme="minorHAnsi" w:cstheme="minorHAnsi"/>
          <w:color w:val="000000"/>
        </w:rPr>
        <w:t xml:space="preserve">súpis vykonaných prác musí obsahovať jednotkové ceny fakturovaných prác v súlade so </w:t>
      </w:r>
      <w:r w:rsidR="00517832">
        <w:rPr>
          <w:rFonts w:asciiTheme="minorHAnsi" w:hAnsiTheme="minorHAnsi" w:cstheme="minorHAnsi"/>
          <w:color w:val="000000"/>
        </w:rPr>
        <w:t>Z</w:t>
      </w:r>
      <w:r w:rsidRPr="00315600">
        <w:rPr>
          <w:rFonts w:asciiTheme="minorHAnsi" w:hAnsiTheme="minorHAnsi" w:cstheme="minorHAnsi"/>
          <w:color w:val="000000"/>
        </w:rPr>
        <w:t>mluvou</w:t>
      </w:r>
      <w:r w:rsidR="00517832">
        <w:rPr>
          <w:rFonts w:asciiTheme="minorHAnsi" w:hAnsiTheme="minorHAnsi" w:cstheme="minorHAnsi"/>
          <w:color w:val="000000"/>
        </w:rPr>
        <w:t>.</w:t>
      </w:r>
    </w:p>
    <w:p w14:paraId="2F223EE3" w14:textId="2F93A951" w:rsidR="00517832" w:rsidRDefault="00ED33C5" w:rsidP="00ED33C5">
      <w:pPr>
        <w:pStyle w:val="Odsekzoznamu"/>
        <w:numPr>
          <w:ilvl w:val="0"/>
          <w:numId w:val="29"/>
        </w:numPr>
        <w:jc w:val="both"/>
        <w:rPr>
          <w:rFonts w:asciiTheme="minorHAnsi" w:hAnsiTheme="minorHAnsi" w:cstheme="minorHAnsi"/>
          <w:color w:val="000000"/>
        </w:rPr>
      </w:pPr>
      <w:r w:rsidRPr="00517832">
        <w:rPr>
          <w:rFonts w:asciiTheme="minorHAnsi" w:hAnsiTheme="minorHAnsi" w:cstheme="minorHAnsi"/>
          <w:color w:val="000000"/>
        </w:rPr>
        <w:t>F</w:t>
      </w:r>
      <w:r w:rsidR="00757E29" w:rsidRPr="00517832">
        <w:rPr>
          <w:rFonts w:asciiTheme="minorHAnsi" w:hAnsiTheme="minorHAnsi" w:cstheme="minorHAnsi"/>
          <w:color w:val="000000"/>
        </w:rPr>
        <w:t>otodokumentácia</w:t>
      </w:r>
      <w:r>
        <w:rPr>
          <w:rFonts w:asciiTheme="minorHAnsi" w:hAnsiTheme="minorHAnsi" w:cstheme="minorHAnsi"/>
          <w:color w:val="000000"/>
        </w:rPr>
        <w:t xml:space="preserve"> zabezpečená zhotoviteľom podľa čl. III ods. 8 Zmluvy</w:t>
      </w:r>
      <w:r w:rsidR="00757E29" w:rsidRPr="00517832">
        <w:rPr>
          <w:rFonts w:asciiTheme="minorHAnsi" w:hAnsiTheme="minorHAnsi" w:cstheme="minorHAnsi"/>
          <w:color w:val="000000"/>
        </w:rPr>
        <w:t xml:space="preserve"> zachytávajúca fyzický pokrok </w:t>
      </w:r>
      <w:r w:rsidR="00415F8A" w:rsidRPr="00517832">
        <w:rPr>
          <w:rFonts w:asciiTheme="minorHAnsi" w:hAnsiTheme="minorHAnsi" w:cstheme="minorHAnsi"/>
          <w:color w:val="000000"/>
        </w:rPr>
        <w:t>vykonávania</w:t>
      </w:r>
      <w:r>
        <w:rPr>
          <w:rFonts w:asciiTheme="minorHAnsi" w:hAnsiTheme="minorHAnsi" w:cstheme="minorHAnsi"/>
          <w:color w:val="000000"/>
        </w:rPr>
        <w:t xml:space="preserve"> dodaných</w:t>
      </w:r>
      <w:r w:rsidR="00517832">
        <w:rPr>
          <w:rFonts w:asciiTheme="minorHAnsi" w:hAnsiTheme="minorHAnsi" w:cstheme="minorHAnsi"/>
          <w:color w:val="000000"/>
        </w:rPr>
        <w:t xml:space="preserve"> </w:t>
      </w:r>
      <w:r w:rsidR="00757E29" w:rsidRPr="00517832">
        <w:rPr>
          <w:rFonts w:asciiTheme="minorHAnsi" w:hAnsiTheme="minorHAnsi" w:cstheme="minorHAnsi"/>
          <w:color w:val="000000"/>
        </w:rPr>
        <w:t>prác</w:t>
      </w:r>
      <w:r>
        <w:rPr>
          <w:rFonts w:asciiTheme="minorHAnsi" w:hAnsiTheme="minorHAnsi" w:cstheme="minorHAnsi"/>
          <w:color w:val="000000"/>
        </w:rPr>
        <w:t xml:space="preserve"> zoradená</w:t>
      </w:r>
      <w:r w:rsidR="00757E29" w:rsidRPr="00517832">
        <w:rPr>
          <w:rFonts w:asciiTheme="minorHAnsi" w:hAnsiTheme="minorHAnsi" w:cstheme="minorHAnsi"/>
          <w:color w:val="000000"/>
        </w:rPr>
        <w:t xml:space="preserve"> v časovom slede. </w:t>
      </w:r>
    </w:p>
    <w:p w14:paraId="7DB027A5" w14:textId="77777777" w:rsidR="00ED33C5" w:rsidRPr="00ED33C5" w:rsidRDefault="00ED33C5" w:rsidP="00ED33C5">
      <w:pPr>
        <w:pStyle w:val="Odsekzoznamu"/>
        <w:ind w:left="720"/>
        <w:jc w:val="both"/>
        <w:rPr>
          <w:rFonts w:asciiTheme="minorHAnsi" w:hAnsiTheme="minorHAnsi" w:cstheme="minorHAnsi"/>
          <w:color w:val="000000"/>
        </w:rPr>
      </w:pPr>
    </w:p>
    <w:p w14:paraId="3AEF27EE" w14:textId="062F90CE"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Pr>
          <w:rFonts w:cstheme="minorHAnsi"/>
          <w:color w:val="000000"/>
        </w:rPr>
        <w:t xml:space="preserve">Po riadnom dodaní diela je zhotoviteľ povinný objednávateľovi vystaviť konečnú faktúru. </w:t>
      </w:r>
      <w:r w:rsidR="001E66FD" w:rsidRPr="00814399">
        <w:rPr>
          <w:rFonts w:cstheme="minorHAnsi"/>
          <w:color w:val="000000"/>
        </w:rPr>
        <w:t xml:space="preserve">Konečná faktúra predstavuje celkové finančné vysporiadanie diela. Zhotoviteľ je </w:t>
      </w:r>
      <w:r w:rsidR="00142B5F">
        <w:rPr>
          <w:rFonts w:cstheme="minorHAnsi"/>
          <w:color w:val="000000"/>
        </w:rPr>
        <w:t>povinný</w:t>
      </w:r>
      <w:r w:rsidR="00142B5F" w:rsidRPr="00814399">
        <w:rPr>
          <w:rFonts w:cstheme="minorHAnsi"/>
          <w:color w:val="000000"/>
        </w:rPr>
        <w:t xml:space="preserve"> </w:t>
      </w:r>
      <w:r w:rsidR="001E66FD" w:rsidRPr="00814399">
        <w:rPr>
          <w:rFonts w:cstheme="minorHAnsi"/>
          <w:color w:val="000000"/>
        </w:rPr>
        <w:t>vystaviť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1"/>
    <w:bookmarkEnd w:id="2"/>
    <w:bookmarkEnd w:id="3"/>
    <w:bookmarkEnd w:id="4"/>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lastRenderedPageBreak/>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5052BACB" w:rsidR="00D92FEF" w:rsidRPr="001E4897"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Pr="00642A84">
        <w:rPr>
          <w:rStyle w:val="CharStyle13"/>
          <w:rFonts w:asciiTheme="minorHAnsi" w:hAnsiTheme="minorHAnsi" w:cstheme="minorHAnsi"/>
        </w:rPr>
        <w:t xml:space="preserve">Divadlo J. G. Tajovského Zvolen </w:t>
      </w:r>
      <w:r w:rsidR="00D52B9D">
        <w:rPr>
          <w:rStyle w:val="CharStyle13"/>
          <w:rFonts w:asciiTheme="minorHAnsi" w:hAnsiTheme="minorHAnsi" w:cstheme="minorHAnsi"/>
        </w:rPr>
        <w:t>–</w:t>
      </w:r>
      <w:r w:rsidRPr="00642A84">
        <w:rPr>
          <w:rStyle w:val="CharStyle13"/>
          <w:rFonts w:asciiTheme="minorHAnsi" w:hAnsiTheme="minorHAnsi" w:cstheme="minorHAnsi"/>
        </w:rPr>
        <w:t xml:space="preserve"> zníženie energetickej náročnosti objektu divadla</w:t>
      </w:r>
    </w:p>
    <w:p w14:paraId="6007791B" w14:textId="6B6E326C" w:rsidR="00E003C6" w:rsidRDefault="001E4897" w:rsidP="00102848">
      <w:pPr>
        <w:spacing w:after="240" w:line="240" w:lineRule="auto"/>
        <w:rPr>
          <w:color w:val="1F497D"/>
        </w:rPr>
      </w:pPr>
      <w:r w:rsidRPr="001E4897">
        <w:rPr>
          <w:rFonts w:cstheme="minorHAnsi"/>
        </w:rPr>
        <w:t xml:space="preserve">Kód </w:t>
      </w:r>
      <w:r w:rsidR="00E003C6">
        <w:rPr>
          <w:rFonts w:cstheme="minorHAnsi"/>
        </w:rPr>
        <w:t xml:space="preserve">ŽoPPM: </w:t>
      </w:r>
      <w:r w:rsidR="00E003C6">
        <w:rPr>
          <w:rFonts w:cstheme="minorHAnsi"/>
        </w:rPr>
        <w:tab/>
      </w:r>
      <w:r w:rsidR="00E003C6">
        <w:rPr>
          <w:rFonts w:cstheme="minorHAnsi"/>
        </w:rPr>
        <w:tab/>
      </w:r>
      <w:r w:rsidR="00E003C6">
        <w:rPr>
          <w:rFonts w:cstheme="minorHAnsi"/>
        </w:rPr>
        <w:tab/>
      </w:r>
      <w:r w:rsidR="00E003C6" w:rsidRPr="00F548C9">
        <w:t>02I02 – 29 – V01/379</w:t>
      </w:r>
    </w:p>
    <w:p w14:paraId="6707070F" w14:textId="49439E3B" w:rsidR="001E4897" w:rsidRPr="00F548C9" w:rsidRDefault="000B5786" w:rsidP="00642A84">
      <w:pPr>
        <w:spacing w:after="240" w:line="240" w:lineRule="auto"/>
      </w:pPr>
      <w:r w:rsidRPr="00F548C9">
        <w:t xml:space="preserve">Identifikátor: </w:t>
      </w:r>
      <w:r w:rsidRPr="00F548C9">
        <w:tab/>
      </w:r>
      <w:r w:rsidRPr="00F548C9">
        <w:tab/>
      </w:r>
      <w:r w:rsidRPr="00F548C9">
        <w:tab/>
        <w:t>2303-K</w:t>
      </w:r>
    </w:p>
    <w:p w14:paraId="0BCC54CB" w14:textId="5CFD0F92" w:rsidR="001E66FD" w:rsidRDefault="00D52B9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w:t>
      </w:r>
      <w:r w:rsidR="001A571B">
        <w:rPr>
          <w:rFonts w:asciiTheme="minorHAnsi" w:hAnsiTheme="minorHAnsi" w:cstheme="minorHAnsi"/>
        </w:rPr>
        <w:t xml:space="preserve">Ak </w:t>
      </w:r>
      <w:r w:rsidR="001E66FD">
        <w:rPr>
          <w:rFonts w:asciiTheme="minorHAnsi" w:hAnsiTheme="minorHAnsi" w:cstheme="minorHAnsi"/>
        </w:rPr>
        <w:t xml:space="preserve">faktúra nebude obsahovať </w:t>
      </w:r>
      <w:r w:rsidR="001A571B">
        <w:rPr>
          <w:rFonts w:asciiTheme="minorHAnsi" w:hAnsiTheme="minorHAnsi" w:cstheme="minorHAnsi"/>
        </w:rPr>
        <w:t xml:space="preserve">údaje, náležitosti alebo prílohy  dohodnuté </w:t>
      </w:r>
      <w:r w:rsidR="001E66FD">
        <w:rPr>
          <w:rFonts w:asciiTheme="minorHAnsi" w:hAnsiTheme="minorHAnsi" w:cstheme="minorHAnsi"/>
        </w:rPr>
        <w:t>v</w:t>
      </w:r>
      <w:r>
        <w:rPr>
          <w:rFonts w:asciiTheme="minorHAnsi" w:hAnsiTheme="minorHAnsi" w:cstheme="minorHAnsi"/>
        </w:rPr>
        <w:t> </w:t>
      </w:r>
      <w:r w:rsidR="001E66FD">
        <w:rPr>
          <w:rFonts w:asciiTheme="minorHAnsi" w:hAnsiTheme="minorHAnsi" w:cstheme="minorHAnsi"/>
        </w:rPr>
        <w:t>tejto Zmluve, objednávateľ bude oprávnený takto vystavenú faktúru vrátiť zhotoviteľovi na</w:t>
      </w:r>
      <w:r w:rsidR="00B74BE0">
        <w:rPr>
          <w:rFonts w:asciiTheme="minorHAnsi" w:hAnsiTheme="minorHAnsi" w:cstheme="minorHAnsi"/>
        </w:rPr>
        <w:t xml:space="preserve"> opravu alebo</w:t>
      </w:r>
      <w:r w:rsidR="001E66FD">
        <w:rPr>
          <w:rFonts w:asciiTheme="minorHAnsi" w:hAnsiTheme="minorHAnsi" w:cstheme="minorHAnsi"/>
        </w:rPr>
        <w:t xml:space="preserve"> doplnenie. V</w:t>
      </w:r>
      <w:r>
        <w:rPr>
          <w:rFonts w:asciiTheme="minorHAnsi" w:hAnsiTheme="minorHAnsi" w:cstheme="minorHAnsi"/>
        </w:rPr>
        <w:t> </w:t>
      </w:r>
      <w:r w:rsidR="001E66FD">
        <w:rPr>
          <w:rFonts w:asciiTheme="minorHAnsi" w:hAnsiTheme="minorHAnsi" w:cstheme="minorHAnsi"/>
        </w:rPr>
        <w:t xml:space="preserve">takom prípade začne lehota splatnosti </w:t>
      </w:r>
      <w:r>
        <w:rPr>
          <w:rFonts w:asciiTheme="minorHAnsi" w:hAnsiTheme="minorHAnsi" w:cstheme="minorHAnsi"/>
        </w:rPr>
        <w:t xml:space="preserve">faktúry </w:t>
      </w:r>
      <w:r w:rsidR="001E66FD">
        <w:rPr>
          <w:rFonts w:asciiTheme="minorHAnsi" w:hAnsiTheme="minorHAnsi" w:cstheme="minorHAnsi"/>
        </w:rPr>
        <w:t xml:space="preserve">plynúť </w:t>
      </w:r>
      <w:r w:rsidR="00B74BE0">
        <w:rPr>
          <w:rFonts w:asciiTheme="minorHAnsi" w:hAnsiTheme="minorHAnsi" w:cstheme="minorHAnsi"/>
        </w:rPr>
        <w:t xml:space="preserve">až odo dňa doručenia </w:t>
      </w:r>
      <w:r w:rsidR="001E66FD">
        <w:rPr>
          <w:rFonts w:asciiTheme="minorHAnsi" w:hAnsiTheme="minorHAnsi" w:cstheme="minorHAnsi"/>
        </w:rPr>
        <w:t xml:space="preserve">opravenej faktúry objednávateľovi. </w:t>
      </w:r>
    </w:p>
    <w:p w14:paraId="2B7ABFFB" w14:textId="403FD6B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231959">
        <w:rPr>
          <w:rFonts w:asciiTheme="minorHAnsi" w:hAnsiTheme="minorHAnsi" w:cstheme="minorHAnsi"/>
        </w:rPr>
        <w:t xml:space="preserve"> </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53D94BFC"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737CF3">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5"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5"/>
      <w:r>
        <w:rPr>
          <w:rFonts w:asciiTheme="minorHAnsi" w:hAnsiTheme="minorHAnsi" w:cstheme="minorHAnsi"/>
          <w:color w:val="auto"/>
          <w:sz w:val="22"/>
          <w:szCs w:val="22"/>
        </w:rPr>
        <w:t>, ako aj položkovite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6" w:name="_Hlk94007859"/>
      <w:r>
        <w:rPr>
          <w:rFonts w:asciiTheme="minorHAnsi" w:hAnsiTheme="minorHAnsi" w:cstheme="minorHAnsi"/>
          <w:bCs/>
          <w:color w:val="auto"/>
          <w:sz w:val="22"/>
          <w:szCs w:val="22"/>
        </w:rPr>
        <w:lastRenderedPageBreak/>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5D44B95C" w:rsidR="009B1308" w:rsidRPr="007E1B81"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Prlílohe č. 6 (</w:t>
      </w:r>
      <w:hyperlink r:id="rId15"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Výzvy Ministerstva dopravy a výstavby Slovenskej republiky: Výzva č. 1 na predkladanie žiadostí o poskytnutie prostriedkov mechanizmu (ďalej len výzvy na predkladanie ŽoPPM) na podporu obnovy a odolnosti na obnovu verejných historických a pamiatkovo chránených budov (</w:t>
      </w:r>
      <w:hyperlink r:id="rId16" w:history="1">
        <w:r>
          <w:rPr>
            <w:rStyle w:val="Hypertextovprepojenie"/>
            <w:rFonts w:asciiTheme="minorHAnsi" w:hAnsiTheme="minorHAnsi" w:cstheme="minorHAnsi"/>
          </w:rPr>
          <w:t>https://www.mindop.sk/ministerstvo-1/zalezitosti-eu-a-medzinarodnych-vztahov-14/fondy-eu/plan-obnovy/obnova-budov-54280</w:t>
        </w:r>
      </w:hyperlink>
      <w:r>
        <w:rPr>
          <w:rFonts w:asciiTheme="minorHAnsi" w:hAnsiTheme="minorHAnsi" w:cstheme="minorHAnsi"/>
        </w:rPr>
        <w:t>)</w:t>
      </w:r>
      <w:r w:rsidR="00657FDC">
        <w:rPr>
          <w:rFonts w:asciiTheme="minorHAnsi" w:hAnsiTheme="minorHAnsi" w:cstheme="minorHAnsi"/>
        </w:rPr>
        <w:t>.</w:t>
      </w:r>
    </w:p>
    <w:p w14:paraId="54EB8D05" w14:textId="77777777" w:rsidR="007E1B81" w:rsidRPr="007E1B81" w:rsidRDefault="007E1B81" w:rsidP="007E1B81">
      <w:pPr>
        <w:pStyle w:val="Odsekzoznamu"/>
        <w:rPr>
          <w:rFonts w:asciiTheme="minorHAnsi" w:hAnsiTheme="minorHAnsi" w:cstheme="minorHAnsi"/>
          <w:sz w:val="14"/>
          <w:szCs w:val="14"/>
        </w:rPr>
      </w:pPr>
    </w:p>
    <w:p w14:paraId="5F04C44C" w14:textId="6CAC6395" w:rsidR="007E1B81" w:rsidRPr="007E1B81" w:rsidRDefault="007E1B81" w:rsidP="009B1308">
      <w:pPr>
        <w:pStyle w:val="Odsekzoznamu"/>
        <w:widowControl w:val="0"/>
        <w:numPr>
          <w:ilvl w:val="0"/>
          <w:numId w:val="7"/>
        </w:numPr>
        <w:tabs>
          <w:tab w:val="left" w:pos="426"/>
        </w:tabs>
        <w:ind w:left="0" w:firstLine="0"/>
        <w:contextualSpacing/>
        <w:jc w:val="both"/>
        <w:rPr>
          <w:rFonts w:asciiTheme="minorHAnsi" w:hAnsiTheme="minorHAnsi" w:cstheme="minorHAnsi"/>
          <w:color w:val="FF0000"/>
        </w:rPr>
      </w:pPr>
      <w:r w:rsidRPr="007E1B81">
        <w:rPr>
          <w:rFonts w:asciiTheme="minorHAnsi" w:hAnsiTheme="minorHAnsi" w:cstheme="minorHAnsi"/>
          <w:color w:val="FF0000"/>
        </w:rPr>
        <w:t>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65F83AC4" w14:textId="77777777" w:rsidR="00F548C9" w:rsidRDefault="00F548C9" w:rsidP="001E66FD">
      <w:pPr>
        <w:pStyle w:val="Odsekzoznamu"/>
        <w:autoSpaceDE w:val="0"/>
        <w:autoSpaceDN w:val="0"/>
        <w:adjustRightInd w:val="0"/>
        <w:ind w:left="0"/>
        <w:jc w:val="center"/>
        <w:rPr>
          <w:rFonts w:asciiTheme="minorHAnsi" w:hAnsiTheme="minorHAnsi" w:cstheme="minorHAnsi"/>
          <w:b/>
          <w:color w:val="000000"/>
        </w:rPr>
      </w:pPr>
    </w:p>
    <w:p w14:paraId="70345453" w14:textId="4CB20F0D"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lastRenderedPageBreak/>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07581C5B"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57814BEF" w14:textId="77777777" w:rsidR="00F548C9" w:rsidRDefault="00F548C9"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6D0CE8B5" w14:textId="7EF3514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1E523D7"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781843">
        <w:rPr>
          <w:rFonts w:asciiTheme="minorHAnsi" w:hAnsiTheme="minorHAnsi" w:cstheme="minorHAnsi"/>
          <w:color w:val="000000"/>
        </w:rPr>
        <w:t xml:space="preserve"> </w:t>
      </w:r>
      <w:r>
        <w:rPr>
          <w:rFonts w:asciiTheme="minorHAnsi" w:hAnsiTheme="minorHAnsi" w:cstheme="minorHAnsi"/>
          <w:color w:val="000000"/>
        </w:rPr>
        <w:t>.j. ešte pred tým ako dôjde k realizácii naviac prác na diele, v opačnom prípade nesie náklady na naviac práce zhotoviteľ.</w:t>
      </w:r>
    </w:p>
    <w:p w14:paraId="28DBD9F2" w14:textId="2B788081"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53602B84" w14:textId="77777777" w:rsidR="00F548C9" w:rsidRDefault="00F548C9" w:rsidP="001E66FD">
      <w:pPr>
        <w:pStyle w:val="Default"/>
        <w:jc w:val="center"/>
        <w:rPr>
          <w:rFonts w:asciiTheme="minorHAnsi" w:hAnsiTheme="minorHAnsi" w:cstheme="minorHAnsi"/>
          <w:b/>
          <w:color w:val="auto"/>
          <w:sz w:val="22"/>
          <w:szCs w:val="22"/>
        </w:rPr>
      </w:pPr>
    </w:p>
    <w:p w14:paraId="0C11421D" w14:textId="164AEC83"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lastRenderedPageBreak/>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58A283A0" w14:textId="77777777" w:rsidR="00F548C9" w:rsidRDefault="00F548C9" w:rsidP="001E66FD">
      <w:pPr>
        <w:pStyle w:val="Default"/>
        <w:jc w:val="center"/>
        <w:rPr>
          <w:rFonts w:asciiTheme="minorHAnsi" w:hAnsiTheme="minorHAnsi" w:cstheme="minorHAnsi"/>
          <w:b/>
          <w:bCs/>
          <w:color w:val="auto"/>
          <w:sz w:val="22"/>
          <w:szCs w:val="22"/>
        </w:rPr>
      </w:pPr>
    </w:p>
    <w:p w14:paraId="6C6401EA" w14:textId="2B723D32"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lastRenderedPageBreak/>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4B4801D6" w14:textId="77777777" w:rsidR="00D935B4" w:rsidRDefault="00D935B4" w:rsidP="001E66FD">
      <w:pPr>
        <w:pStyle w:val="Default"/>
        <w:jc w:val="center"/>
        <w:rPr>
          <w:rFonts w:asciiTheme="minorHAnsi" w:hAnsiTheme="minorHAnsi" w:cstheme="minorHAnsi"/>
          <w:b/>
          <w:bCs/>
          <w:color w:val="auto"/>
          <w:sz w:val="22"/>
          <w:szCs w:val="22"/>
        </w:rPr>
      </w:pPr>
    </w:p>
    <w:p w14:paraId="2AC714D8" w14:textId="77777777" w:rsidR="00D935B4" w:rsidRDefault="00D935B4" w:rsidP="001E66FD">
      <w:pPr>
        <w:pStyle w:val="Default"/>
        <w:jc w:val="center"/>
        <w:rPr>
          <w:rFonts w:asciiTheme="minorHAnsi" w:hAnsiTheme="minorHAnsi" w:cstheme="minorHAnsi"/>
          <w:b/>
          <w:bCs/>
          <w:color w:val="auto"/>
          <w:sz w:val="22"/>
          <w:szCs w:val="22"/>
        </w:rPr>
      </w:pPr>
    </w:p>
    <w:p w14:paraId="28A185A5" w14:textId="77777777" w:rsidR="00D935B4" w:rsidRDefault="00D935B4" w:rsidP="001E66FD">
      <w:pPr>
        <w:pStyle w:val="Default"/>
        <w:jc w:val="center"/>
        <w:rPr>
          <w:rFonts w:asciiTheme="minorHAnsi" w:hAnsiTheme="minorHAnsi" w:cstheme="minorHAnsi"/>
          <w:b/>
          <w:bCs/>
          <w:color w:val="auto"/>
          <w:sz w:val="22"/>
          <w:szCs w:val="22"/>
        </w:rPr>
      </w:pPr>
    </w:p>
    <w:p w14:paraId="6C2A03E3" w14:textId="77777777" w:rsidR="00D935B4" w:rsidRDefault="00D935B4" w:rsidP="001E66FD">
      <w:pPr>
        <w:pStyle w:val="Default"/>
        <w:jc w:val="center"/>
        <w:rPr>
          <w:rFonts w:asciiTheme="minorHAnsi" w:hAnsiTheme="minorHAnsi" w:cstheme="minorHAnsi"/>
          <w:b/>
          <w:bCs/>
          <w:color w:val="auto"/>
          <w:sz w:val="22"/>
          <w:szCs w:val="22"/>
        </w:rPr>
      </w:pPr>
    </w:p>
    <w:p w14:paraId="45E579F3" w14:textId="5790E18F"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 xml:space="preserve">Ostatné nároky zo zodpovednosti zhotoviteľa za akosť, množstvo a kvalitu diela sa uplatnia v </w:t>
      </w:r>
      <w:r>
        <w:rPr>
          <w:rStyle w:val="CharStyle36"/>
          <w:rFonts w:asciiTheme="minorHAnsi" w:hAnsiTheme="minorHAnsi" w:cstheme="minorHAnsi"/>
          <w:sz w:val="22"/>
          <w:szCs w:val="22"/>
        </w:rPr>
        <w:lastRenderedPageBreak/>
        <w:t>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7F84796D" w14:textId="77777777" w:rsidR="00F548C9" w:rsidRDefault="00F548C9" w:rsidP="00F548C9">
      <w:pPr>
        <w:pStyle w:val="Default"/>
        <w:rPr>
          <w:rFonts w:asciiTheme="minorHAnsi" w:hAnsiTheme="minorHAnsi" w:cstheme="minorHAnsi"/>
          <w:b/>
          <w:bCs/>
          <w:color w:val="auto"/>
          <w:sz w:val="22"/>
          <w:szCs w:val="22"/>
        </w:rPr>
      </w:pPr>
    </w:p>
    <w:p w14:paraId="01DDB6D4" w14:textId="77777777" w:rsidR="00F548C9" w:rsidRDefault="00F548C9" w:rsidP="00F548C9">
      <w:pPr>
        <w:pStyle w:val="Default"/>
        <w:rPr>
          <w:rFonts w:asciiTheme="minorHAnsi" w:hAnsiTheme="minorHAnsi" w:cstheme="minorHAnsi"/>
          <w:b/>
          <w:bCs/>
          <w:color w:val="auto"/>
          <w:sz w:val="22"/>
          <w:szCs w:val="22"/>
        </w:rPr>
      </w:pPr>
    </w:p>
    <w:p w14:paraId="790CC37D" w14:textId="59647FB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AE22B64"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lastRenderedPageBreak/>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19DAA191" w:rsidR="001E66FD" w:rsidRDefault="00873A67"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9B1308" w:rsidRPr="009B1308">
        <w:rPr>
          <w:rFonts w:asciiTheme="minorHAnsi" w:hAnsiTheme="minorHAnsi" w:cstheme="minorHAnsi"/>
          <w:b/>
          <w:bCs/>
          <w:color w:val="auto"/>
          <w:sz w:val="22"/>
          <w:szCs w:val="22"/>
        </w:rPr>
        <w:t>60%</w:t>
      </w:r>
      <w:r w:rsidR="0036019B" w:rsidRPr="009B1308">
        <w:rPr>
          <w:rFonts w:asciiTheme="minorHAnsi" w:hAnsiTheme="minorHAnsi" w:cstheme="minorHAnsi"/>
          <w:b/>
          <w:bCs/>
          <w:color w:val="auto"/>
          <w:sz w:val="22"/>
          <w:szCs w:val="22"/>
        </w:rPr>
        <w:t xml:space="preserve"> ceny za dielo bez DPH</w:t>
      </w:r>
      <w:r w:rsidR="0036019B">
        <w:rPr>
          <w:rFonts w:asciiTheme="minorHAnsi" w:hAnsiTheme="minorHAnsi" w:cstheme="minorHAnsi"/>
          <w:color w:val="auto"/>
          <w:sz w:val="22"/>
          <w:szCs w:val="22"/>
        </w:rPr>
        <w:t>.</w:t>
      </w: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DB52421" w14:textId="31BB95A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kvalitatívno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písomnému upozorneniu objednávateľa, resp. oprávnenej osoby objednávateľa (zápis v stavebnom denníku na vadné plnenie zhotoviteľa) pokračuje vo vadnom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2D6EA221" w14:textId="77777777" w:rsidR="00F548C9" w:rsidRDefault="00F548C9" w:rsidP="001E66FD">
      <w:pPr>
        <w:pStyle w:val="Default"/>
        <w:jc w:val="center"/>
        <w:rPr>
          <w:rFonts w:asciiTheme="minorHAnsi" w:hAnsiTheme="minorHAnsi" w:cstheme="minorHAnsi"/>
          <w:b/>
          <w:color w:val="auto"/>
          <w:sz w:val="22"/>
          <w:szCs w:val="22"/>
        </w:rPr>
      </w:pPr>
    </w:p>
    <w:p w14:paraId="32C065BC" w14:textId="61344602"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7"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w:t>
      </w:r>
      <w:r>
        <w:rPr>
          <w:rFonts w:ascii="Calibri" w:eastAsia="Calibri" w:hAnsi="Calibri" w:cs="Calibri"/>
          <w:lang w:eastAsia="cs-CZ"/>
        </w:rPr>
        <w:lastRenderedPageBreak/>
        <w:t xml:space="preserve">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lastRenderedPageBreak/>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lastRenderedPageBreak/>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7"/>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0B36834B"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 podatelna@bbsk.sk, martin.danis@bbsk.sk,</w:t>
      </w:r>
      <w:r w:rsidRPr="00D640E4">
        <w:rPr>
          <w:rFonts w:asciiTheme="minorHAnsi" w:hAnsiTheme="minorHAnsi"/>
        </w:rPr>
        <w:t xml:space="preserve"> </w:t>
      </w:r>
      <w:hyperlink r:id="rId17" w:history="1">
        <w:r w:rsidR="00453328" w:rsidRPr="00453328">
          <w:rPr>
            <w:rFonts w:asciiTheme="minorHAnsi" w:hAnsiTheme="minorHAnsi"/>
          </w:rPr>
          <w:t>tomas.deak@bbsk.sk</w:t>
        </w:r>
      </w:hyperlink>
      <w:r w:rsidR="00453328" w:rsidRPr="00453328">
        <w:rPr>
          <w:rFonts w:asciiTheme="minorHAnsi" w:hAnsiTheme="minorHAnsi"/>
        </w:rPr>
        <w:t>, peter.misura@bbsk.sk</w:t>
      </w:r>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zásielky, najneskôr však uplynutím druhého dňa odo dňa zaslania na adresu elektronickej pošty príslušnej Zmluvnej strany, ktorá je 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lastRenderedPageBreak/>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6B76FFBC"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9B1308" w:rsidRPr="009B1308">
        <w:rPr>
          <w:rFonts w:ascii="Calibri" w:hAnsi="Calibri" w:cs="Calibri"/>
          <w:b/>
          <w:bCs/>
          <w:lang w:eastAsia="cs-CZ"/>
        </w:rPr>
        <w:t>22.11.2024</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 xml:space="preserve">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w:t>
      </w:r>
      <w:r>
        <w:rPr>
          <w:rFonts w:asciiTheme="minorHAnsi" w:hAnsiTheme="minorHAnsi" w:cs="Calibri"/>
          <w:lang w:eastAsia="cs-CZ"/>
        </w:rPr>
        <w:lastRenderedPageBreak/>
        <w:t>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lastRenderedPageBreak/>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Lunter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6F21" w14:textId="77777777" w:rsidR="00654169" w:rsidRDefault="00654169" w:rsidP="00D81E0A">
      <w:pPr>
        <w:spacing w:after="0" w:line="240" w:lineRule="auto"/>
      </w:pPr>
      <w:r>
        <w:separator/>
      </w:r>
    </w:p>
  </w:endnote>
  <w:endnote w:type="continuationSeparator" w:id="0">
    <w:p w14:paraId="52FA840B" w14:textId="77777777" w:rsidR="00654169" w:rsidRDefault="0065416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A8C59" w14:textId="77777777" w:rsidR="00654169" w:rsidRDefault="00654169" w:rsidP="00D81E0A">
      <w:pPr>
        <w:spacing w:after="0" w:line="240" w:lineRule="auto"/>
      </w:pPr>
      <w:r>
        <w:separator/>
      </w:r>
    </w:p>
  </w:footnote>
  <w:footnote w:type="continuationSeparator" w:id="0">
    <w:p w14:paraId="19868B9C" w14:textId="77777777" w:rsidR="00654169" w:rsidRDefault="0065416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7"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89623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2"/>
  </w:num>
  <w:num w:numId="3" w16cid:durableId="146604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35"/>
  </w:num>
  <w:num w:numId="8" w16cid:durableId="20898122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1"/>
  </w:num>
  <w:num w:numId="19" w16cid:durableId="569461988">
    <w:abstractNumId w:val="10"/>
  </w:num>
  <w:num w:numId="20" w16cid:durableId="1324815839">
    <w:abstractNumId w:val="2"/>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4"/>
  </w:num>
  <w:num w:numId="23" w16cid:durableId="966081127">
    <w:abstractNumId w:val="36"/>
  </w:num>
  <w:num w:numId="24" w16cid:durableId="629408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6522764">
    <w:abstractNumId w:val="26"/>
  </w:num>
  <w:num w:numId="30" w16cid:durableId="1556893588">
    <w:abstractNumId w:val="7"/>
  </w:num>
  <w:num w:numId="31" w16cid:durableId="708721132">
    <w:abstractNumId w:val="22"/>
  </w:num>
  <w:num w:numId="32" w16cid:durableId="1323697808">
    <w:abstractNumId w:val="1"/>
  </w:num>
  <w:num w:numId="33" w16cid:durableId="309135999">
    <w:abstractNumId w:val="13"/>
  </w:num>
  <w:num w:numId="34" w16cid:durableId="1814251621">
    <w:abstractNumId w:val="37"/>
  </w:num>
  <w:num w:numId="35" w16cid:durableId="1177617159">
    <w:abstractNumId w:val="8"/>
  </w:num>
  <w:num w:numId="36" w16cid:durableId="45765001">
    <w:abstractNumId w:val="21"/>
  </w:num>
  <w:num w:numId="37" w16cid:durableId="2116094261">
    <w:abstractNumId w:val="11"/>
  </w:num>
  <w:num w:numId="38" w16cid:durableId="1975795825">
    <w:abstractNumId w:val="27"/>
  </w:num>
  <w:num w:numId="39" w16cid:durableId="1373771487">
    <w:abstractNumId w:val="23"/>
  </w:num>
  <w:num w:numId="40" w16cid:durableId="1276056558">
    <w:abstractNumId w:val="17"/>
  </w:num>
  <w:num w:numId="41" w16cid:durableId="1847790645">
    <w:abstractNumId w:val="30"/>
  </w:num>
  <w:num w:numId="42" w16cid:durableId="607629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31173"/>
    <w:rsid w:val="00032642"/>
    <w:rsid w:val="0004121F"/>
    <w:rsid w:val="0004146F"/>
    <w:rsid w:val="000438CB"/>
    <w:rsid w:val="00045166"/>
    <w:rsid w:val="00046F6F"/>
    <w:rsid w:val="0005037E"/>
    <w:rsid w:val="00050DF7"/>
    <w:rsid w:val="0005172B"/>
    <w:rsid w:val="00052FB1"/>
    <w:rsid w:val="000557CE"/>
    <w:rsid w:val="00070244"/>
    <w:rsid w:val="00071C4F"/>
    <w:rsid w:val="00073035"/>
    <w:rsid w:val="00073D7E"/>
    <w:rsid w:val="000745A6"/>
    <w:rsid w:val="00075509"/>
    <w:rsid w:val="000766F5"/>
    <w:rsid w:val="00080FC7"/>
    <w:rsid w:val="000838D9"/>
    <w:rsid w:val="000877D4"/>
    <w:rsid w:val="000907E9"/>
    <w:rsid w:val="000923F7"/>
    <w:rsid w:val="00097CAE"/>
    <w:rsid w:val="000A3714"/>
    <w:rsid w:val="000A6780"/>
    <w:rsid w:val="000B0591"/>
    <w:rsid w:val="000B5786"/>
    <w:rsid w:val="000C166A"/>
    <w:rsid w:val="000C383F"/>
    <w:rsid w:val="000C4593"/>
    <w:rsid w:val="000C5EB1"/>
    <w:rsid w:val="000D0BFF"/>
    <w:rsid w:val="000D33A6"/>
    <w:rsid w:val="000D5A99"/>
    <w:rsid w:val="000D6E58"/>
    <w:rsid w:val="000D6E98"/>
    <w:rsid w:val="000D77F5"/>
    <w:rsid w:val="000E0D5F"/>
    <w:rsid w:val="000E4CCD"/>
    <w:rsid w:val="000E4FC3"/>
    <w:rsid w:val="000E5101"/>
    <w:rsid w:val="000F1590"/>
    <w:rsid w:val="000F727E"/>
    <w:rsid w:val="001006B4"/>
    <w:rsid w:val="00102848"/>
    <w:rsid w:val="00102A06"/>
    <w:rsid w:val="00112476"/>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4887"/>
    <w:rsid w:val="001A536C"/>
    <w:rsid w:val="001A571B"/>
    <w:rsid w:val="001A6C18"/>
    <w:rsid w:val="001A6DAB"/>
    <w:rsid w:val="001A7DB6"/>
    <w:rsid w:val="001B2514"/>
    <w:rsid w:val="001B5C4B"/>
    <w:rsid w:val="001B6461"/>
    <w:rsid w:val="001B79D7"/>
    <w:rsid w:val="001C0D06"/>
    <w:rsid w:val="001C2B0C"/>
    <w:rsid w:val="001C324F"/>
    <w:rsid w:val="001C6177"/>
    <w:rsid w:val="001C7477"/>
    <w:rsid w:val="001C7823"/>
    <w:rsid w:val="001D2DE6"/>
    <w:rsid w:val="001D3EFE"/>
    <w:rsid w:val="001D7E9D"/>
    <w:rsid w:val="001E26A6"/>
    <w:rsid w:val="001E4897"/>
    <w:rsid w:val="001E66FD"/>
    <w:rsid w:val="001E70F8"/>
    <w:rsid w:val="001F2260"/>
    <w:rsid w:val="001F268E"/>
    <w:rsid w:val="001F3F25"/>
    <w:rsid w:val="001F4180"/>
    <w:rsid w:val="002033DD"/>
    <w:rsid w:val="002125E6"/>
    <w:rsid w:val="00223A52"/>
    <w:rsid w:val="00224052"/>
    <w:rsid w:val="00231959"/>
    <w:rsid w:val="002419BE"/>
    <w:rsid w:val="00244404"/>
    <w:rsid w:val="0024461E"/>
    <w:rsid w:val="00245B60"/>
    <w:rsid w:val="00253689"/>
    <w:rsid w:val="00257BFB"/>
    <w:rsid w:val="00261AD2"/>
    <w:rsid w:val="00264172"/>
    <w:rsid w:val="00265646"/>
    <w:rsid w:val="00270D3A"/>
    <w:rsid w:val="00273BB4"/>
    <w:rsid w:val="002761D1"/>
    <w:rsid w:val="0028410D"/>
    <w:rsid w:val="00284D7C"/>
    <w:rsid w:val="00285A0C"/>
    <w:rsid w:val="002915D1"/>
    <w:rsid w:val="00292396"/>
    <w:rsid w:val="00292639"/>
    <w:rsid w:val="00293B51"/>
    <w:rsid w:val="002947AB"/>
    <w:rsid w:val="00295F36"/>
    <w:rsid w:val="002A79B7"/>
    <w:rsid w:val="002B2B4B"/>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EB7"/>
    <w:rsid w:val="0035188A"/>
    <w:rsid w:val="00353C57"/>
    <w:rsid w:val="0035638A"/>
    <w:rsid w:val="0036012A"/>
    <w:rsid w:val="0036019B"/>
    <w:rsid w:val="003622D1"/>
    <w:rsid w:val="00363765"/>
    <w:rsid w:val="00363804"/>
    <w:rsid w:val="00365392"/>
    <w:rsid w:val="003653E5"/>
    <w:rsid w:val="00370A53"/>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F3"/>
    <w:rsid w:val="00432DA9"/>
    <w:rsid w:val="004346B8"/>
    <w:rsid w:val="00434AFA"/>
    <w:rsid w:val="00440184"/>
    <w:rsid w:val="00447436"/>
    <w:rsid w:val="004476B9"/>
    <w:rsid w:val="00452B40"/>
    <w:rsid w:val="00453328"/>
    <w:rsid w:val="004541CE"/>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4EE4"/>
    <w:rsid w:val="004D76E1"/>
    <w:rsid w:val="004E06CA"/>
    <w:rsid w:val="004E0FF6"/>
    <w:rsid w:val="004E265D"/>
    <w:rsid w:val="004E43DD"/>
    <w:rsid w:val="004E45CC"/>
    <w:rsid w:val="004E4C56"/>
    <w:rsid w:val="004F3E78"/>
    <w:rsid w:val="004F464E"/>
    <w:rsid w:val="004F5CF2"/>
    <w:rsid w:val="004F75AC"/>
    <w:rsid w:val="004F774A"/>
    <w:rsid w:val="005010EC"/>
    <w:rsid w:val="00503AF8"/>
    <w:rsid w:val="00504761"/>
    <w:rsid w:val="00514E54"/>
    <w:rsid w:val="00515217"/>
    <w:rsid w:val="00517832"/>
    <w:rsid w:val="005229F8"/>
    <w:rsid w:val="00524B5A"/>
    <w:rsid w:val="00526B55"/>
    <w:rsid w:val="0053174B"/>
    <w:rsid w:val="0053576F"/>
    <w:rsid w:val="00543734"/>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4552"/>
    <w:rsid w:val="00586593"/>
    <w:rsid w:val="005914E4"/>
    <w:rsid w:val="005A1BB2"/>
    <w:rsid w:val="005A1F23"/>
    <w:rsid w:val="005A4366"/>
    <w:rsid w:val="005A6067"/>
    <w:rsid w:val="005B1760"/>
    <w:rsid w:val="005B5ADB"/>
    <w:rsid w:val="005B6FCA"/>
    <w:rsid w:val="005B7A0E"/>
    <w:rsid w:val="005B7C6D"/>
    <w:rsid w:val="005C501A"/>
    <w:rsid w:val="005D20F5"/>
    <w:rsid w:val="005D605F"/>
    <w:rsid w:val="005E6B86"/>
    <w:rsid w:val="005E7C76"/>
    <w:rsid w:val="005F1712"/>
    <w:rsid w:val="005F373F"/>
    <w:rsid w:val="005F4A1A"/>
    <w:rsid w:val="005F4C1C"/>
    <w:rsid w:val="005F57D3"/>
    <w:rsid w:val="005F634F"/>
    <w:rsid w:val="005F71B8"/>
    <w:rsid w:val="00600036"/>
    <w:rsid w:val="006006D9"/>
    <w:rsid w:val="00600ED8"/>
    <w:rsid w:val="00606D8F"/>
    <w:rsid w:val="00612017"/>
    <w:rsid w:val="00613F5C"/>
    <w:rsid w:val="00617A71"/>
    <w:rsid w:val="00622D1D"/>
    <w:rsid w:val="006232C4"/>
    <w:rsid w:val="00623329"/>
    <w:rsid w:val="00626F11"/>
    <w:rsid w:val="006312E4"/>
    <w:rsid w:val="00633AB4"/>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4420"/>
    <w:rsid w:val="0069566F"/>
    <w:rsid w:val="0069602F"/>
    <w:rsid w:val="006A007C"/>
    <w:rsid w:val="006A1839"/>
    <w:rsid w:val="006A3977"/>
    <w:rsid w:val="006B2F24"/>
    <w:rsid w:val="006B6789"/>
    <w:rsid w:val="006C1E21"/>
    <w:rsid w:val="006C2444"/>
    <w:rsid w:val="006D11A7"/>
    <w:rsid w:val="006D454C"/>
    <w:rsid w:val="006D4ACB"/>
    <w:rsid w:val="006D5756"/>
    <w:rsid w:val="006D7E0D"/>
    <w:rsid w:val="006E1EB5"/>
    <w:rsid w:val="006E339B"/>
    <w:rsid w:val="006F39E5"/>
    <w:rsid w:val="006F6953"/>
    <w:rsid w:val="006F75FD"/>
    <w:rsid w:val="007018D4"/>
    <w:rsid w:val="007055FD"/>
    <w:rsid w:val="00706EF2"/>
    <w:rsid w:val="007108A3"/>
    <w:rsid w:val="007152A0"/>
    <w:rsid w:val="00715342"/>
    <w:rsid w:val="007153BE"/>
    <w:rsid w:val="00716849"/>
    <w:rsid w:val="00717CB0"/>
    <w:rsid w:val="00724701"/>
    <w:rsid w:val="00725CD7"/>
    <w:rsid w:val="00726B7E"/>
    <w:rsid w:val="0073020D"/>
    <w:rsid w:val="00735546"/>
    <w:rsid w:val="00736E9D"/>
    <w:rsid w:val="00737CC3"/>
    <w:rsid w:val="00737CF3"/>
    <w:rsid w:val="00742163"/>
    <w:rsid w:val="00742419"/>
    <w:rsid w:val="00743F9E"/>
    <w:rsid w:val="00744023"/>
    <w:rsid w:val="00744B2B"/>
    <w:rsid w:val="00744C9B"/>
    <w:rsid w:val="0074746D"/>
    <w:rsid w:val="0074764F"/>
    <w:rsid w:val="00753E1A"/>
    <w:rsid w:val="00757E29"/>
    <w:rsid w:val="00757E59"/>
    <w:rsid w:val="007618D5"/>
    <w:rsid w:val="00767F5D"/>
    <w:rsid w:val="007801E6"/>
    <w:rsid w:val="00781843"/>
    <w:rsid w:val="00781B02"/>
    <w:rsid w:val="00785130"/>
    <w:rsid w:val="00785DF4"/>
    <w:rsid w:val="0078609D"/>
    <w:rsid w:val="00792BA8"/>
    <w:rsid w:val="007939EA"/>
    <w:rsid w:val="0079660E"/>
    <w:rsid w:val="007A5080"/>
    <w:rsid w:val="007A7283"/>
    <w:rsid w:val="007A7F4F"/>
    <w:rsid w:val="007B3743"/>
    <w:rsid w:val="007B6B84"/>
    <w:rsid w:val="007C0009"/>
    <w:rsid w:val="007D05ED"/>
    <w:rsid w:val="007D32B3"/>
    <w:rsid w:val="007D65B0"/>
    <w:rsid w:val="007E1B81"/>
    <w:rsid w:val="007E2170"/>
    <w:rsid w:val="007E632E"/>
    <w:rsid w:val="007E6C4B"/>
    <w:rsid w:val="007F0B6A"/>
    <w:rsid w:val="007F13E9"/>
    <w:rsid w:val="007F1A62"/>
    <w:rsid w:val="007F3680"/>
    <w:rsid w:val="008055E4"/>
    <w:rsid w:val="0080602F"/>
    <w:rsid w:val="008109FF"/>
    <w:rsid w:val="0081363E"/>
    <w:rsid w:val="00814319"/>
    <w:rsid w:val="00814399"/>
    <w:rsid w:val="00822947"/>
    <w:rsid w:val="00823DCD"/>
    <w:rsid w:val="00824AA0"/>
    <w:rsid w:val="0082768F"/>
    <w:rsid w:val="00833CBA"/>
    <w:rsid w:val="00836E17"/>
    <w:rsid w:val="00840B95"/>
    <w:rsid w:val="008422E0"/>
    <w:rsid w:val="008426E6"/>
    <w:rsid w:val="0084274C"/>
    <w:rsid w:val="00843968"/>
    <w:rsid w:val="00847A3F"/>
    <w:rsid w:val="00850553"/>
    <w:rsid w:val="0085352C"/>
    <w:rsid w:val="00855CE2"/>
    <w:rsid w:val="008637CA"/>
    <w:rsid w:val="00871348"/>
    <w:rsid w:val="0087191E"/>
    <w:rsid w:val="00873A67"/>
    <w:rsid w:val="00874D38"/>
    <w:rsid w:val="00880C38"/>
    <w:rsid w:val="00880F7E"/>
    <w:rsid w:val="008850E5"/>
    <w:rsid w:val="008861F1"/>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22C3"/>
    <w:rsid w:val="008D40CB"/>
    <w:rsid w:val="008D6031"/>
    <w:rsid w:val="008E0764"/>
    <w:rsid w:val="008E14F7"/>
    <w:rsid w:val="008E72B1"/>
    <w:rsid w:val="008F01B5"/>
    <w:rsid w:val="008F3191"/>
    <w:rsid w:val="008F320F"/>
    <w:rsid w:val="008F447D"/>
    <w:rsid w:val="008F4B59"/>
    <w:rsid w:val="008F4D0F"/>
    <w:rsid w:val="008F5855"/>
    <w:rsid w:val="009022FB"/>
    <w:rsid w:val="00903372"/>
    <w:rsid w:val="009114A2"/>
    <w:rsid w:val="009127D0"/>
    <w:rsid w:val="009267D5"/>
    <w:rsid w:val="00932483"/>
    <w:rsid w:val="00932589"/>
    <w:rsid w:val="009335C1"/>
    <w:rsid w:val="0093552C"/>
    <w:rsid w:val="009358D8"/>
    <w:rsid w:val="00937A31"/>
    <w:rsid w:val="00940E51"/>
    <w:rsid w:val="00942B34"/>
    <w:rsid w:val="0094327F"/>
    <w:rsid w:val="009459F7"/>
    <w:rsid w:val="00952390"/>
    <w:rsid w:val="00953F30"/>
    <w:rsid w:val="009641F6"/>
    <w:rsid w:val="009730F1"/>
    <w:rsid w:val="009828D0"/>
    <w:rsid w:val="00987CAB"/>
    <w:rsid w:val="0099016F"/>
    <w:rsid w:val="00991A73"/>
    <w:rsid w:val="00992BB4"/>
    <w:rsid w:val="00994699"/>
    <w:rsid w:val="009A43E0"/>
    <w:rsid w:val="009A4959"/>
    <w:rsid w:val="009A4BF1"/>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F58BA"/>
    <w:rsid w:val="009F58C8"/>
    <w:rsid w:val="00A054A3"/>
    <w:rsid w:val="00A0564D"/>
    <w:rsid w:val="00A1166F"/>
    <w:rsid w:val="00A12081"/>
    <w:rsid w:val="00A13D13"/>
    <w:rsid w:val="00A148FE"/>
    <w:rsid w:val="00A178A2"/>
    <w:rsid w:val="00A20077"/>
    <w:rsid w:val="00A21B66"/>
    <w:rsid w:val="00A2368C"/>
    <w:rsid w:val="00A25F33"/>
    <w:rsid w:val="00A30937"/>
    <w:rsid w:val="00A353BA"/>
    <w:rsid w:val="00A35E4E"/>
    <w:rsid w:val="00A3793B"/>
    <w:rsid w:val="00A44680"/>
    <w:rsid w:val="00A468CB"/>
    <w:rsid w:val="00A5276F"/>
    <w:rsid w:val="00A5391D"/>
    <w:rsid w:val="00A574A6"/>
    <w:rsid w:val="00A65287"/>
    <w:rsid w:val="00A67E3B"/>
    <w:rsid w:val="00A77181"/>
    <w:rsid w:val="00A812B0"/>
    <w:rsid w:val="00A82098"/>
    <w:rsid w:val="00A8601B"/>
    <w:rsid w:val="00A86D3F"/>
    <w:rsid w:val="00A90437"/>
    <w:rsid w:val="00A96BD6"/>
    <w:rsid w:val="00A96DC5"/>
    <w:rsid w:val="00AA0416"/>
    <w:rsid w:val="00AA19B5"/>
    <w:rsid w:val="00AA46AB"/>
    <w:rsid w:val="00AA503E"/>
    <w:rsid w:val="00AA7AE5"/>
    <w:rsid w:val="00AB0B23"/>
    <w:rsid w:val="00AB18FC"/>
    <w:rsid w:val="00AB57C1"/>
    <w:rsid w:val="00AB7C32"/>
    <w:rsid w:val="00AC05AF"/>
    <w:rsid w:val="00AC450F"/>
    <w:rsid w:val="00AC7962"/>
    <w:rsid w:val="00AC7C75"/>
    <w:rsid w:val="00AD0A8D"/>
    <w:rsid w:val="00AD5110"/>
    <w:rsid w:val="00AD6467"/>
    <w:rsid w:val="00AE1005"/>
    <w:rsid w:val="00AE1577"/>
    <w:rsid w:val="00AE4092"/>
    <w:rsid w:val="00AF02C2"/>
    <w:rsid w:val="00AF66CA"/>
    <w:rsid w:val="00AF70CA"/>
    <w:rsid w:val="00AF75BE"/>
    <w:rsid w:val="00B03220"/>
    <w:rsid w:val="00B0714A"/>
    <w:rsid w:val="00B07530"/>
    <w:rsid w:val="00B11CA0"/>
    <w:rsid w:val="00B11DFD"/>
    <w:rsid w:val="00B14B27"/>
    <w:rsid w:val="00B22AA5"/>
    <w:rsid w:val="00B23B3E"/>
    <w:rsid w:val="00B26568"/>
    <w:rsid w:val="00B30F1D"/>
    <w:rsid w:val="00B31473"/>
    <w:rsid w:val="00B35833"/>
    <w:rsid w:val="00B42BF5"/>
    <w:rsid w:val="00B43F06"/>
    <w:rsid w:val="00B476C8"/>
    <w:rsid w:val="00B5500A"/>
    <w:rsid w:val="00B5565A"/>
    <w:rsid w:val="00B55892"/>
    <w:rsid w:val="00B57959"/>
    <w:rsid w:val="00B715BB"/>
    <w:rsid w:val="00B74BE0"/>
    <w:rsid w:val="00B817B7"/>
    <w:rsid w:val="00B83483"/>
    <w:rsid w:val="00B85080"/>
    <w:rsid w:val="00B93B30"/>
    <w:rsid w:val="00B96CA2"/>
    <w:rsid w:val="00B978D7"/>
    <w:rsid w:val="00BA2ACB"/>
    <w:rsid w:val="00BA3AD3"/>
    <w:rsid w:val="00BB1F80"/>
    <w:rsid w:val="00BB2E0A"/>
    <w:rsid w:val="00BC101C"/>
    <w:rsid w:val="00BC1E1D"/>
    <w:rsid w:val="00BC1E57"/>
    <w:rsid w:val="00BC2AFF"/>
    <w:rsid w:val="00BC7D30"/>
    <w:rsid w:val="00BD16D3"/>
    <w:rsid w:val="00BD32EA"/>
    <w:rsid w:val="00BD7ABC"/>
    <w:rsid w:val="00BD7DB2"/>
    <w:rsid w:val="00BE0E53"/>
    <w:rsid w:val="00BE50D2"/>
    <w:rsid w:val="00BE5A6A"/>
    <w:rsid w:val="00BE5B2D"/>
    <w:rsid w:val="00BF175E"/>
    <w:rsid w:val="00BF48D0"/>
    <w:rsid w:val="00BF4944"/>
    <w:rsid w:val="00C01A51"/>
    <w:rsid w:val="00C072F8"/>
    <w:rsid w:val="00C10202"/>
    <w:rsid w:val="00C10253"/>
    <w:rsid w:val="00C1180A"/>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78B"/>
    <w:rsid w:val="00C75F67"/>
    <w:rsid w:val="00C75FF2"/>
    <w:rsid w:val="00C767EA"/>
    <w:rsid w:val="00C76E82"/>
    <w:rsid w:val="00C77416"/>
    <w:rsid w:val="00C86123"/>
    <w:rsid w:val="00C90B2E"/>
    <w:rsid w:val="00CA27F3"/>
    <w:rsid w:val="00CA29B5"/>
    <w:rsid w:val="00CA6F97"/>
    <w:rsid w:val="00CB13E2"/>
    <w:rsid w:val="00CB5823"/>
    <w:rsid w:val="00CC221E"/>
    <w:rsid w:val="00CC42CF"/>
    <w:rsid w:val="00CC5359"/>
    <w:rsid w:val="00CC5740"/>
    <w:rsid w:val="00CC5D31"/>
    <w:rsid w:val="00CC7F95"/>
    <w:rsid w:val="00CD0C0A"/>
    <w:rsid w:val="00CD2AF1"/>
    <w:rsid w:val="00CD3037"/>
    <w:rsid w:val="00CD744F"/>
    <w:rsid w:val="00CE04E7"/>
    <w:rsid w:val="00CE2331"/>
    <w:rsid w:val="00CE444F"/>
    <w:rsid w:val="00CE4684"/>
    <w:rsid w:val="00CE4824"/>
    <w:rsid w:val="00CE4C2D"/>
    <w:rsid w:val="00CE53EE"/>
    <w:rsid w:val="00CE702F"/>
    <w:rsid w:val="00CE70B1"/>
    <w:rsid w:val="00CF4875"/>
    <w:rsid w:val="00D04E48"/>
    <w:rsid w:val="00D06EA6"/>
    <w:rsid w:val="00D07D6E"/>
    <w:rsid w:val="00D10BDE"/>
    <w:rsid w:val="00D13BE5"/>
    <w:rsid w:val="00D232AD"/>
    <w:rsid w:val="00D23F33"/>
    <w:rsid w:val="00D2607F"/>
    <w:rsid w:val="00D27799"/>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89D"/>
    <w:rsid w:val="00D72C87"/>
    <w:rsid w:val="00D754EA"/>
    <w:rsid w:val="00D81E0A"/>
    <w:rsid w:val="00D83CBA"/>
    <w:rsid w:val="00D929D9"/>
    <w:rsid w:val="00D92FEF"/>
    <w:rsid w:val="00D935B4"/>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5B6D"/>
    <w:rsid w:val="00DD25D8"/>
    <w:rsid w:val="00DD4E98"/>
    <w:rsid w:val="00DD4FF8"/>
    <w:rsid w:val="00DD5CB8"/>
    <w:rsid w:val="00DD5D1D"/>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72E1"/>
    <w:rsid w:val="00E447CD"/>
    <w:rsid w:val="00E45CBD"/>
    <w:rsid w:val="00E45D38"/>
    <w:rsid w:val="00E4614B"/>
    <w:rsid w:val="00E4631E"/>
    <w:rsid w:val="00E549EC"/>
    <w:rsid w:val="00E54B1D"/>
    <w:rsid w:val="00E54DB2"/>
    <w:rsid w:val="00E5504C"/>
    <w:rsid w:val="00E56A00"/>
    <w:rsid w:val="00E56F74"/>
    <w:rsid w:val="00E6091A"/>
    <w:rsid w:val="00E64420"/>
    <w:rsid w:val="00E723EF"/>
    <w:rsid w:val="00E73068"/>
    <w:rsid w:val="00E747C4"/>
    <w:rsid w:val="00E74E79"/>
    <w:rsid w:val="00E8069D"/>
    <w:rsid w:val="00E82E89"/>
    <w:rsid w:val="00E860DB"/>
    <w:rsid w:val="00E86C8D"/>
    <w:rsid w:val="00E877AA"/>
    <w:rsid w:val="00E913E7"/>
    <w:rsid w:val="00EA066F"/>
    <w:rsid w:val="00EA14D3"/>
    <w:rsid w:val="00EA664E"/>
    <w:rsid w:val="00EB0877"/>
    <w:rsid w:val="00EB1B06"/>
    <w:rsid w:val="00EB2785"/>
    <w:rsid w:val="00EB425C"/>
    <w:rsid w:val="00EB5767"/>
    <w:rsid w:val="00EC4A2C"/>
    <w:rsid w:val="00ED06A7"/>
    <w:rsid w:val="00ED244E"/>
    <w:rsid w:val="00ED33C5"/>
    <w:rsid w:val="00EF0905"/>
    <w:rsid w:val="00EF136C"/>
    <w:rsid w:val="00EF2D67"/>
    <w:rsid w:val="00EF7439"/>
    <w:rsid w:val="00F00575"/>
    <w:rsid w:val="00F00E35"/>
    <w:rsid w:val="00F010D5"/>
    <w:rsid w:val="00F10490"/>
    <w:rsid w:val="00F11A5A"/>
    <w:rsid w:val="00F13DD3"/>
    <w:rsid w:val="00F14EC3"/>
    <w:rsid w:val="00F16DEF"/>
    <w:rsid w:val="00F21DF5"/>
    <w:rsid w:val="00F23070"/>
    <w:rsid w:val="00F238C9"/>
    <w:rsid w:val="00F24A6D"/>
    <w:rsid w:val="00F30398"/>
    <w:rsid w:val="00F400F1"/>
    <w:rsid w:val="00F41AC3"/>
    <w:rsid w:val="00F44627"/>
    <w:rsid w:val="00F44DEB"/>
    <w:rsid w:val="00F507A7"/>
    <w:rsid w:val="00F53138"/>
    <w:rsid w:val="00F548C9"/>
    <w:rsid w:val="00F55539"/>
    <w:rsid w:val="00F56B61"/>
    <w:rsid w:val="00F57914"/>
    <w:rsid w:val="00F64EE1"/>
    <w:rsid w:val="00F67446"/>
    <w:rsid w:val="00F727A0"/>
    <w:rsid w:val="00F837A0"/>
    <w:rsid w:val="00F8666F"/>
    <w:rsid w:val="00F91106"/>
    <w:rsid w:val="00F9325D"/>
    <w:rsid w:val="00F96654"/>
    <w:rsid w:val="00F966B5"/>
    <w:rsid w:val="00FA15BE"/>
    <w:rsid w:val="00FA1EE9"/>
    <w:rsid w:val="00FA6EB8"/>
    <w:rsid w:val="00FB0DDE"/>
    <w:rsid w:val="00FB553A"/>
    <w:rsid w:val="00FC3A99"/>
    <w:rsid w:val="00FC3FBE"/>
    <w:rsid w:val="00FD0E9D"/>
    <w:rsid w:val="00FD5C30"/>
    <w:rsid w:val="00FE322B"/>
    <w:rsid w:val="00FE36FD"/>
    <w:rsid w:val="00FE3DA5"/>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deak@bbsk.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hyperlink" Target="mailto:tomas.deak@bbsk.sk" TargetMode="External"/><Relationship Id="rId2" Type="http://schemas.openxmlformats.org/officeDocument/2006/relationships/customXml" Target="../customXml/item2.xml"/><Relationship Id="rId16" Type="http://schemas.openxmlformats.org/officeDocument/2006/relationships/hyperlink" Target="https://www.mindop.sk/ministerstvo-1/zalezitosti-eu-a-medzinarodnych-vztahov-14/fondy-eu/plan-obnovy/obnova-budov-542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hyperlink" Target="https://www.mindop.sk/uploads/Pl%C3%A1n%20obnovy/Obnova%20budov/Priloha-6-v-zneni-ozn-3_200320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de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1B5B6B51-8371-449B-9ABC-08E440F96CDD}">
  <ds:schemaRefs>
    <ds:schemaRef ds:uri="http://schemas.microsoft.com/sharepoint/v3/contenttype/forms"/>
  </ds:schemaRefs>
</ds:datastoreItem>
</file>

<file path=customXml/itemProps3.xml><?xml version="1.0" encoding="utf-8"?>
<ds:datastoreItem xmlns:ds="http://schemas.openxmlformats.org/officeDocument/2006/customXml" ds:itemID="{6BB12D84-4D5E-4E04-8BB6-2E836708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69C5FD-B17A-4108-A1D4-3630906B81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28</Pages>
  <Words>13838</Words>
  <Characters>78879</Characters>
  <Application>Microsoft Office Word</Application>
  <DocSecurity>0</DocSecurity>
  <Lines>657</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9</cp:revision>
  <cp:lastPrinted>2024-03-27T13:16:00Z</cp:lastPrinted>
  <dcterms:created xsi:type="dcterms:W3CDTF">2024-04-22T06:20:00Z</dcterms:created>
  <dcterms:modified xsi:type="dcterms:W3CDTF">2024-06-27T06:53:00Z</dcterms:modified>
</cp:coreProperties>
</file>