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3B151F20" w14:textId="77777777" w:rsidR="0053750B" w:rsidRPr="00E800B9" w:rsidRDefault="0053750B" w:rsidP="0053750B">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3457EEAF"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b/>
          <w:sz w:val="20"/>
          <w:szCs w:val="20"/>
        </w:rPr>
        <w:t xml:space="preserve">Stredoslovenský ústav srdcových a cievnych chorôb, </w:t>
      </w:r>
      <w:proofErr w:type="spellStart"/>
      <w:r>
        <w:rPr>
          <w:rFonts w:ascii="Times New Roman" w:hAnsi="Times New Roman" w:cs="Times New Roman"/>
          <w:b/>
          <w:sz w:val="20"/>
          <w:szCs w:val="20"/>
        </w:rPr>
        <w:t>a.s</w:t>
      </w:r>
      <w:proofErr w:type="spellEnd"/>
      <w:r>
        <w:rPr>
          <w:rFonts w:ascii="Times New Roman" w:hAnsi="Times New Roman" w:cs="Times New Roman"/>
          <w:b/>
          <w:sz w:val="20"/>
          <w:szCs w:val="20"/>
        </w:rPr>
        <w:t>.</w:t>
      </w:r>
      <w:r w:rsidRPr="00E800B9">
        <w:rPr>
          <w:rFonts w:ascii="Times New Roman" w:hAnsi="Times New Roman" w:cs="Times New Roman"/>
          <w:sz w:val="20"/>
          <w:szCs w:val="20"/>
        </w:rPr>
        <w:tab/>
      </w:r>
    </w:p>
    <w:p w14:paraId="2C6C842B"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Cesta k nemocnici 1, 97401 Banská Bystrica, Slovenská republika</w:t>
      </w:r>
      <w:r w:rsidRPr="00E800B9">
        <w:rPr>
          <w:rFonts w:ascii="Times New Roman" w:hAnsi="Times New Roman" w:cs="Times New Roman"/>
          <w:sz w:val="20"/>
          <w:szCs w:val="20"/>
        </w:rPr>
        <w:tab/>
        <w:t xml:space="preserve"> </w:t>
      </w:r>
    </w:p>
    <w:p w14:paraId="5A17423B" w14:textId="77777777" w:rsidR="0053750B" w:rsidRPr="00997067"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 xml:space="preserve">Ing. Pavel </w:t>
      </w:r>
      <w:proofErr w:type="spellStart"/>
      <w:r w:rsidRPr="00997067">
        <w:rPr>
          <w:rFonts w:ascii="Times New Roman" w:hAnsi="Times New Roman" w:cs="Times New Roman"/>
          <w:sz w:val="20"/>
          <w:szCs w:val="20"/>
        </w:rPr>
        <w:t>Bartošík</w:t>
      </w:r>
      <w:proofErr w:type="spellEnd"/>
      <w:r w:rsidRPr="00997067">
        <w:rPr>
          <w:rFonts w:ascii="Times New Roman" w:hAnsi="Times New Roman" w:cs="Times New Roman"/>
          <w:sz w:val="20"/>
          <w:szCs w:val="20"/>
        </w:rPr>
        <w:t xml:space="preserve"> - predseda predstavenstva</w:t>
      </w:r>
    </w:p>
    <w:p w14:paraId="4954BEC1" w14:textId="77777777" w:rsidR="0053750B" w:rsidRPr="00E800B9" w:rsidRDefault="0053750B" w:rsidP="0053750B">
      <w:pPr>
        <w:spacing w:after="0" w:line="240" w:lineRule="auto"/>
        <w:ind w:left="2124" w:firstLine="708"/>
        <w:rPr>
          <w:rFonts w:ascii="Times New Roman" w:hAnsi="Times New Roman" w:cs="Times New Roman"/>
          <w:sz w:val="20"/>
          <w:szCs w:val="20"/>
        </w:rPr>
      </w:pPr>
      <w:proofErr w:type="spellStart"/>
      <w:r w:rsidRPr="00997067">
        <w:rPr>
          <w:rFonts w:ascii="Times New Roman" w:hAnsi="Times New Roman" w:cs="Times New Roman"/>
          <w:sz w:val="20"/>
          <w:szCs w:val="20"/>
        </w:rPr>
        <w:t>Dr.h.c</w:t>
      </w:r>
      <w:proofErr w:type="spellEnd"/>
      <w:r w:rsidRPr="00997067">
        <w:rPr>
          <w:rFonts w:ascii="Times New Roman" w:hAnsi="Times New Roman" w:cs="Times New Roman"/>
          <w:sz w:val="20"/>
          <w:szCs w:val="20"/>
        </w:rPr>
        <w:t xml:space="preserve">. prof. MUDr. Karol </w:t>
      </w:r>
      <w:proofErr w:type="spellStart"/>
      <w:r w:rsidRPr="00997067">
        <w:rPr>
          <w:rFonts w:ascii="Times New Roman" w:hAnsi="Times New Roman" w:cs="Times New Roman"/>
          <w:sz w:val="20"/>
          <w:szCs w:val="20"/>
        </w:rPr>
        <w:t>Králinský</w:t>
      </w:r>
      <w:proofErr w:type="spellEnd"/>
      <w:r w:rsidRPr="00997067">
        <w:rPr>
          <w:rFonts w:ascii="Times New Roman" w:hAnsi="Times New Roman" w:cs="Times New Roman"/>
          <w:sz w:val="20"/>
          <w:szCs w:val="20"/>
        </w:rPr>
        <w:t>, Ph</w:t>
      </w:r>
      <w:r>
        <w:rPr>
          <w:rFonts w:ascii="Times New Roman" w:hAnsi="Times New Roman" w:cs="Times New Roman"/>
          <w:sz w:val="20"/>
          <w:szCs w:val="20"/>
        </w:rPr>
        <w:t>D. - podpredseda predstavenstva</w:t>
      </w:r>
      <w:r w:rsidRPr="00E800B9">
        <w:rPr>
          <w:rFonts w:ascii="Times New Roman" w:hAnsi="Times New Roman" w:cs="Times New Roman"/>
          <w:sz w:val="20"/>
          <w:szCs w:val="20"/>
        </w:rPr>
        <w:t xml:space="preserve"> </w:t>
      </w:r>
    </w:p>
    <w:p w14:paraId="5326CC7A"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36 644 331</w:t>
      </w:r>
    </w:p>
    <w:p w14:paraId="127F4069"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2022102753</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647E15D7" w:rsidR="00093ABA" w:rsidRPr="00E800B9" w:rsidRDefault="0053750B"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SK2022102753</w:t>
      </w:r>
      <w:r w:rsidR="00093ABA"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proofErr w:type="spellStart"/>
      <w:r w:rsidR="009B45A4" w:rsidRPr="00A12790">
        <w:rPr>
          <w:rFonts w:ascii="Times New Roman" w:eastAsia="Times New Roman" w:hAnsi="Times New Roman" w:cs="Times New Roman"/>
          <w:sz w:val="20"/>
          <w:szCs w:val="20"/>
        </w:rPr>
        <w:t>angiografický</w:t>
      </w:r>
      <w:proofErr w:type="spellEnd"/>
      <w:r w:rsidR="009B45A4" w:rsidRPr="00A12790">
        <w:rPr>
          <w:rFonts w:ascii="Times New Roman" w:eastAsia="Times New Roman" w:hAnsi="Times New Roman" w:cs="Times New Roman"/>
          <w:sz w:val="20"/>
          <w:szCs w:val="20"/>
        </w:rPr>
        <w:t xml:space="preserve">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3_Digitalizácia v 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 xml:space="preserve">Navigačný systém pre liečbu </w:t>
      </w:r>
      <w:proofErr w:type="spellStart"/>
      <w:r w:rsidR="0039094C" w:rsidRPr="00A12790">
        <w:rPr>
          <w:rFonts w:ascii="Times New Roman" w:hAnsi="Times New Roman" w:cs="Times New Roman"/>
          <w:sz w:val="20"/>
          <w:szCs w:val="20"/>
        </w:rPr>
        <w:t>fibrilácie</w:t>
      </w:r>
      <w:proofErr w:type="spellEnd"/>
      <w:r w:rsidR="0039094C" w:rsidRPr="00A12790">
        <w:rPr>
          <w:rFonts w:ascii="Times New Roman" w:hAnsi="Times New Roman" w:cs="Times New Roman"/>
          <w:sz w:val="20"/>
          <w:szCs w:val="20"/>
        </w:rPr>
        <w:t xml:space="preserv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2936D6F8"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proofErr w:type="spellStart"/>
      <w:r w:rsidR="00870C73" w:rsidRPr="00BA52B5">
        <w:rPr>
          <w:rFonts w:ascii="Times New Roman" w:eastAsia="Times New Roman" w:hAnsi="Times New Roman" w:cs="Times New Roman"/>
          <w:sz w:val="20"/>
          <w:szCs w:val="20"/>
        </w:rPr>
        <w:t>angiografický</w:t>
      </w:r>
      <w:proofErr w:type="spellEnd"/>
      <w:r w:rsidR="00870C73" w:rsidRPr="00BA52B5">
        <w:rPr>
          <w:rFonts w:ascii="Times New Roman" w:eastAsia="Times New Roman" w:hAnsi="Times New Roman" w:cs="Times New Roman"/>
          <w:sz w:val="20"/>
          <w:szCs w:val="20"/>
        </w:rPr>
        <w:t xml:space="preserve">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832368">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832368">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832368">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o ochrane 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lastRenderedPageBreak/>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74ED8BD4"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w:t>
      </w:r>
      <w:r w:rsidR="00121EB5">
        <w:rPr>
          <w:rFonts w:ascii="Times New Roman" w:hAnsi="Times New Roman" w:cs="Times New Roman"/>
          <w:sz w:val="20"/>
          <w:szCs w:val="20"/>
        </w:rPr>
        <w:t>ej</w:t>
      </w:r>
      <w:r w:rsidRPr="00E800B9">
        <w:rPr>
          <w:rFonts w:ascii="Times New Roman" w:hAnsi="Times New Roman" w:cs="Times New Roman"/>
          <w:sz w:val="20"/>
          <w:szCs w:val="20"/>
        </w:rPr>
        <w:t xml:space="preserve"> </w:t>
      </w:r>
      <w:r w:rsidR="00121EB5">
        <w:rPr>
          <w:rFonts w:ascii="Times New Roman" w:hAnsi="Times New Roman" w:cs="Times New Roman"/>
          <w:sz w:val="20"/>
          <w:szCs w:val="20"/>
        </w:rPr>
        <w:t>údržby</w:t>
      </w:r>
      <w:r w:rsidR="00121EB5" w:rsidRPr="00E800B9">
        <w:rPr>
          <w:rFonts w:ascii="Times New Roman" w:hAnsi="Times New Roman" w:cs="Times New Roman"/>
          <w:sz w:val="20"/>
          <w:szCs w:val="20"/>
        </w:rPr>
        <w:t xml:space="preserve"> </w:t>
      </w:r>
      <w:r w:rsidRPr="00E800B9">
        <w:rPr>
          <w:rFonts w:ascii="Times New Roman" w:hAnsi="Times New Roman" w:cs="Times New Roman"/>
          <w:sz w:val="20"/>
          <w:szCs w:val="20"/>
        </w:rPr>
        <w:t>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4CE8885B"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5D055F">
        <w:rPr>
          <w:rFonts w:ascii="Times New Roman" w:hAnsi="Times New Roman" w:cs="Times New Roman"/>
          <w:sz w:val="20"/>
          <w:szCs w:val="20"/>
        </w:rPr>
        <w:t>sto</w:t>
      </w:r>
      <w:r w:rsidR="00315639">
        <w:rPr>
          <w:rFonts w:ascii="Times New Roman" w:hAnsi="Times New Roman" w:cs="Times New Roman"/>
          <w:sz w:val="20"/>
          <w:szCs w:val="20"/>
        </w:rPr>
        <w:t xml:space="preserve"> (</w:t>
      </w:r>
      <w:r w:rsidR="005D055F">
        <w:rPr>
          <w:rFonts w:ascii="Times New Roman" w:hAnsi="Times New Roman" w:cs="Times New Roman"/>
          <w:sz w:val="20"/>
          <w:szCs w:val="20"/>
        </w:rPr>
        <w:t>100</w:t>
      </w:r>
      <w:bookmarkStart w:id="0" w:name="_GoBack"/>
      <w:bookmarkEnd w:id="0"/>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w:t>
      </w:r>
      <w:proofErr w:type="spellStart"/>
      <w:r w:rsidR="00AD2776">
        <w:rPr>
          <w:rFonts w:ascii="Times New Roman" w:hAnsi="Times New Roman" w:cs="Times New Roman"/>
          <w:sz w:val="20"/>
          <w:szCs w:val="20"/>
        </w:rPr>
        <w:t>závad</w:t>
      </w:r>
      <w:proofErr w:type="spellEnd"/>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7E1BBB7" w:rsidR="00651962" w:rsidRPr="007F286C" w:rsidRDefault="00651962" w:rsidP="007F286C">
      <w:pPr>
        <w:pStyle w:val="Odsekzoznamu"/>
        <w:spacing w:after="0" w:line="240" w:lineRule="auto"/>
        <w:ind w:left="426"/>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A427CB">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301520">
        <w:rPr>
          <w:rFonts w:ascii="Times New Roman" w:eastAsia="Times New Roman" w:hAnsi="Times New Roman" w:cs="Times New Roman"/>
          <w:sz w:val="20"/>
          <w:szCs w:val="20"/>
          <w:lang w:eastAsia="sk-SK"/>
        </w:rPr>
        <w:t>Príloh</w:t>
      </w:r>
      <w:r w:rsidR="00A427CB">
        <w:rPr>
          <w:rFonts w:ascii="Times New Roman" w:eastAsia="Times New Roman" w:hAnsi="Times New Roman" w:cs="Times New Roman"/>
          <w:sz w:val="20"/>
          <w:szCs w:val="20"/>
          <w:lang w:eastAsia="sk-SK"/>
        </w:rPr>
        <w:t>e</w:t>
      </w:r>
      <w:r w:rsidR="00301520">
        <w:rPr>
          <w:rFonts w:ascii="Times New Roman" w:eastAsia="Times New Roman" w:hAnsi="Times New Roman" w:cs="Times New Roman"/>
          <w:sz w:val="20"/>
          <w:szCs w:val="20"/>
          <w:lang w:eastAsia="sk-SK"/>
        </w:rPr>
        <w:t xml:space="preserve"> č. 3: Š</w:t>
      </w:r>
      <w:r w:rsidR="00AC3317">
        <w:rPr>
          <w:rFonts w:ascii="Times New Roman" w:eastAsia="Times New Roman" w:hAnsi="Times New Roman" w:cs="Times New Roman"/>
          <w:sz w:val="20"/>
          <w:szCs w:val="20"/>
          <w:lang w:eastAsia="sk-SK"/>
        </w:rPr>
        <w:t>truktúrovaný rozpočet ceny</w:t>
      </w:r>
      <w:r w:rsidR="00572E7F">
        <w:rPr>
          <w:rFonts w:ascii="Times New Roman" w:eastAsia="Times New Roman" w:hAnsi="Times New Roman" w:cs="Times New Roman"/>
          <w:sz w:val="20"/>
          <w:szCs w:val="20"/>
          <w:lang w:eastAsia="sk-SK"/>
        </w:rPr>
        <w:t>,</w:t>
      </w:r>
      <w:r w:rsidR="00637490">
        <w:rPr>
          <w:rFonts w:ascii="Times New Roman" w:eastAsia="Times New Roman" w:hAnsi="Times New Roman" w:cs="Times New Roman"/>
          <w:sz w:val="20"/>
          <w:szCs w:val="20"/>
          <w:lang w:eastAsia="sk-SK"/>
        </w:rPr>
        <w:t xml:space="preserve"> </w:t>
      </w:r>
      <w:r w:rsidR="00105DCE">
        <w:rPr>
          <w:rFonts w:ascii="Times New Roman" w:hAnsi="Times New Roman" w:cs="Times New Roman"/>
          <w:bCs/>
          <w:sz w:val="20"/>
          <w:szCs w:val="20"/>
        </w:rPr>
        <w:t>ktorý</w:t>
      </w:r>
      <w:r w:rsidRPr="00E800B9">
        <w:rPr>
          <w:rFonts w:ascii="Times New Roman" w:hAnsi="Times New Roman" w:cs="Times New Roman"/>
          <w:bCs/>
          <w:sz w:val="20"/>
          <w:szCs w:val="20"/>
        </w:rPr>
        <w:t xml:space="preserve"> tvorí neoddeliteľnú</w:t>
      </w:r>
      <w:r w:rsidR="007F286C">
        <w:rPr>
          <w:rFonts w:ascii="Times New Roman" w:hAnsi="Times New Roman" w:cs="Times New Roman"/>
          <w:bCs/>
          <w:sz w:val="20"/>
          <w:szCs w:val="20"/>
        </w:rPr>
        <w:t xml:space="preserve"> </w:t>
      </w:r>
      <w:r w:rsidRPr="00E800B9">
        <w:rPr>
          <w:rFonts w:ascii="Times New Roman" w:hAnsi="Times New Roman" w:cs="Times New Roman"/>
          <w:bCs/>
          <w:sz w:val="20"/>
          <w:szCs w:val="20"/>
        </w:rPr>
        <w:t>súčasť tejto Zmluvy (ďalej len ,,Kúpna cena“)</w:t>
      </w:r>
      <w:r w:rsidR="00AD277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0BE4F845" w:rsidR="00C54724" w:rsidRDefault="0083236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6A1531E6"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832368">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29EEBD58"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A26377">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lastRenderedPageBreak/>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7F09D8D4"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predmetu 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w:t>
      </w:r>
      <w:r w:rsidR="00DD3EC5" w:rsidRPr="00483820">
        <w:rPr>
          <w:rFonts w:ascii="Times New Roman" w:hAnsi="Times New Roman" w:cs="Times New Roman"/>
          <w:sz w:val="20"/>
          <w:szCs w:val="20"/>
        </w:rPr>
        <w:lastRenderedPageBreak/>
        <w:t>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lastRenderedPageBreak/>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77777777" w:rsidR="00CE3A4F" w:rsidRDefault="00CE3A4F"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5A1BB31"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832368">
        <w:rPr>
          <w:rFonts w:ascii="Times New Roman" w:eastAsia="Times New Roman" w:hAnsi="Times New Roman" w:cs="Times New Roman"/>
          <w:sz w:val="20"/>
          <w:szCs w:val="20"/>
          <w:lang w:eastAsia="sk-SK"/>
        </w:rPr>
        <w:t xml:space="preserve"> a vlastný návrh plnenia predmetu zákazky</w:t>
      </w:r>
    </w:p>
    <w:p w14:paraId="53153C56" w14:textId="797CFD8D"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4B180E05" w14:textId="35C58CD6" w:rsidR="00301520" w:rsidRPr="00E800B9" w:rsidRDefault="00301520"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734D1257" w14:textId="77777777"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6EC58904" w14:textId="545709BD"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408FC168"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71827A72" w14:textId="3568D63B"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77EDBD17" w14:textId="1BB92CBD"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2A6E7DB6"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301520">
        <w:rPr>
          <w:rFonts w:ascii="Times New Roman" w:eastAsia="Times New Roman" w:hAnsi="Times New Roman" w:cs="Times New Roman"/>
          <w:b/>
          <w:sz w:val="20"/>
          <w:szCs w:val="20"/>
          <w:lang w:eastAsia="sk-SK"/>
        </w:rPr>
        <w:t xml:space="preserve"> </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 xml:space="preserve">(nechodiace </w:t>
      </w:r>
      <w:proofErr w:type="gramStart"/>
      <w:r w:rsidRPr="00E800B9">
        <w:rPr>
          <w:rFonts w:ascii="Times New Roman" w:eastAsia="Calibri" w:hAnsi="Times New Roman" w:cs="Times New Roman"/>
          <w:sz w:val="20"/>
          <w:szCs w:val="20"/>
        </w:rPr>
        <w:t>sa</w:t>
      </w:r>
      <w:proofErr w:type="gramEnd"/>
      <w:r w:rsidRPr="00E800B9">
        <w:rPr>
          <w:rFonts w:ascii="Times New Roman" w:eastAsia="Calibri" w:hAnsi="Times New Roman" w:cs="Times New Roman"/>
          <w:sz w:val="20"/>
          <w:szCs w:val="20"/>
        </w:rPr>
        <w:t xml:space="preserve">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2EE8BA4D" w14:textId="77777777" w:rsidR="00301520" w:rsidRPr="00E800B9" w:rsidRDefault="00301520" w:rsidP="00301520">
      <w:pPr>
        <w:spacing w:after="0" w:line="240" w:lineRule="auto"/>
        <w:jc w:val="both"/>
        <w:rPr>
          <w:rFonts w:ascii="Times New Roman" w:hAnsi="Times New Roman" w:cs="Times New Roman"/>
          <w:sz w:val="20"/>
          <w:szCs w:val="20"/>
        </w:rPr>
      </w:pPr>
    </w:p>
    <w:p w14:paraId="313FF0DE" w14:textId="4FDFF1A5"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7D0846C4" w14:textId="77777777"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0AD2DBDE" w:rsidR="00E32806" w:rsidRPr="00E800B9" w:rsidRDefault="00301520" w:rsidP="00301520">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ŠTRUKTÚROVANÝ ROZPEČET CENY</w:t>
      </w: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44D3" w14:textId="77777777" w:rsidR="001B64A7" w:rsidRDefault="001B64A7" w:rsidP="00B82C6D">
      <w:pPr>
        <w:spacing w:after="0" w:line="240" w:lineRule="auto"/>
      </w:pPr>
      <w:r>
        <w:separator/>
      </w:r>
    </w:p>
  </w:endnote>
  <w:endnote w:type="continuationSeparator" w:id="0">
    <w:p w14:paraId="4C3BAC2C" w14:textId="77777777" w:rsidR="001B64A7" w:rsidRDefault="001B64A7"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0204197F"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5D055F">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5D055F">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C9C3" w14:textId="77777777" w:rsidR="001B64A7" w:rsidRDefault="001B64A7" w:rsidP="00B82C6D">
      <w:pPr>
        <w:spacing w:after="0" w:line="240" w:lineRule="auto"/>
      </w:pPr>
      <w:r>
        <w:separator/>
      </w:r>
    </w:p>
  </w:footnote>
  <w:footnote w:type="continuationSeparator" w:id="0">
    <w:p w14:paraId="34A7684A" w14:textId="77777777" w:rsidR="001B64A7" w:rsidRDefault="001B64A7"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79B50C11" w:rsidR="00A26377" w:rsidRPr="00465EC7" w:rsidRDefault="00C85DED" w:rsidP="007F4005">
    <w:pPr>
      <w:pStyle w:val="Hlavika"/>
      <w:jc w:val="right"/>
      <w:rPr>
        <w:rFonts w:ascii="Times New Roman" w:hAnsi="Times New Roman" w:cs="Times New Roman"/>
        <w:sz w:val="20"/>
        <w:szCs w:val="20"/>
      </w:rPr>
    </w:pPr>
    <w:r>
      <w:rPr>
        <w:rFonts w:ascii="Times New Roman" w:hAnsi="Times New Roman" w:cs="Times New Roman"/>
        <w:sz w:val="20"/>
        <w:szCs w:val="20"/>
      </w:rPr>
      <w:t>Príloha č. 2</w:t>
    </w:r>
    <w:r w:rsidR="00A26377"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17466"/>
    <w:rsid w:val="00021DBF"/>
    <w:rsid w:val="000264E3"/>
    <w:rsid w:val="00031F30"/>
    <w:rsid w:val="00033921"/>
    <w:rsid w:val="00035B30"/>
    <w:rsid w:val="00044F19"/>
    <w:rsid w:val="00054536"/>
    <w:rsid w:val="00083BDA"/>
    <w:rsid w:val="00085145"/>
    <w:rsid w:val="000863A9"/>
    <w:rsid w:val="000916DA"/>
    <w:rsid w:val="00093ABA"/>
    <w:rsid w:val="000A6F37"/>
    <w:rsid w:val="000C409E"/>
    <w:rsid w:val="000E0990"/>
    <w:rsid w:val="00105DCE"/>
    <w:rsid w:val="00111494"/>
    <w:rsid w:val="00121EB5"/>
    <w:rsid w:val="00125F1F"/>
    <w:rsid w:val="001276F8"/>
    <w:rsid w:val="001377D4"/>
    <w:rsid w:val="00147822"/>
    <w:rsid w:val="001615CE"/>
    <w:rsid w:val="001841F6"/>
    <w:rsid w:val="001A0996"/>
    <w:rsid w:val="001A0DA1"/>
    <w:rsid w:val="001A2B65"/>
    <w:rsid w:val="001A627A"/>
    <w:rsid w:val="001A7A33"/>
    <w:rsid w:val="001B64A7"/>
    <w:rsid w:val="001C6DE5"/>
    <w:rsid w:val="001C72AB"/>
    <w:rsid w:val="001D06BA"/>
    <w:rsid w:val="001D102B"/>
    <w:rsid w:val="001E496E"/>
    <w:rsid w:val="0022635D"/>
    <w:rsid w:val="002271C9"/>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1520"/>
    <w:rsid w:val="0030510E"/>
    <w:rsid w:val="00307A01"/>
    <w:rsid w:val="00312901"/>
    <w:rsid w:val="00315639"/>
    <w:rsid w:val="003158E1"/>
    <w:rsid w:val="00315CFC"/>
    <w:rsid w:val="00334646"/>
    <w:rsid w:val="003501EB"/>
    <w:rsid w:val="00362F44"/>
    <w:rsid w:val="00365E40"/>
    <w:rsid w:val="00374078"/>
    <w:rsid w:val="003767DD"/>
    <w:rsid w:val="00380665"/>
    <w:rsid w:val="0038123D"/>
    <w:rsid w:val="0039094C"/>
    <w:rsid w:val="003A0A5B"/>
    <w:rsid w:val="003B0201"/>
    <w:rsid w:val="003B2013"/>
    <w:rsid w:val="003C2BAE"/>
    <w:rsid w:val="003C56F2"/>
    <w:rsid w:val="003C5AB5"/>
    <w:rsid w:val="003D622F"/>
    <w:rsid w:val="003E336C"/>
    <w:rsid w:val="003E7989"/>
    <w:rsid w:val="00407742"/>
    <w:rsid w:val="0042725D"/>
    <w:rsid w:val="00457381"/>
    <w:rsid w:val="00465582"/>
    <w:rsid w:val="00465EC7"/>
    <w:rsid w:val="004711A1"/>
    <w:rsid w:val="00471709"/>
    <w:rsid w:val="00474B09"/>
    <w:rsid w:val="004772DC"/>
    <w:rsid w:val="00477AF3"/>
    <w:rsid w:val="00483820"/>
    <w:rsid w:val="004930B6"/>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72E7F"/>
    <w:rsid w:val="00577C3B"/>
    <w:rsid w:val="00584752"/>
    <w:rsid w:val="00584828"/>
    <w:rsid w:val="00591495"/>
    <w:rsid w:val="00593CFB"/>
    <w:rsid w:val="00595325"/>
    <w:rsid w:val="005B4747"/>
    <w:rsid w:val="005C24F0"/>
    <w:rsid w:val="005C2671"/>
    <w:rsid w:val="005D055F"/>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23276"/>
    <w:rsid w:val="0072480F"/>
    <w:rsid w:val="00725C60"/>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2368"/>
    <w:rsid w:val="00832564"/>
    <w:rsid w:val="008373E8"/>
    <w:rsid w:val="008376C4"/>
    <w:rsid w:val="00843D90"/>
    <w:rsid w:val="00847B27"/>
    <w:rsid w:val="00870C73"/>
    <w:rsid w:val="0087239D"/>
    <w:rsid w:val="0087679C"/>
    <w:rsid w:val="00885231"/>
    <w:rsid w:val="00894B9F"/>
    <w:rsid w:val="00896880"/>
    <w:rsid w:val="008A2FEF"/>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27CB"/>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A52B5"/>
    <w:rsid w:val="00BB130A"/>
    <w:rsid w:val="00BB3F2E"/>
    <w:rsid w:val="00BC706F"/>
    <w:rsid w:val="00BF0846"/>
    <w:rsid w:val="00BF1EF8"/>
    <w:rsid w:val="00BF65D7"/>
    <w:rsid w:val="00C016E9"/>
    <w:rsid w:val="00C02496"/>
    <w:rsid w:val="00C04970"/>
    <w:rsid w:val="00C06D18"/>
    <w:rsid w:val="00C07CA3"/>
    <w:rsid w:val="00C136DF"/>
    <w:rsid w:val="00C1407A"/>
    <w:rsid w:val="00C34E68"/>
    <w:rsid w:val="00C41183"/>
    <w:rsid w:val="00C44B9A"/>
    <w:rsid w:val="00C44DCF"/>
    <w:rsid w:val="00C51181"/>
    <w:rsid w:val="00C54724"/>
    <w:rsid w:val="00C650F0"/>
    <w:rsid w:val="00C72088"/>
    <w:rsid w:val="00C73B2D"/>
    <w:rsid w:val="00C84E3C"/>
    <w:rsid w:val="00C85DED"/>
    <w:rsid w:val="00C93DF2"/>
    <w:rsid w:val="00CA7CB2"/>
    <w:rsid w:val="00CB2719"/>
    <w:rsid w:val="00CB6067"/>
    <w:rsid w:val="00CD096E"/>
    <w:rsid w:val="00CE3A4F"/>
    <w:rsid w:val="00CF524B"/>
    <w:rsid w:val="00D032CC"/>
    <w:rsid w:val="00D14153"/>
    <w:rsid w:val="00D15F65"/>
    <w:rsid w:val="00D1785E"/>
    <w:rsid w:val="00D3179A"/>
    <w:rsid w:val="00D31DD0"/>
    <w:rsid w:val="00D41377"/>
    <w:rsid w:val="00D45351"/>
    <w:rsid w:val="00D52D07"/>
    <w:rsid w:val="00D60FDB"/>
    <w:rsid w:val="00D80BD7"/>
    <w:rsid w:val="00DA6A65"/>
    <w:rsid w:val="00DB78F2"/>
    <w:rsid w:val="00DC49BD"/>
    <w:rsid w:val="00DC74E9"/>
    <w:rsid w:val="00DD3EC5"/>
    <w:rsid w:val="00DD605F"/>
    <w:rsid w:val="00DE2125"/>
    <w:rsid w:val="00DE2940"/>
    <w:rsid w:val="00DF0B10"/>
    <w:rsid w:val="00E16BDB"/>
    <w:rsid w:val="00E228EF"/>
    <w:rsid w:val="00E25D46"/>
    <w:rsid w:val="00E26ECC"/>
    <w:rsid w:val="00E32806"/>
    <w:rsid w:val="00E42AE6"/>
    <w:rsid w:val="00E47897"/>
    <w:rsid w:val="00E540E0"/>
    <w:rsid w:val="00E7006D"/>
    <w:rsid w:val="00E75923"/>
    <w:rsid w:val="00E800B9"/>
    <w:rsid w:val="00E91F3E"/>
    <w:rsid w:val="00E926B5"/>
    <w:rsid w:val="00E92D6E"/>
    <w:rsid w:val="00EB35E0"/>
    <w:rsid w:val="00EB3E81"/>
    <w:rsid w:val="00EC3DAF"/>
    <w:rsid w:val="00EC79FE"/>
    <w:rsid w:val="00ED1153"/>
    <w:rsid w:val="00ED347D"/>
    <w:rsid w:val="00EE1F1C"/>
    <w:rsid w:val="00EE2CA7"/>
    <w:rsid w:val="00EE6029"/>
    <w:rsid w:val="00EF4895"/>
    <w:rsid w:val="00F0227D"/>
    <w:rsid w:val="00F10DAF"/>
    <w:rsid w:val="00F243D5"/>
    <w:rsid w:val="00F243E2"/>
    <w:rsid w:val="00F25502"/>
    <w:rsid w:val="00F46823"/>
    <w:rsid w:val="00F5605B"/>
    <w:rsid w:val="00F60728"/>
    <w:rsid w:val="00F63CA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D663F-010B-41A1-BEC0-1FA3D50FF9FE}">
  <ds:schemaRefs>
    <ds:schemaRef ds:uri="http://schemas.microsoft.com/sharepoint/v3/contenttype/forms"/>
  </ds:schemaRefs>
</ds:datastoreItem>
</file>

<file path=customXml/itemProps4.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7118</Words>
  <Characters>40577</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4</cp:revision>
  <cp:lastPrinted>2023-10-24T11:43:00Z</cp:lastPrinted>
  <dcterms:created xsi:type="dcterms:W3CDTF">2023-10-24T07:30:00Z</dcterms:created>
  <dcterms:modified xsi:type="dcterms:W3CDTF">2024-05-28T14:10:00Z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