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782BFC3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250A8" w:rsidRPr="009250A8">
        <w:rPr>
          <w:rFonts w:ascii="Times New Roman" w:hAnsi="Times New Roman"/>
          <w:b/>
          <w:bCs/>
          <w:sz w:val="24"/>
          <w:szCs w:val="24"/>
        </w:rPr>
        <w:t>Most ev. č. 29029-3 Mšeno nad Nisou u hasičárny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17C6E67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31EF7068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mostu s minimální hodnotou této služby ve výši </w:t>
      </w:r>
      <w:r w:rsidR="00173344">
        <w:rPr>
          <w:rFonts w:ascii="Times New Roman" w:hAnsi="Times New Roman"/>
          <w:sz w:val="24"/>
          <w:szCs w:val="24"/>
        </w:rPr>
        <w:t>550 000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P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14864EA3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lastRenderedPageBreak/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P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1048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6</cp:revision>
  <cp:lastPrinted>2019-12-03T06:23:00Z</cp:lastPrinted>
  <dcterms:created xsi:type="dcterms:W3CDTF">2023-10-12T12:30:00Z</dcterms:created>
  <dcterms:modified xsi:type="dcterms:W3CDTF">2024-07-04T09:08:00Z</dcterms:modified>
</cp:coreProperties>
</file>