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D81743">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D81743">
              <w:t>vedúci</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Nákup kameniva pre Odštepný závod Sever, LS Rajecké Teplice a LS Žilina,</w:t>
      </w:r>
      <w:r w:rsidR="001B2C64">
        <w:rPr>
          <w:rFonts w:ascii="Arial" w:hAnsi="Arial" w:cs="Arial"/>
          <w:b/>
          <w:sz w:val="20"/>
          <w:lang w:val="sk-SK"/>
        </w:rPr>
        <w:t xml:space="preserve"> Časť A (bez dopravy) </w:t>
      </w:r>
      <w:r w:rsidR="00D81743">
        <w:rPr>
          <w:rFonts w:ascii="Arial" w:hAnsi="Arial" w:cs="Arial"/>
          <w:b/>
          <w:sz w:val="20"/>
          <w:lang w:val="sk-SK"/>
        </w:rPr>
        <w:t xml:space="preserve">- </w:t>
      </w:r>
      <w:r w:rsidR="001B2C64">
        <w:rPr>
          <w:rFonts w:ascii="Arial" w:hAnsi="Arial" w:cs="Arial"/>
          <w:b/>
          <w:sz w:val="20"/>
          <w:lang w:val="sk-SK"/>
        </w:rPr>
        <w:t>výzva č. 5</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950A5B" w:rsidRDefault="00895CDD" w:rsidP="00895CDD">
            <w:pPr>
              <w:spacing w:after="0"/>
              <w:rPr>
                <w:rFonts w:ascii="Calibri" w:hAnsi="Calibri" w:cs="Calibri"/>
                <w:b/>
                <w:color w:val="000000"/>
                <w:sz w:val="22"/>
                <w:szCs w:val="22"/>
              </w:rPr>
            </w:pPr>
            <w:proofErr w:type="spellStart"/>
            <w:r w:rsidRPr="00950A5B">
              <w:rPr>
                <w:rFonts w:ascii="Calibri" w:hAnsi="Calibri" w:cs="Calibri"/>
                <w:b/>
                <w:color w:val="000000"/>
                <w:sz w:val="22"/>
                <w:szCs w:val="22"/>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950A5B" w:rsidRDefault="00895CDD" w:rsidP="00895CDD">
            <w:pPr>
              <w:spacing w:after="0"/>
              <w:jc w:val="center"/>
              <w:rPr>
                <w:rFonts w:ascii="Calibri" w:hAnsi="Calibri" w:cs="Calibri"/>
                <w:b/>
                <w:color w:val="000000"/>
                <w:sz w:val="22"/>
                <w:szCs w:val="22"/>
              </w:rPr>
            </w:pPr>
            <w:r w:rsidRPr="00950A5B">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950A5B" w:rsidRDefault="00895CDD" w:rsidP="00895CDD">
            <w:pPr>
              <w:spacing w:after="0"/>
              <w:rPr>
                <w:rFonts w:ascii="Calibri" w:hAnsi="Calibri" w:cs="Calibri"/>
                <w:b/>
                <w:color w:val="000000"/>
                <w:sz w:val="22"/>
                <w:szCs w:val="22"/>
              </w:rPr>
            </w:pPr>
            <w:r w:rsidRPr="00950A5B">
              <w:rPr>
                <w:rFonts w:ascii="Calibri" w:hAnsi="Calibri" w:cs="Calibri"/>
                <w:b/>
                <w:color w:val="000000"/>
                <w:sz w:val="22"/>
                <w:szCs w:val="22"/>
              </w:rPr>
              <w:t>Množstvo (tona)</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8/16</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400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16/32</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0/32</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200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0/63</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500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32/63</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r>
      <w:tr w:rsidR="00A2719E" w:rsidRPr="00895CDD"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63/125</w:t>
            </w:r>
          </w:p>
        </w:tc>
        <w:tc>
          <w:tcPr>
            <w:tcW w:w="1765"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r>
      <w:tr w:rsidR="00A2719E" w:rsidRPr="00895CDD" w:rsidTr="00E2225E">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A2719E" w:rsidRPr="00950A5B" w:rsidRDefault="00A2719E" w:rsidP="00A2719E">
            <w:pPr>
              <w:spacing w:after="0"/>
              <w:jc w:val="center"/>
              <w:rPr>
                <w:rFonts w:ascii="Calibri" w:hAnsi="Calibri" w:cs="Calibri"/>
                <w:color w:val="000000"/>
                <w:sz w:val="22"/>
                <w:szCs w:val="22"/>
              </w:rPr>
            </w:pPr>
            <w:r w:rsidRPr="00950A5B">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tcPr>
          <w:p w:rsidR="00A2719E" w:rsidRPr="00950A5B" w:rsidRDefault="00A2719E" w:rsidP="00A2719E">
            <w:pPr>
              <w:jc w:val="center"/>
            </w:pPr>
            <w:r w:rsidRPr="00950A5B">
              <w:t>Kamenivo - lomový kameň 300+</w:t>
            </w:r>
          </w:p>
        </w:tc>
        <w:tc>
          <w:tcPr>
            <w:tcW w:w="1765" w:type="dxa"/>
            <w:tcBorders>
              <w:top w:val="nil"/>
              <w:left w:val="nil"/>
              <w:bottom w:val="single" w:sz="8" w:space="0" w:color="auto"/>
              <w:right w:val="single" w:sz="4" w:space="0" w:color="auto"/>
            </w:tcBorders>
            <w:shd w:val="clear" w:color="auto" w:fill="auto"/>
            <w:noWrap/>
          </w:tcPr>
          <w:p w:rsidR="00A2719E" w:rsidRPr="00950A5B" w:rsidRDefault="00A2719E" w:rsidP="00A2719E">
            <w:pPr>
              <w:jc w:val="center"/>
            </w:pPr>
            <w:r w:rsidRPr="00950A5B">
              <w:t>150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A2719E">
        <w:rPr>
          <w:rFonts w:ascii="Arial" w:hAnsi="Arial" w:cs="Arial"/>
          <w:b/>
          <w:sz w:val="20"/>
          <w:highlight w:val="yellow"/>
          <w:lang w:val="sk-SK"/>
        </w:rPr>
        <w:t>1. 1. 2025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44"/>
        <w:gridCol w:w="1451"/>
        <w:gridCol w:w="4077"/>
      </w:tblGrid>
      <w:tr w:rsidR="001365E5" w:rsidRPr="00D913C7" w:rsidTr="00D81743">
        <w:tc>
          <w:tcPr>
            <w:tcW w:w="3544"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bookmarkStart w:id="0" w:name="_GoBack" w:colFirst="1" w:colLast="1"/>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D81743" w:rsidP="00867440">
            <w:pPr>
              <w:spacing w:after="0"/>
              <w:jc w:val="center"/>
              <w:rPr>
                <w:rFonts w:cs="Arial"/>
                <w:szCs w:val="20"/>
              </w:rPr>
            </w:pPr>
            <w:r>
              <w:rPr>
                <w:rFonts w:eastAsia="Calibri" w:cs="Arial"/>
                <w:szCs w:val="20"/>
              </w:rPr>
              <w:t>vedúci</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451" w:type="dxa"/>
            <w:tcBorders>
              <w:top w:val="nil"/>
              <w:left w:val="nil"/>
              <w:bottom w:val="nil"/>
              <w:right w:val="nil"/>
            </w:tcBorders>
          </w:tcPr>
          <w:p w:rsidR="001365E5" w:rsidRPr="00D913C7" w:rsidRDefault="001365E5" w:rsidP="00480F32">
            <w:pPr>
              <w:spacing w:after="0"/>
              <w:jc w:val="center"/>
              <w:rPr>
                <w:rFonts w:cs="Arial"/>
                <w:szCs w:val="20"/>
              </w:rPr>
            </w:pPr>
          </w:p>
        </w:tc>
        <w:tc>
          <w:tcPr>
            <w:tcW w:w="4077"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bookmarkEnd w:id="0"/>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A2719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4229E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LS Rajecké Teplice a LS Žilina,</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1B2C64">
              <w:rPr>
                <w:rFonts w:ascii="Calibri" w:hAnsi="Calibri" w:cs="Calibri"/>
                <w:b/>
                <w:bCs/>
                <w:color w:val="000000"/>
                <w:sz w:val="22"/>
                <w:szCs w:val="22"/>
              </w:rPr>
              <w:t xml:space="preserve"> 5</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8/16</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400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jc w:val="center"/>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16/32</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c>
          <w:tcPr>
            <w:tcW w:w="1162" w:type="dxa"/>
            <w:tcBorders>
              <w:top w:val="nil"/>
              <w:left w:val="nil"/>
              <w:bottom w:val="single" w:sz="4" w:space="0" w:color="auto"/>
              <w:right w:val="single" w:sz="4" w:space="0" w:color="auto"/>
            </w:tcBorders>
            <w:shd w:val="clear" w:color="000000" w:fill="FFFF00"/>
            <w:noWrap/>
            <w:vAlign w:val="bottom"/>
          </w:tcPr>
          <w:p w:rsidR="00A2719E" w:rsidRPr="006869E7" w:rsidRDefault="00A2719E" w:rsidP="00A2719E">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0/32</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200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0/63</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500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32/63</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Kamenivo 63/125</w:t>
            </w:r>
          </w:p>
        </w:tc>
        <w:tc>
          <w:tcPr>
            <w:tcW w:w="1022" w:type="dxa"/>
            <w:tcBorders>
              <w:top w:val="nil"/>
              <w:left w:val="nil"/>
              <w:bottom w:val="single" w:sz="4" w:space="0" w:color="auto"/>
              <w:right w:val="single" w:sz="4" w:space="0" w:color="auto"/>
            </w:tcBorders>
            <w:shd w:val="clear" w:color="auto" w:fill="auto"/>
            <w:noWrap/>
          </w:tcPr>
          <w:p w:rsidR="00A2719E" w:rsidRPr="00950A5B" w:rsidRDefault="00A2719E" w:rsidP="00A2719E">
            <w:pPr>
              <w:jc w:val="center"/>
            </w:pPr>
            <w:r w:rsidRPr="00950A5B">
              <w:t>600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tcPr>
          <w:p w:rsidR="00A2719E" w:rsidRPr="00950A5B" w:rsidRDefault="00A2719E" w:rsidP="00A2719E">
            <w:pPr>
              <w:jc w:val="center"/>
            </w:pPr>
            <w:r w:rsidRPr="00950A5B">
              <w:t>Kamenivo - lomový kameň 300+</w:t>
            </w:r>
          </w:p>
        </w:tc>
        <w:tc>
          <w:tcPr>
            <w:tcW w:w="1022" w:type="dxa"/>
            <w:tcBorders>
              <w:top w:val="nil"/>
              <w:left w:val="nil"/>
              <w:bottom w:val="single" w:sz="8" w:space="0" w:color="auto"/>
              <w:right w:val="single" w:sz="4" w:space="0" w:color="auto"/>
            </w:tcBorders>
            <w:shd w:val="clear" w:color="auto" w:fill="auto"/>
            <w:noWrap/>
          </w:tcPr>
          <w:p w:rsidR="00A2719E" w:rsidRPr="00950A5B" w:rsidRDefault="00A2719E" w:rsidP="00A2719E">
            <w:pPr>
              <w:jc w:val="center"/>
            </w:pPr>
            <w:r w:rsidRPr="00950A5B">
              <w:t>150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A2719E">
        <w:trPr>
          <w:trHeight w:val="126"/>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A2719E"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81743" w:rsidP="00496636">
            <w:pPr>
              <w:jc w:val="center"/>
            </w:pPr>
            <w:r>
              <w:rPr>
                <w:rFonts w:eastAsia="Calibri" w:cs="Arial"/>
                <w:szCs w:val="20"/>
              </w:rPr>
              <w:t>vedúci</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08" w:rsidRDefault="00172C08">
      <w:r>
        <w:separator/>
      </w:r>
    </w:p>
  </w:endnote>
  <w:endnote w:type="continuationSeparator" w:id="0">
    <w:p w:rsidR="00172C08" w:rsidRDefault="0017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D81743">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D81743">
                    <w:rPr>
                      <w:bCs/>
                      <w:noProof/>
                      <w:sz w:val="16"/>
                      <w:szCs w:val="16"/>
                    </w:rPr>
                    <w:t>5</w:t>
                  </w:r>
                  <w:r w:rsidRPr="00E61029">
                    <w:rPr>
                      <w:bCs/>
                      <w:sz w:val="16"/>
                      <w:szCs w:val="16"/>
                    </w:rPr>
                    <w:fldChar w:fldCharType="end"/>
                  </w:r>
                </w:p>
              </w:tc>
            </w:tr>
          </w:tbl>
          <w:p w:rsidR="0016550B" w:rsidRPr="002917A0" w:rsidRDefault="00172C0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08" w:rsidRDefault="00172C08">
      <w:r>
        <w:separator/>
      </w:r>
    </w:p>
  </w:footnote>
  <w:footnote w:type="continuationSeparator" w:id="0">
    <w:p w:rsidR="00172C08" w:rsidRDefault="0017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2C08"/>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C64"/>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7CC"/>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4F14"/>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A5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566"/>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19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743"/>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9F19"/>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6270-9BD1-444B-A5BD-F534C635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2178</Words>
  <Characters>12420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2021-09-28T05:57:00Z</cp:lastPrinted>
  <dcterms:created xsi:type="dcterms:W3CDTF">2024-01-08T06:20:00Z</dcterms:created>
  <dcterms:modified xsi:type="dcterms:W3CDTF">2024-07-10T09:39:00Z</dcterms:modified>
  <cp:category>EIZ</cp:category>
</cp:coreProperties>
</file>