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7F2879BE" w14:textId="15856E8E" w:rsidR="009B18E8" w:rsidRPr="009B18E8" w:rsidRDefault="009B18E8" w:rsidP="009B18E8">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Pr="009B18E8">
        <w:rPr>
          <w:rFonts w:ascii="Times New Roman" w:hAnsi="Times New Roman"/>
          <w:sz w:val="24"/>
          <w:szCs w:val="24"/>
          <w:lang w:eastAsia="sk-SK"/>
        </w:rPr>
        <w:t>SVO-RVO2-2024/000735</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75BB2251"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F473DA" w:rsidRPr="00586035">
        <w:rPr>
          <w:rFonts w:ascii="Arial Narrow" w:hAnsi="Arial Narrow"/>
          <w:b/>
          <w:bCs/>
          <w:sz w:val="22"/>
        </w:rPr>
        <w:t>Combi nižšia stredná trieda 40ks pre MVSR</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6260AB" w:rsidRPr="00F473DA">
        <w:rPr>
          <w:rFonts w:ascii="Arial Narrow" w:hAnsi="Arial Narrow"/>
          <w:i/>
          <w:iCs/>
          <w:sz w:val="22"/>
          <w:szCs w:val="22"/>
          <w:lang w:val="sk-SK"/>
        </w:rPr>
        <w:t>5</w:t>
      </w:r>
      <w:r w:rsidR="00F473DA" w:rsidRPr="00F473DA">
        <w:rPr>
          <w:rFonts w:ascii="Arial Narrow" w:hAnsi="Arial Narrow"/>
          <w:i/>
          <w:iCs/>
          <w:sz w:val="22"/>
          <w:szCs w:val="22"/>
          <w:lang w:val="sk-SK"/>
        </w:rPr>
        <w:t>7860</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bookmarkStart w:id="3" w:name="_GoBack"/>
      <w:bookmarkEnd w:id="3"/>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59F37BA"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F473DA">
          <w:rPr>
            <w:rStyle w:val="slostrany"/>
            <w:noProof/>
          </w:rPr>
          <w:t>8</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EC79-9BFD-4AEE-8946-D555AEB7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3131</Words>
  <Characters>17847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158</cp:revision>
  <cp:lastPrinted>2020-09-23T13:30:00Z</cp:lastPrinted>
  <dcterms:created xsi:type="dcterms:W3CDTF">2020-10-26T09:25:00Z</dcterms:created>
  <dcterms:modified xsi:type="dcterms:W3CDTF">2024-07-08T10:34:00Z</dcterms:modified>
</cp:coreProperties>
</file>