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D5EA8" w14:textId="77777777" w:rsidR="006A4FEF" w:rsidRDefault="006A4FEF" w:rsidP="00A32438">
      <w:pPr>
        <w:pStyle w:val="A1Heading"/>
        <w:tabs>
          <w:tab w:val="clear" w:pos="360"/>
        </w:tabs>
        <w:spacing w:before="0" w:after="0" w:line="276" w:lineRule="auto"/>
      </w:pPr>
      <w:bookmarkStart w:id="0" w:name="_Ref116631006"/>
      <w:bookmarkStart w:id="1" w:name="_Toc173255500"/>
    </w:p>
    <w:p w14:paraId="495D2F77" w14:textId="589B4A47" w:rsidR="00A32438" w:rsidRDefault="00A32438" w:rsidP="00A32438">
      <w:pPr>
        <w:pStyle w:val="A1Heading"/>
        <w:tabs>
          <w:tab w:val="clear" w:pos="360"/>
        </w:tabs>
        <w:spacing w:before="0" w:after="0" w:line="276" w:lineRule="auto"/>
      </w:pPr>
      <w:r>
        <w:t xml:space="preserve">Príloha č. 2 Rámcovej dohody o dodávke elektrickej energie - </w:t>
      </w:r>
      <w:r w:rsidRPr="005E62C9">
        <w:t>Opis predmetu zákazky</w:t>
      </w:r>
      <w:r>
        <w:t xml:space="preserve"> </w:t>
      </w:r>
      <w:bookmarkEnd w:id="0"/>
      <w:bookmarkEnd w:id="1"/>
    </w:p>
    <w:p w14:paraId="5EF3BEBD" w14:textId="77777777" w:rsidR="00A32438" w:rsidRDefault="00A32438" w:rsidP="00A32438">
      <w:pPr>
        <w:widowControl w:val="0"/>
        <w:autoSpaceDE w:val="0"/>
        <w:autoSpaceDN w:val="0"/>
        <w:spacing w:before="0" w:after="0" w:line="276" w:lineRule="auto"/>
        <w:rPr>
          <w:rFonts w:asciiTheme="minorHAnsi" w:hAnsiTheme="minorHAnsi" w:cstheme="minorHAnsi"/>
          <w:szCs w:val="20"/>
          <w:lang w:eastAsia="en-US"/>
        </w:rPr>
      </w:pPr>
      <w:bookmarkStart w:id="2" w:name="OLE_LINK95"/>
    </w:p>
    <w:p w14:paraId="16F2D3FB" w14:textId="44C89B1F" w:rsidR="00A32438" w:rsidRPr="003D0761" w:rsidRDefault="00A32438" w:rsidP="00A32438">
      <w:pPr>
        <w:widowControl w:val="0"/>
        <w:autoSpaceDE w:val="0"/>
        <w:autoSpaceDN w:val="0"/>
        <w:spacing w:before="0" w:after="0" w:line="276" w:lineRule="auto"/>
        <w:rPr>
          <w:rFonts w:asciiTheme="minorHAnsi" w:hAnsiTheme="minorHAnsi" w:cstheme="minorHAnsi"/>
          <w:szCs w:val="20"/>
          <w:lang w:eastAsia="en-US"/>
        </w:rPr>
      </w:pPr>
      <w:r w:rsidRPr="003D0761">
        <w:rPr>
          <w:rFonts w:asciiTheme="minorHAnsi" w:hAnsiTheme="minorHAnsi" w:cstheme="minorHAnsi"/>
          <w:szCs w:val="20"/>
          <w:lang w:eastAsia="en-US"/>
        </w:rPr>
        <w:t xml:space="preserve">Predmetom zákazky je zabezpečenie dodávky elektriny, distribúcie elektriny do odberných miest Verejného obstarávateľa a prevzatie zodpovednosti za odchýlku v odberných miestach verejného obstarávateľa voči </w:t>
      </w:r>
      <w:proofErr w:type="spellStart"/>
      <w:r w:rsidRPr="003D0761">
        <w:rPr>
          <w:rFonts w:asciiTheme="minorHAnsi" w:hAnsiTheme="minorHAnsi" w:cstheme="minorHAnsi"/>
          <w:szCs w:val="20"/>
          <w:lang w:eastAsia="en-US"/>
        </w:rPr>
        <w:t>zúčtovateľovi</w:t>
      </w:r>
      <w:proofErr w:type="spellEnd"/>
      <w:r w:rsidRPr="003D0761">
        <w:rPr>
          <w:rFonts w:asciiTheme="minorHAnsi" w:hAnsiTheme="minorHAnsi" w:cstheme="minorHAnsi"/>
          <w:szCs w:val="20"/>
          <w:lang w:eastAsia="en-US"/>
        </w:rPr>
        <w:t xml:space="preserve"> odchýlok formou Zmluvy o dodávke elektriny v súlade so zákonom č. 251/2012 Z. z. o energetike v platnom znení (ďalej len „Zákon o energetike“). </w:t>
      </w:r>
    </w:p>
    <w:p w14:paraId="7CBAFF4C" w14:textId="77777777" w:rsidR="00A32438" w:rsidRDefault="00A32438" w:rsidP="00A32438">
      <w:pPr>
        <w:widowControl w:val="0"/>
        <w:autoSpaceDE w:val="0"/>
        <w:autoSpaceDN w:val="0"/>
        <w:spacing w:before="0" w:after="0" w:line="276" w:lineRule="auto"/>
        <w:rPr>
          <w:rFonts w:asciiTheme="minorHAnsi" w:hAnsiTheme="minorHAnsi" w:cstheme="minorHAnsi"/>
          <w:szCs w:val="20"/>
          <w:lang w:eastAsia="en-US"/>
        </w:rPr>
      </w:pPr>
    </w:p>
    <w:p w14:paraId="2CE112E0" w14:textId="77777777" w:rsidR="00A32438" w:rsidRPr="003D0761" w:rsidRDefault="00A32438" w:rsidP="00A32438">
      <w:pPr>
        <w:widowControl w:val="0"/>
        <w:autoSpaceDE w:val="0"/>
        <w:autoSpaceDN w:val="0"/>
        <w:spacing w:before="0" w:after="0" w:line="276" w:lineRule="auto"/>
        <w:rPr>
          <w:rFonts w:asciiTheme="minorHAnsi" w:hAnsiTheme="minorHAnsi" w:cstheme="minorHAnsi"/>
          <w:szCs w:val="20"/>
          <w:lang w:eastAsia="en-US"/>
        </w:rPr>
      </w:pPr>
      <w:r w:rsidRPr="003D0761">
        <w:rPr>
          <w:rFonts w:asciiTheme="minorHAnsi" w:hAnsiTheme="minorHAnsi" w:cstheme="minorHAnsi"/>
          <w:szCs w:val="20"/>
          <w:lang w:eastAsia="en-US"/>
        </w:rPr>
        <w:t xml:space="preserve">Verejný obstarávateľ ďalej požaduje: </w:t>
      </w:r>
    </w:p>
    <w:p w14:paraId="519DF66A" w14:textId="77777777" w:rsidR="00A32438" w:rsidRPr="003D0761" w:rsidRDefault="00A32438" w:rsidP="00A32438">
      <w:pPr>
        <w:widowControl w:val="0"/>
        <w:numPr>
          <w:ilvl w:val="0"/>
          <w:numId w:val="2"/>
        </w:numPr>
        <w:autoSpaceDE w:val="0"/>
        <w:autoSpaceDN w:val="0"/>
        <w:spacing w:before="0" w:after="0" w:line="276" w:lineRule="auto"/>
        <w:contextualSpacing/>
        <w:rPr>
          <w:rFonts w:asciiTheme="minorHAnsi" w:hAnsiTheme="minorHAnsi" w:cstheme="minorHAnsi"/>
          <w:szCs w:val="20"/>
          <w:lang w:eastAsia="en-US"/>
        </w:rPr>
      </w:pPr>
      <w:r w:rsidRPr="003D0761">
        <w:rPr>
          <w:rFonts w:asciiTheme="minorHAnsi" w:hAnsiTheme="minorHAnsi" w:cstheme="minorHAnsi"/>
          <w:szCs w:val="20"/>
          <w:lang w:eastAsia="en-US"/>
        </w:rPr>
        <w:t>dodržanie cien za distribučné a regulované poplatky stanovené Úradom na reguláciu sieťových odvetví Slovenskej republiky (ďalej aj „ÚRSO“)</w:t>
      </w:r>
    </w:p>
    <w:p w14:paraId="34030E96" w14:textId="77777777" w:rsidR="00A32438" w:rsidRPr="003D0761" w:rsidRDefault="00A32438" w:rsidP="00A32438">
      <w:pPr>
        <w:widowControl w:val="0"/>
        <w:numPr>
          <w:ilvl w:val="0"/>
          <w:numId w:val="2"/>
        </w:numPr>
        <w:autoSpaceDE w:val="0"/>
        <w:autoSpaceDN w:val="0"/>
        <w:spacing w:before="0" w:after="0" w:line="276" w:lineRule="auto"/>
        <w:contextualSpacing/>
        <w:rPr>
          <w:rFonts w:asciiTheme="minorHAnsi" w:hAnsiTheme="minorHAnsi" w:cstheme="minorHAnsi"/>
          <w:szCs w:val="20"/>
          <w:lang w:eastAsia="en-US"/>
        </w:rPr>
      </w:pPr>
      <w:r w:rsidRPr="003D0761">
        <w:rPr>
          <w:rFonts w:asciiTheme="minorHAnsi" w:hAnsiTheme="minorHAnsi" w:cstheme="minorHAnsi"/>
          <w:szCs w:val="20"/>
          <w:lang w:eastAsia="en-US"/>
        </w:rPr>
        <w:t>v dôsledku organizačných zmien na strane odberateľa môže dôjsť k zmene počtu uvedených odberných miest. V prípade pribudnutia nového odberného miesta počas zmluvného obdobia, na základe požiadavky odberateľa zabezpečenie plnenia za podmienok určených v Rámcovej dohode a „Zmluve o združenej dodávke elektriny, distribúcii elektriny a prevzatia zodpovednosti za odchýlku“ aj pre novovzniknuté odberné miesto. V prípade zrušenia nepotrebného odberného miesta, na základe požiadavky odberateľa ukončiť plnenie do tohto odberného miesta. Zmena počtu odberných miest bude riešená dodatkami k Rámcovej dohode a „Zmluve o združenej dodávke elektriny, distribúcii elektriny a prevzatia zodpovednosti za odchýlku“,</w:t>
      </w:r>
    </w:p>
    <w:p w14:paraId="74534E4E" w14:textId="77777777" w:rsidR="00A32438" w:rsidRPr="003D0761" w:rsidRDefault="00A32438" w:rsidP="00A32438">
      <w:pPr>
        <w:widowControl w:val="0"/>
        <w:numPr>
          <w:ilvl w:val="0"/>
          <w:numId w:val="2"/>
        </w:numPr>
        <w:autoSpaceDE w:val="0"/>
        <w:autoSpaceDN w:val="0"/>
        <w:spacing w:before="0" w:after="0" w:line="276" w:lineRule="auto"/>
        <w:contextualSpacing/>
        <w:rPr>
          <w:rFonts w:asciiTheme="minorHAnsi" w:hAnsiTheme="minorHAnsi" w:cstheme="minorHAnsi"/>
          <w:szCs w:val="20"/>
          <w:lang w:eastAsia="en-US"/>
        </w:rPr>
      </w:pPr>
      <w:r w:rsidRPr="003D0761">
        <w:rPr>
          <w:rFonts w:asciiTheme="minorHAnsi" w:hAnsiTheme="minorHAnsi" w:cstheme="minorHAnsi"/>
          <w:szCs w:val="20"/>
          <w:lang w:eastAsia="en-US"/>
        </w:rPr>
        <w:t>poskytnutie elektronického portálu (zobrazovanie odberných miest, história spotreby, zobrazovanie faktúr s možnosťou ich stiahnutia),</w:t>
      </w:r>
    </w:p>
    <w:p w14:paraId="3AF000EB" w14:textId="77777777" w:rsidR="00A32438" w:rsidRPr="003D0761" w:rsidRDefault="00A32438" w:rsidP="00A32438">
      <w:pPr>
        <w:widowControl w:val="0"/>
        <w:numPr>
          <w:ilvl w:val="0"/>
          <w:numId w:val="2"/>
        </w:numPr>
        <w:autoSpaceDE w:val="0"/>
        <w:autoSpaceDN w:val="0"/>
        <w:spacing w:before="0" w:after="0" w:line="276" w:lineRule="auto"/>
        <w:contextualSpacing/>
        <w:rPr>
          <w:rFonts w:asciiTheme="minorHAnsi" w:hAnsiTheme="minorHAnsi" w:cstheme="minorHAnsi"/>
          <w:szCs w:val="20"/>
          <w:lang w:eastAsia="en-US"/>
        </w:rPr>
      </w:pPr>
      <w:r w:rsidRPr="003D0761">
        <w:rPr>
          <w:rFonts w:asciiTheme="minorHAnsi" w:hAnsiTheme="minorHAnsi" w:cstheme="minorHAnsi"/>
          <w:szCs w:val="20"/>
          <w:lang w:eastAsia="en-US"/>
        </w:rPr>
        <w:t>elektronick</w:t>
      </w:r>
      <w:r>
        <w:rPr>
          <w:rFonts w:asciiTheme="minorHAnsi" w:hAnsiTheme="minorHAnsi" w:cstheme="minorHAnsi"/>
          <w:szCs w:val="20"/>
          <w:lang w:eastAsia="en-US"/>
        </w:rPr>
        <w:t>á</w:t>
      </w:r>
      <w:r w:rsidRPr="003D0761">
        <w:rPr>
          <w:rFonts w:asciiTheme="minorHAnsi" w:hAnsiTheme="minorHAnsi" w:cstheme="minorHAnsi"/>
          <w:szCs w:val="20"/>
          <w:lang w:eastAsia="en-US"/>
        </w:rPr>
        <w:t xml:space="preserve"> fakturáci</w:t>
      </w:r>
      <w:r>
        <w:rPr>
          <w:rFonts w:asciiTheme="minorHAnsi" w:hAnsiTheme="minorHAnsi" w:cstheme="minorHAnsi"/>
          <w:szCs w:val="20"/>
          <w:lang w:eastAsia="en-US"/>
        </w:rPr>
        <w:t>a</w:t>
      </w:r>
    </w:p>
    <w:p w14:paraId="24601782" w14:textId="77777777" w:rsidR="00A32438" w:rsidRPr="003D0761" w:rsidRDefault="00A32438" w:rsidP="00A32438">
      <w:pPr>
        <w:widowControl w:val="0"/>
        <w:autoSpaceDE w:val="0"/>
        <w:autoSpaceDN w:val="0"/>
        <w:spacing w:before="0" w:after="0" w:line="276" w:lineRule="auto"/>
        <w:rPr>
          <w:rFonts w:asciiTheme="minorHAnsi" w:hAnsiTheme="minorHAnsi" w:cstheme="minorHAnsi"/>
          <w:szCs w:val="20"/>
          <w:lang w:eastAsia="en-US"/>
        </w:rPr>
      </w:pPr>
    </w:p>
    <w:p w14:paraId="15728B6E" w14:textId="7EA58DD6" w:rsidR="00A32438" w:rsidRPr="003D0761" w:rsidRDefault="00A32438" w:rsidP="00A32438">
      <w:pPr>
        <w:widowControl w:val="0"/>
        <w:autoSpaceDE w:val="0"/>
        <w:autoSpaceDN w:val="0"/>
        <w:spacing w:before="0" w:after="0" w:line="276" w:lineRule="auto"/>
        <w:rPr>
          <w:rFonts w:asciiTheme="minorHAnsi" w:hAnsiTheme="minorHAnsi" w:cstheme="minorHAnsi"/>
          <w:szCs w:val="20"/>
          <w:lang w:eastAsia="en-US"/>
        </w:rPr>
      </w:pPr>
      <w:r w:rsidRPr="003D0761">
        <w:rPr>
          <w:rFonts w:asciiTheme="minorHAnsi" w:hAnsiTheme="minorHAnsi" w:cstheme="minorHAnsi"/>
          <w:szCs w:val="20"/>
          <w:lang w:eastAsia="en-US"/>
        </w:rPr>
        <w:t xml:space="preserve">Obdobie dodávky: </w:t>
      </w:r>
      <w:r w:rsidRPr="003D0761">
        <w:rPr>
          <w:rFonts w:asciiTheme="minorHAnsi" w:hAnsiTheme="minorHAnsi" w:cstheme="minorHAnsi"/>
          <w:szCs w:val="20"/>
          <w:lang w:eastAsia="en-US"/>
        </w:rPr>
        <w:tab/>
        <w:t>01.01.2025 – 31.12.2025</w:t>
      </w:r>
    </w:p>
    <w:p w14:paraId="665BAD16" w14:textId="77777777" w:rsidR="00A32438" w:rsidRDefault="00A32438" w:rsidP="00A32438">
      <w:pPr>
        <w:widowControl w:val="0"/>
        <w:autoSpaceDE w:val="0"/>
        <w:autoSpaceDN w:val="0"/>
        <w:spacing w:before="0" w:after="0" w:line="276" w:lineRule="auto"/>
        <w:rPr>
          <w:rFonts w:asciiTheme="minorHAnsi" w:hAnsiTheme="minorHAnsi" w:cstheme="minorHAnsi"/>
          <w:szCs w:val="20"/>
          <w:lang w:eastAsia="en-US"/>
        </w:rPr>
      </w:pPr>
    </w:p>
    <w:p w14:paraId="660C12AF" w14:textId="77777777" w:rsidR="00A32438" w:rsidRPr="003D0761" w:rsidRDefault="00A32438" w:rsidP="00A32438">
      <w:pPr>
        <w:widowControl w:val="0"/>
        <w:autoSpaceDE w:val="0"/>
        <w:autoSpaceDN w:val="0"/>
        <w:spacing w:before="0" w:after="0" w:line="276" w:lineRule="auto"/>
        <w:rPr>
          <w:rFonts w:asciiTheme="minorHAnsi" w:hAnsiTheme="minorHAnsi" w:cstheme="minorHAnsi"/>
          <w:szCs w:val="20"/>
          <w:lang w:eastAsia="en-US"/>
        </w:rPr>
      </w:pPr>
      <w:r w:rsidRPr="003D0761">
        <w:rPr>
          <w:rFonts w:asciiTheme="minorHAnsi" w:hAnsiTheme="minorHAnsi" w:cstheme="minorHAnsi"/>
          <w:szCs w:val="20"/>
          <w:lang w:eastAsia="en-US"/>
        </w:rPr>
        <w:t>Predpokladaný odber:</w:t>
      </w:r>
      <w:r w:rsidRPr="003D0761">
        <w:rPr>
          <w:rFonts w:asciiTheme="minorHAnsi" w:hAnsiTheme="minorHAnsi" w:cstheme="minorHAnsi"/>
          <w:szCs w:val="20"/>
          <w:lang w:eastAsia="en-US"/>
        </w:rPr>
        <w:tab/>
      </w:r>
      <w:r w:rsidRPr="00220AEC">
        <w:rPr>
          <w:rFonts w:asciiTheme="minorHAnsi" w:hAnsiTheme="minorHAnsi" w:cstheme="minorHAnsi"/>
          <w:szCs w:val="20"/>
          <w:lang w:eastAsia="en-US"/>
        </w:rPr>
        <w:t>2 376,255</w:t>
      </w:r>
      <w:r>
        <w:rPr>
          <w:rFonts w:asciiTheme="minorHAnsi" w:hAnsiTheme="minorHAnsi" w:cstheme="minorHAnsi"/>
          <w:szCs w:val="20"/>
          <w:lang w:eastAsia="en-US"/>
        </w:rPr>
        <w:t xml:space="preserve"> </w:t>
      </w:r>
      <w:r w:rsidRPr="003D0761">
        <w:rPr>
          <w:rFonts w:asciiTheme="minorHAnsi" w:hAnsiTheme="minorHAnsi" w:cstheme="minorHAnsi"/>
          <w:szCs w:val="20"/>
          <w:lang w:eastAsia="en-US"/>
        </w:rPr>
        <w:t>MWh</w:t>
      </w:r>
    </w:p>
    <w:p w14:paraId="7835C0C7" w14:textId="77777777" w:rsidR="00A32438" w:rsidRPr="003D0761" w:rsidRDefault="00A32438" w:rsidP="00A32438">
      <w:pPr>
        <w:widowControl w:val="0"/>
        <w:autoSpaceDE w:val="0"/>
        <w:autoSpaceDN w:val="0"/>
        <w:spacing w:before="0" w:after="0" w:line="276" w:lineRule="auto"/>
        <w:rPr>
          <w:rFonts w:asciiTheme="minorHAnsi" w:hAnsiTheme="minorHAnsi" w:cstheme="minorHAnsi"/>
          <w:szCs w:val="20"/>
          <w:lang w:eastAsia="en-US"/>
        </w:rPr>
      </w:pPr>
    </w:p>
    <w:p w14:paraId="41318023" w14:textId="0F18C84B" w:rsidR="00A32438" w:rsidRPr="003D0761" w:rsidRDefault="00A32438" w:rsidP="00A32438">
      <w:pPr>
        <w:widowControl w:val="0"/>
        <w:autoSpaceDE w:val="0"/>
        <w:autoSpaceDN w:val="0"/>
        <w:spacing w:before="0" w:after="0" w:line="276" w:lineRule="auto"/>
        <w:rPr>
          <w:rFonts w:asciiTheme="minorHAnsi" w:hAnsiTheme="minorHAnsi" w:cstheme="minorHAnsi"/>
          <w:szCs w:val="20"/>
          <w:lang w:eastAsia="en-US"/>
        </w:rPr>
      </w:pPr>
      <w:r w:rsidRPr="003D0761">
        <w:rPr>
          <w:rFonts w:asciiTheme="minorHAnsi" w:hAnsiTheme="minorHAnsi" w:cstheme="minorHAnsi"/>
          <w:szCs w:val="20"/>
          <w:lang w:eastAsia="en-US"/>
        </w:rPr>
        <w:t>Počet odberných miest spolu:</w:t>
      </w:r>
      <w:r w:rsidRPr="003D0761">
        <w:rPr>
          <w:rFonts w:asciiTheme="minorHAnsi" w:hAnsiTheme="minorHAnsi" w:cstheme="minorHAnsi"/>
          <w:szCs w:val="20"/>
          <w:lang w:eastAsia="en-US"/>
        </w:rPr>
        <w:tab/>
      </w:r>
      <w:r w:rsidRPr="003D0761">
        <w:rPr>
          <w:rFonts w:asciiTheme="minorHAnsi" w:hAnsiTheme="minorHAnsi" w:cstheme="minorHAnsi"/>
          <w:szCs w:val="20"/>
          <w:lang w:eastAsia="en-US"/>
        </w:rPr>
        <w:tab/>
      </w:r>
      <w:r w:rsidRPr="003D0761">
        <w:rPr>
          <w:rFonts w:asciiTheme="minorHAnsi" w:hAnsiTheme="minorHAnsi" w:cstheme="minorHAnsi"/>
          <w:szCs w:val="20"/>
          <w:lang w:eastAsia="en-US"/>
        </w:rPr>
        <w:tab/>
      </w:r>
      <w:r w:rsidRPr="003D0761">
        <w:rPr>
          <w:rFonts w:asciiTheme="minorHAnsi" w:hAnsiTheme="minorHAnsi" w:cstheme="minorHAnsi"/>
          <w:szCs w:val="20"/>
          <w:lang w:eastAsia="en-US"/>
        </w:rPr>
        <w:tab/>
      </w:r>
      <w:r w:rsidRPr="003D0761">
        <w:rPr>
          <w:rFonts w:asciiTheme="minorHAnsi" w:hAnsiTheme="minorHAnsi" w:cstheme="minorHAnsi"/>
          <w:szCs w:val="20"/>
          <w:lang w:eastAsia="en-US"/>
        </w:rPr>
        <w:tab/>
        <w:t>237</w:t>
      </w:r>
    </w:p>
    <w:p w14:paraId="230DA3A5" w14:textId="77777777" w:rsidR="00A32438" w:rsidRPr="003D0761" w:rsidRDefault="00A32438" w:rsidP="00A32438">
      <w:pPr>
        <w:widowControl w:val="0"/>
        <w:autoSpaceDE w:val="0"/>
        <w:autoSpaceDN w:val="0"/>
        <w:spacing w:before="0" w:after="0" w:line="276" w:lineRule="auto"/>
        <w:rPr>
          <w:rFonts w:asciiTheme="minorHAnsi" w:hAnsiTheme="minorHAnsi" w:cstheme="minorHAnsi"/>
          <w:szCs w:val="20"/>
          <w:lang w:eastAsia="en-US"/>
        </w:rPr>
      </w:pPr>
      <w:r w:rsidRPr="003D0761">
        <w:rPr>
          <w:rFonts w:asciiTheme="minorHAnsi" w:hAnsiTheme="minorHAnsi" w:cstheme="minorHAnsi"/>
          <w:szCs w:val="20"/>
          <w:lang w:eastAsia="en-US"/>
        </w:rPr>
        <w:t xml:space="preserve">Počet odberných miest – verejné osvetlenie (sadzba C2 – X3): </w:t>
      </w:r>
      <w:r w:rsidRPr="003D0761">
        <w:rPr>
          <w:rFonts w:asciiTheme="minorHAnsi" w:hAnsiTheme="minorHAnsi" w:cstheme="minorHAnsi"/>
          <w:szCs w:val="20"/>
          <w:lang w:eastAsia="en-US"/>
        </w:rPr>
        <w:tab/>
        <w:t xml:space="preserve">  61</w:t>
      </w:r>
    </w:p>
    <w:p w14:paraId="5D4BBE1E" w14:textId="77777777" w:rsidR="00A32438" w:rsidRPr="003D0761" w:rsidRDefault="00A32438" w:rsidP="00A32438">
      <w:pPr>
        <w:widowControl w:val="0"/>
        <w:autoSpaceDE w:val="0"/>
        <w:autoSpaceDN w:val="0"/>
        <w:spacing w:before="0" w:after="0" w:line="276" w:lineRule="auto"/>
        <w:rPr>
          <w:rFonts w:asciiTheme="minorHAnsi" w:hAnsiTheme="minorHAnsi" w:cstheme="minorHAnsi"/>
          <w:szCs w:val="20"/>
          <w:lang w:eastAsia="en-US"/>
        </w:rPr>
      </w:pPr>
      <w:r w:rsidRPr="003D0761">
        <w:rPr>
          <w:rFonts w:asciiTheme="minorHAnsi" w:hAnsiTheme="minorHAnsi" w:cstheme="minorHAnsi"/>
          <w:szCs w:val="20"/>
          <w:lang w:eastAsia="en-US"/>
        </w:rPr>
        <w:t xml:space="preserve">Počet odberných miest – budovy NN (sadzba C2 – X3): </w:t>
      </w:r>
      <w:r w:rsidRPr="003D0761">
        <w:rPr>
          <w:rFonts w:asciiTheme="minorHAnsi" w:hAnsiTheme="minorHAnsi" w:cstheme="minorHAnsi"/>
          <w:szCs w:val="20"/>
          <w:lang w:eastAsia="en-US"/>
        </w:rPr>
        <w:tab/>
      </w:r>
      <w:r w:rsidRPr="003D0761">
        <w:rPr>
          <w:rFonts w:asciiTheme="minorHAnsi" w:hAnsiTheme="minorHAnsi" w:cstheme="minorHAnsi"/>
          <w:szCs w:val="20"/>
          <w:lang w:eastAsia="en-US"/>
        </w:rPr>
        <w:tab/>
        <w:t>176</w:t>
      </w:r>
    </w:p>
    <w:p w14:paraId="3DC9622F" w14:textId="77777777" w:rsidR="00A32438" w:rsidRPr="003D0761" w:rsidRDefault="00A32438" w:rsidP="00A32438">
      <w:pPr>
        <w:widowControl w:val="0"/>
        <w:autoSpaceDE w:val="0"/>
        <w:autoSpaceDN w:val="0"/>
        <w:spacing w:before="0" w:after="0" w:line="276" w:lineRule="auto"/>
        <w:rPr>
          <w:rFonts w:asciiTheme="minorHAnsi" w:hAnsiTheme="minorHAnsi" w:cstheme="minorHAnsi"/>
          <w:szCs w:val="20"/>
          <w:lang w:eastAsia="en-US"/>
        </w:rPr>
      </w:pPr>
    </w:p>
    <w:p w14:paraId="71C88461" w14:textId="77777777" w:rsidR="00A32438" w:rsidRPr="003D0761" w:rsidRDefault="00A32438" w:rsidP="00A32438">
      <w:pPr>
        <w:widowControl w:val="0"/>
        <w:autoSpaceDE w:val="0"/>
        <w:autoSpaceDN w:val="0"/>
        <w:spacing w:before="0" w:after="0" w:line="276" w:lineRule="auto"/>
        <w:rPr>
          <w:rFonts w:asciiTheme="minorHAnsi" w:hAnsiTheme="minorHAnsi" w:cstheme="minorHAnsi"/>
          <w:szCs w:val="20"/>
          <w:lang w:eastAsia="en-US"/>
        </w:rPr>
      </w:pPr>
      <w:r w:rsidRPr="003D0761">
        <w:rPr>
          <w:rFonts w:asciiTheme="minorHAnsi" w:hAnsiTheme="minorHAnsi" w:cstheme="minorHAnsi"/>
          <w:szCs w:val="20"/>
          <w:lang w:eastAsia="en-US"/>
        </w:rPr>
        <w:t>Tabuľka 1 – Zoznam Odberateľov, Typ merania, Predpokladaný odber</w:t>
      </w:r>
    </w:p>
    <w:tbl>
      <w:tblPr>
        <w:tblStyle w:val="Mriekatabuky1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2268"/>
        <w:gridCol w:w="2410"/>
        <w:gridCol w:w="2409"/>
      </w:tblGrid>
      <w:tr w:rsidR="00A32438" w:rsidRPr="003D0761" w14:paraId="46AEB003" w14:textId="77777777" w:rsidTr="00D21DB3">
        <w:trPr>
          <w:jc w:val="center"/>
        </w:trPr>
        <w:tc>
          <w:tcPr>
            <w:tcW w:w="1413" w:type="dxa"/>
            <w:vAlign w:val="center"/>
          </w:tcPr>
          <w:p w14:paraId="348B7F3D" w14:textId="77777777" w:rsidR="00A32438" w:rsidRPr="003D0761" w:rsidRDefault="00A32438" w:rsidP="00A32438">
            <w:pPr>
              <w:widowControl w:val="0"/>
              <w:autoSpaceDE w:val="0"/>
              <w:autoSpaceDN w:val="0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 w:rsidRPr="003D0761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Typ merania</w:t>
            </w:r>
          </w:p>
        </w:tc>
        <w:tc>
          <w:tcPr>
            <w:tcW w:w="2268" w:type="dxa"/>
            <w:vAlign w:val="center"/>
          </w:tcPr>
          <w:p w14:paraId="669D26B1" w14:textId="77777777" w:rsidR="00A32438" w:rsidRPr="003D0761" w:rsidRDefault="00A32438" w:rsidP="00A32438">
            <w:pPr>
              <w:widowControl w:val="0"/>
              <w:autoSpaceDE w:val="0"/>
              <w:autoSpaceDN w:val="0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 w:rsidRPr="003D0761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Počet odberných miest</w:t>
            </w:r>
          </w:p>
        </w:tc>
        <w:tc>
          <w:tcPr>
            <w:tcW w:w="2410" w:type="dxa"/>
            <w:vAlign w:val="center"/>
          </w:tcPr>
          <w:p w14:paraId="35E244D8" w14:textId="77777777" w:rsidR="00A32438" w:rsidRPr="003D0761" w:rsidRDefault="00A32438" w:rsidP="00A32438">
            <w:pPr>
              <w:widowControl w:val="0"/>
              <w:autoSpaceDE w:val="0"/>
              <w:autoSpaceDN w:val="0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 w:rsidRPr="003D0761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Predpokladaný odber (MWh)</w:t>
            </w:r>
          </w:p>
        </w:tc>
        <w:tc>
          <w:tcPr>
            <w:tcW w:w="2409" w:type="dxa"/>
            <w:vAlign w:val="center"/>
          </w:tcPr>
          <w:p w14:paraId="4477E590" w14:textId="77777777" w:rsidR="00A32438" w:rsidRPr="003D0761" w:rsidRDefault="00A32438" w:rsidP="00A32438">
            <w:pPr>
              <w:widowControl w:val="0"/>
              <w:autoSpaceDE w:val="0"/>
              <w:autoSpaceDN w:val="0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 w:rsidRPr="003D0761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% z celkového odberu Odberateľa</w:t>
            </w:r>
          </w:p>
        </w:tc>
      </w:tr>
      <w:tr w:rsidR="00A32438" w:rsidRPr="003D0761" w14:paraId="3F48BE0F" w14:textId="77777777" w:rsidTr="00D21DB3">
        <w:trPr>
          <w:jc w:val="center"/>
        </w:trPr>
        <w:tc>
          <w:tcPr>
            <w:tcW w:w="1413" w:type="dxa"/>
          </w:tcPr>
          <w:p w14:paraId="36A32FBE" w14:textId="77777777" w:rsidR="00A32438" w:rsidRPr="003D0761" w:rsidRDefault="00A32438" w:rsidP="00A32438">
            <w:pPr>
              <w:widowControl w:val="0"/>
              <w:autoSpaceDE w:val="0"/>
              <w:autoSpaceDN w:val="0"/>
              <w:spacing w:before="0" w:after="0" w:line="276" w:lineRule="auto"/>
              <w:rPr>
                <w:rFonts w:asciiTheme="minorHAnsi" w:hAnsiTheme="minorHAnsi" w:cstheme="minorHAnsi"/>
                <w:szCs w:val="20"/>
                <w:lang w:eastAsia="en-US"/>
              </w:rPr>
            </w:pPr>
            <w:r w:rsidRPr="003D0761">
              <w:rPr>
                <w:rFonts w:asciiTheme="minorHAnsi" w:hAnsiTheme="minorHAnsi" w:cstheme="minorHAnsi"/>
                <w:szCs w:val="20"/>
                <w:lang w:eastAsia="en-US"/>
              </w:rPr>
              <w:t>A</w:t>
            </w:r>
          </w:p>
        </w:tc>
        <w:tc>
          <w:tcPr>
            <w:tcW w:w="2268" w:type="dxa"/>
          </w:tcPr>
          <w:p w14:paraId="2D6B5EE5" w14:textId="77777777" w:rsidR="00A32438" w:rsidRPr="003D0761" w:rsidRDefault="00A32438" w:rsidP="00A32438">
            <w:pPr>
              <w:widowControl w:val="0"/>
              <w:autoSpaceDE w:val="0"/>
              <w:autoSpaceDN w:val="0"/>
              <w:spacing w:before="0" w:after="0" w:line="276" w:lineRule="auto"/>
              <w:jc w:val="center"/>
              <w:rPr>
                <w:rFonts w:asciiTheme="minorHAnsi" w:hAnsiTheme="minorHAnsi" w:cstheme="minorHAnsi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Cs w:val="20"/>
                <w:lang w:eastAsia="en-US"/>
              </w:rPr>
              <w:t>110</w:t>
            </w:r>
          </w:p>
        </w:tc>
        <w:tc>
          <w:tcPr>
            <w:tcW w:w="2410" w:type="dxa"/>
          </w:tcPr>
          <w:p w14:paraId="0B244CFD" w14:textId="77777777" w:rsidR="00A32438" w:rsidRPr="003D0761" w:rsidRDefault="00A32438" w:rsidP="00A32438">
            <w:pPr>
              <w:widowControl w:val="0"/>
              <w:autoSpaceDE w:val="0"/>
              <w:autoSpaceDN w:val="0"/>
              <w:spacing w:before="0" w:after="0" w:line="276" w:lineRule="auto"/>
              <w:jc w:val="center"/>
              <w:rPr>
                <w:rFonts w:asciiTheme="minorHAnsi" w:hAnsiTheme="minorHAnsi" w:cstheme="minorHAnsi"/>
                <w:szCs w:val="20"/>
                <w:lang w:eastAsia="en-US"/>
              </w:rPr>
            </w:pPr>
            <w:r w:rsidRPr="00220AEC">
              <w:rPr>
                <w:rFonts w:asciiTheme="minorHAnsi" w:hAnsiTheme="minorHAnsi" w:cstheme="minorHAnsi"/>
                <w:szCs w:val="20"/>
                <w:lang w:eastAsia="en-US"/>
              </w:rPr>
              <w:t>2 254,724</w:t>
            </w:r>
          </w:p>
        </w:tc>
        <w:tc>
          <w:tcPr>
            <w:tcW w:w="2409" w:type="dxa"/>
          </w:tcPr>
          <w:p w14:paraId="0AAA3891" w14:textId="77777777" w:rsidR="00A32438" w:rsidRPr="003D0761" w:rsidRDefault="00A32438" w:rsidP="00A32438">
            <w:pPr>
              <w:widowControl w:val="0"/>
              <w:autoSpaceDE w:val="0"/>
              <w:autoSpaceDN w:val="0"/>
              <w:spacing w:before="0" w:after="0" w:line="276" w:lineRule="auto"/>
              <w:jc w:val="center"/>
              <w:rPr>
                <w:rFonts w:asciiTheme="minorHAnsi" w:hAnsiTheme="minorHAnsi" w:cstheme="minorHAnsi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Cs w:val="20"/>
                <w:lang w:eastAsia="en-US"/>
              </w:rPr>
              <w:t>94,89</w:t>
            </w:r>
          </w:p>
        </w:tc>
      </w:tr>
      <w:tr w:rsidR="00A32438" w:rsidRPr="003D0761" w14:paraId="6F9DD136" w14:textId="77777777" w:rsidTr="00D21DB3">
        <w:trPr>
          <w:jc w:val="center"/>
        </w:trPr>
        <w:tc>
          <w:tcPr>
            <w:tcW w:w="1413" w:type="dxa"/>
          </w:tcPr>
          <w:p w14:paraId="64B025CE" w14:textId="77777777" w:rsidR="00A32438" w:rsidRPr="003D0761" w:rsidRDefault="00A32438" w:rsidP="00A32438">
            <w:pPr>
              <w:widowControl w:val="0"/>
              <w:autoSpaceDE w:val="0"/>
              <w:autoSpaceDN w:val="0"/>
              <w:spacing w:before="0" w:after="0" w:line="276" w:lineRule="auto"/>
              <w:rPr>
                <w:rFonts w:asciiTheme="minorHAnsi" w:hAnsiTheme="minorHAnsi" w:cstheme="minorHAnsi"/>
                <w:szCs w:val="20"/>
                <w:lang w:eastAsia="en-US"/>
              </w:rPr>
            </w:pPr>
            <w:r w:rsidRPr="003D0761">
              <w:rPr>
                <w:rFonts w:asciiTheme="minorHAnsi" w:hAnsiTheme="minorHAnsi" w:cstheme="minorHAnsi"/>
                <w:szCs w:val="20"/>
                <w:lang w:eastAsia="en-US"/>
              </w:rPr>
              <w:t>C</w:t>
            </w:r>
          </w:p>
        </w:tc>
        <w:tc>
          <w:tcPr>
            <w:tcW w:w="2268" w:type="dxa"/>
          </w:tcPr>
          <w:p w14:paraId="54A7404D" w14:textId="77777777" w:rsidR="00A32438" w:rsidRPr="003D0761" w:rsidRDefault="00A32438" w:rsidP="00A32438">
            <w:pPr>
              <w:widowControl w:val="0"/>
              <w:autoSpaceDE w:val="0"/>
              <w:autoSpaceDN w:val="0"/>
              <w:spacing w:before="0" w:after="0" w:line="276" w:lineRule="auto"/>
              <w:jc w:val="center"/>
              <w:rPr>
                <w:rFonts w:asciiTheme="minorHAnsi" w:hAnsiTheme="minorHAnsi" w:cstheme="minorHAnsi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Cs w:val="20"/>
                <w:lang w:eastAsia="en-US"/>
              </w:rPr>
              <w:t>127</w:t>
            </w:r>
          </w:p>
        </w:tc>
        <w:tc>
          <w:tcPr>
            <w:tcW w:w="2410" w:type="dxa"/>
          </w:tcPr>
          <w:p w14:paraId="2F5ABC77" w14:textId="1DAAAB80" w:rsidR="00A32438" w:rsidRPr="003D0761" w:rsidRDefault="00A32438" w:rsidP="00A32438">
            <w:pPr>
              <w:widowControl w:val="0"/>
              <w:autoSpaceDE w:val="0"/>
              <w:autoSpaceDN w:val="0"/>
              <w:spacing w:before="0" w:after="0" w:line="276" w:lineRule="auto"/>
              <w:jc w:val="center"/>
              <w:rPr>
                <w:rFonts w:asciiTheme="minorHAnsi" w:hAnsiTheme="minorHAnsi" w:cstheme="minorHAnsi"/>
                <w:szCs w:val="20"/>
                <w:lang w:eastAsia="en-US"/>
              </w:rPr>
            </w:pPr>
            <w:r w:rsidRPr="00220AEC">
              <w:rPr>
                <w:rFonts w:asciiTheme="minorHAnsi" w:hAnsiTheme="minorHAnsi" w:cstheme="minorHAnsi"/>
                <w:szCs w:val="20"/>
                <w:lang w:eastAsia="en-US"/>
              </w:rPr>
              <w:t>121,531</w:t>
            </w:r>
          </w:p>
        </w:tc>
        <w:tc>
          <w:tcPr>
            <w:tcW w:w="2409" w:type="dxa"/>
          </w:tcPr>
          <w:p w14:paraId="46FCE9B0" w14:textId="77777777" w:rsidR="00A32438" w:rsidRPr="003D0761" w:rsidRDefault="00A32438" w:rsidP="00A32438">
            <w:pPr>
              <w:widowControl w:val="0"/>
              <w:autoSpaceDE w:val="0"/>
              <w:autoSpaceDN w:val="0"/>
              <w:spacing w:before="0" w:after="0" w:line="276" w:lineRule="auto"/>
              <w:jc w:val="center"/>
              <w:rPr>
                <w:rFonts w:asciiTheme="minorHAnsi" w:hAnsiTheme="minorHAnsi" w:cstheme="minorHAnsi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Cs w:val="20"/>
                <w:lang w:eastAsia="en-US"/>
              </w:rPr>
              <w:t>5,11</w:t>
            </w:r>
          </w:p>
        </w:tc>
      </w:tr>
      <w:tr w:rsidR="00A32438" w:rsidRPr="003D0761" w14:paraId="675E5972" w14:textId="77777777" w:rsidTr="00D21DB3">
        <w:trPr>
          <w:jc w:val="center"/>
        </w:trPr>
        <w:tc>
          <w:tcPr>
            <w:tcW w:w="1413" w:type="dxa"/>
          </w:tcPr>
          <w:p w14:paraId="14700160" w14:textId="77777777" w:rsidR="00A32438" w:rsidRPr="003D0761" w:rsidRDefault="00A32438" w:rsidP="00A32438">
            <w:pPr>
              <w:widowControl w:val="0"/>
              <w:autoSpaceDE w:val="0"/>
              <w:autoSpaceDN w:val="0"/>
              <w:spacing w:before="0" w:after="0" w:line="276" w:lineRule="auto"/>
              <w:rPr>
                <w:rFonts w:asciiTheme="minorHAnsi" w:hAnsiTheme="minorHAnsi" w:cstheme="minorHAnsi"/>
                <w:szCs w:val="20"/>
                <w:lang w:eastAsia="en-US"/>
              </w:rPr>
            </w:pPr>
            <w:r w:rsidRPr="003D0761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Spolu</w:t>
            </w:r>
          </w:p>
        </w:tc>
        <w:tc>
          <w:tcPr>
            <w:tcW w:w="2268" w:type="dxa"/>
          </w:tcPr>
          <w:p w14:paraId="27F183FD" w14:textId="77777777" w:rsidR="00A32438" w:rsidRPr="003D0761" w:rsidRDefault="00A32438" w:rsidP="00A32438">
            <w:pPr>
              <w:widowControl w:val="0"/>
              <w:autoSpaceDE w:val="0"/>
              <w:autoSpaceDN w:val="0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237</w:t>
            </w:r>
          </w:p>
        </w:tc>
        <w:tc>
          <w:tcPr>
            <w:tcW w:w="2410" w:type="dxa"/>
          </w:tcPr>
          <w:p w14:paraId="776138A7" w14:textId="16712EB0" w:rsidR="00A32438" w:rsidRPr="00220AEC" w:rsidRDefault="00A32438" w:rsidP="00A32438">
            <w:pPr>
              <w:widowControl w:val="0"/>
              <w:tabs>
                <w:tab w:val="left" w:pos="864"/>
                <w:tab w:val="center" w:pos="1097"/>
              </w:tabs>
              <w:autoSpaceDE w:val="0"/>
              <w:autoSpaceDN w:val="0"/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</w:pPr>
            <w:r w:rsidRPr="00220AEC">
              <w:rPr>
                <w:rFonts w:asciiTheme="minorHAnsi" w:hAnsiTheme="minorHAnsi" w:cstheme="minorHAnsi"/>
                <w:b/>
                <w:bCs/>
                <w:szCs w:val="20"/>
                <w:lang w:eastAsia="en-US"/>
              </w:rPr>
              <w:t>2 376,255</w:t>
            </w:r>
          </w:p>
        </w:tc>
        <w:tc>
          <w:tcPr>
            <w:tcW w:w="2409" w:type="dxa"/>
          </w:tcPr>
          <w:p w14:paraId="67C76443" w14:textId="77777777" w:rsidR="00A32438" w:rsidRPr="003D0761" w:rsidRDefault="00A32438" w:rsidP="00A32438">
            <w:pPr>
              <w:widowControl w:val="0"/>
              <w:autoSpaceDE w:val="0"/>
              <w:autoSpaceDN w:val="0"/>
              <w:spacing w:before="0" w:after="0" w:line="276" w:lineRule="auto"/>
              <w:jc w:val="center"/>
              <w:rPr>
                <w:rFonts w:asciiTheme="minorHAnsi" w:hAnsiTheme="minorHAnsi" w:cstheme="minorHAnsi"/>
                <w:szCs w:val="20"/>
                <w:lang w:eastAsia="en-US"/>
              </w:rPr>
            </w:pPr>
            <w:r w:rsidRPr="003D0761">
              <w:rPr>
                <w:rFonts w:asciiTheme="minorHAnsi" w:hAnsiTheme="minorHAnsi" w:cstheme="minorHAnsi"/>
                <w:szCs w:val="20"/>
                <w:lang w:eastAsia="en-US"/>
              </w:rPr>
              <w:t>100</w:t>
            </w:r>
          </w:p>
        </w:tc>
      </w:tr>
    </w:tbl>
    <w:p w14:paraId="299A54F7" w14:textId="77777777" w:rsidR="00A32438" w:rsidRPr="003D0761" w:rsidRDefault="00A32438" w:rsidP="00A32438">
      <w:pPr>
        <w:widowControl w:val="0"/>
        <w:autoSpaceDE w:val="0"/>
        <w:autoSpaceDN w:val="0"/>
        <w:spacing w:before="0" w:after="0" w:line="276" w:lineRule="auto"/>
        <w:rPr>
          <w:rFonts w:asciiTheme="minorHAnsi" w:hAnsiTheme="minorHAnsi" w:cstheme="minorHAnsi"/>
          <w:szCs w:val="20"/>
          <w:lang w:eastAsia="en-US"/>
        </w:rPr>
      </w:pPr>
    </w:p>
    <w:p w14:paraId="20BA4673" w14:textId="77777777" w:rsidR="00A32438" w:rsidRPr="003D0761" w:rsidRDefault="00A32438" w:rsidP="00A32438">
      <w:pPr>
        <w:widowControl w:val="0"/>
        <w:autoSpaceDE w:val="0"/>
        <w:autoSpaceDN w:val="0"/>
        <w:spacing w:before="0" w:after="0" w:line="276" w:lineRule="auto"/>
        <w:rPr>
          <w:rFonts w:asciiTheme="minorHAnsi" w:hAnsiTheme="minorHAnsi" w:cstheme="minorHAnsi"/>
          <w:szCs w:val="20"/>
          <w:lang w:eastAsia="en-US"/>
        </w:rPr>
      </w:pPr>
      <w:r w:rsidRPr="003D0761">
        <w:rPr>
          <w:rFonts w:asciiTheme="minorHAnsi" w:hAnsiTheme="minorHAnsi" w:cstheme="minorHAnsi"/>
          <w:szCs w:val="20"/>
          <w:lang w:eastAsia="en-US"/>
        </w:rPr>
        <w:t>Vysvetlivky:</w:t>
      </w:r>
    </w:p>
    <w:p w14:paraId="252D5E87" w14:textId="77777777" w:rsidR="00A32438" w:rsidRPr="003D0761" w:rsidRDefault="00A32438" w:rsidP="00A32438">
      <w:pPr>
        <w:widowControl w:val="0"/>
        <w:numPr>
          <w:ilvl w:val="0"/>
          <w:numId w:val="1"/>
        </w:numPr>
        <w:autoSpaceDE w:val="0"/>
        <w:autoSpaceDN w:val="0"/>
        <w:spacing w:before="0" w:after="0" w:line="276" w:lineRule="auto"/>
        <w:textAlignment w:val="baseline"/>
        <w:rPr>
          <w:rFonts w:asciiTheme="minorHAnsi" w:hAnsiTheme="minorHAnsi" w:cstheme="minorHAnsi"/>
          <w:szCs w:val="20"/>
          <w:lang w:eastAsia="sk-SK"/>
        </w:rPr>
      </w:pPr>
      <w:r w:rsidRPr="003D0761">
        <w:rPr>
          <w:rFonts w:asciiTheme="minorHAnsi" w:hAnsiTheme="minorHAnsi" w:cstheme="minorHAnsi"/>
          <w:szCs w:val="20"/>
          <w:lang w:eastAsia="sk-SK"/>
        </w:rPr>
        <w:t xml:space="preserve">Meranie typu A - </w:t>
      </w:r>
      <w:proofErr w:type="spellStart"/>
      <w:r w:rsidRPr="003D0761">
        <w:rPr>
          <w:rFonts w:asciiTheme="minorHAnsi" w:hAnsiTheme="minorHAnsi" w:cstheme="minorHAnsi"/>
          <w:szCs w:val="20"/>
          <w:lang w:eastAsia="sk-SK"/>
        </w:rPr>
        <w:t>priebehové</w:t>
      </w:r>
      <w:proofErr w:type="spellEnd"/>
      <w:r w:rsidRPr="003D0761">
        <w:rPr>
          <w:rFonts w:asciiTheme="minorHAnsi" w:hAnsiTheme="minorHAnsi" w:cstheme="minorHAnsi"/>
          <w:szCs w:val="20"/>
          <w:lang w:eastAsia="sk-SK"/>
        </w:rPr>
        <w:t xml:space="preserve"> meranie s možnosťou diaľkového odpočtu, </w:t>
      </w:r>
    </w:p>
    <w:p w14:paraId="58903616" w14:textId="77777777" w:rsidR="00A32438" w:rsidRPr="003D0761" w:rsidRDefault="00A32438" w:rsidP="00A32438">
      <w:pPr>
        <w:widowControl w:val="0"/>
        <w:numPr>
          <w:ilvl w:val="0"/>
          <w:numId w:val="1"/>
        </w:numPr>
        <w:autoSpaceDE w:val="0"/>
        <w:autoSpaceDN w:val="0"/>
        <w:spacing w:before="0" w:after="0" w:line="276" w:lineRule="auto"/>
        <w:textAlignment w:val="baseline"/>
        <w:rPr>
          <w:rFonts w:asciiTheme="minorHAnsi" w:hAnsiTheme="minorHAnsi" w:cstheme="minorHAnsi"/>
          <w:szCs w:val="20"/>
          <w:lang w:eastAsia="sk-SK"/>
        </w:rPr>
      </w:pPr>
      <w:r w:rsidRPr="003D0761">
        <w:rPr>
          <w:rFonts w:asciiTheme="minorHAnsi" w:hAnsiTheme="minorHAnsi" w:cstheme="minorHAnsi"/>
          <w:szCs w:val="20"/>
          <w:lang w:eastAsia="sk-SK"/>
        </w:rPr>
        <w:t xml:space="preserve">Meranie typu B - </w:t>
      </w:r>
      <w:proofErr w:type="spellStart"/>
      <w:r w:rsidRPr="003D0761">
        <w:rPr>
          <w:rFonts w:asciiTheme="minorHAnsi" w:hAnsiTheme="minorHAnsi" w:cstheme="minorHAnsi"/>
          <w:szCs w:val="20"/>
          <w:lang w:eastAsia="sk-SK"/>
        </w:rPr>
        <w:t>priebehové</w:t>
      </w:r>
      <w:proofErr w:type="spellEnd"/>
      <w:r w:rsidRPr="003D0761">
        <w:rPr>
          <w:rFonts w:asciiTheme="minorHAnsi" w:hAnsiTheme="minorHAnsi" w:cstheme="minorHAnsi"/>
          <w:szCs w:val="20"/>
          <w:lang w:eastAsia="sk-SK"/>
        </w:rPr>
        <w:t xml:space="preserve"> meranie bez možnosti diaľkového odpočtu, </w:t>
      </w:r>
    </w:p>
    <w:p w14:paraId="2F77CA0D" w14:textId="77777777" w:rsidR="00A32438" w:rsidRPr="003D0761" w:rsidRDefault="00A32438" w:rsidP="00A32438">
      <w:pPr>
        <w:widowControl w:val="0"/>
        <w:numPr>
          <w:ilvl w:val="0"/>
          <w:numId w:val="1"/>
        </w:numPr>
        <w:autoSpaceDE w:val="0"/>
        <w:autoSpaceDN w:val="0"/>
        <w:spacing w:before="0" w:after="0" w:line="276" w:lineRule="auto"/>
        <w:textAlignment w:val="baseline"/>
        <w:rPr>
          <w:rFonts w:asciiTheme="minorHAnsi" w:hAnsiTheme="minorHAnsi" w:cstheme="minorHAnsi"/>
          <w:szCs w:val="20"/>
          <w:lang w:eastAsia="sk-SK"/>
        </w:rPr>
      </w:pPr>
      <w:r w:rsidRPr="003D0761">
        <w:rPr>
          <w:rFonts w:asciiTheme="minorHAnsi" w:hAnsiTheme="minorHAnsi" w:cstheme="minorHAnsi"/>
          <w:szCs w:val="20"/>
          <w:lang w:eastAsia="sk-SK"/>
        </w:rPr>
        <w:t xml:space="preserve">Meranie typu C - meranie bez </w:t>
      </w:r>
      <w:proofErr w:type="spellStart"/>
      <w:r w:rsidRPr="003D0761">
        <w:rPr>
          <w:rFonts w:asciiTheme="minorHAnsi" w:hAnsiTheme="minorHAnsi" w:cstheme="minorHAnsi"/>
          <w:szCs w:val="20"/>
          <w:lang w:eastAsia="sk-SK"/>
        </w:rPr>
        <w:t>priebehového</w:t>
      </w:r>
      <w:proofErr w:type="spellEnd"/>
      <w:r w:rsidRPr="003D0761">
        <w:rPr>
          <w:rFonts w:asciiTheme="minorHAnsi" w:hAnsiTheme="minorHAnsi" w:cstheme="minorHAnsi"/>
          <w:szCs w:val="20"/>
          <w:lang w:eastAsia="sk-SK"/>
        </w:rPr>
        <w:t xml:space="preserve"> merania a bez možnosti diaľkového odpočtu. </w:t>
      </w:r>
    </w:p>
    <w:p w14:paraId="0C30E50A" w14:textId="4A29DC7D" w:rsidR="006A4FEF" w:rsidRDefault="006A4FEF" w:rsidP="00A32438">
      <w:pPr>
        <w:spacing w:before="0" w:after="0" w:line="276" w:lineRule="auto"/>
        <w:textAlignment w:val="baseline"/>
        <w:rPr>
          <w:rFonts w:asciiTheme="minorHAnsi" w:hAnsiTheme="minorHAnsi" w:cstheme="minorHAnsi"/>
          <w:szCs w:val="20"/>
          <w:lang w:eastAsia="sk-SK"/>
        </w:rPr>
      </w:pPr>
      <w:r>
        <w:rPr>
          <w:rFonts w:asciiTheme="minorHAnsi" w:hAnsiTheme="minorHAnsi" w:cstheme="minorHAnsi"/>
          <w:szCs w:val="20"/>
          <w:lang w:eastAsia="sk-SK"/>
        </w:rPr>
        <w:br w:type="page"/>
      </w:r>
    </w:p>
    <w:p w14:paraId="42FC9721" w14:textId="77777777" w:rsidR="00A32438" w:rsidRPr="003D0761" w:rsidRDefault="00A32438" w:rsidP="00A32438">
      <w:pPr>
        <w:spacing w:before="0" w:after="0" w:line="276" w:lineRule="auto"/>
        <w:textAlignment w:val="baseline"/>
        <w:rPr>
          <w:rFonts w:asciiTheme="minorHAnsi" w:hAnsiTheme="minorHAnsi" w:cstheme="minorHAnsi"/>
          <w:szCs w:val="20"/>
          <w:lang w:eastAsia="sk-SK"/>
        </w:rPr>
      </w:pPr>
    </w:p>
    <w:p w14:paraId="4ACF7797" w14:textId="77777777" w:rsidR="00A32438" w:rsidRDefault="00A32438" w:rsidP="00A32438">
      <w:pPr>
        <w:spacing w:before="0" w:after="0" w:line="276" w:lineRule="auto"/>
        <w:textAlignment w:val="baseline"/>
        <w:rPr>
          <w:rFonts w:asciiTheme="minorHAnsi" w:hAnsiTheme="minorHAnsi" w:cstheme="minorHAnsi"/>
          <w:szCs w:val="20"/>
          <w:lang w:eastAsia="sk-SK"/>
        </w:rPr>
      </w:pPr>
      <w:r w:rsidRPr="003D0761">
        <w:rPr>
          <w:rFonts w:asciiTheme="minorHAnsi" w:hAnsiTheme="minorHAnsi" w:cstheme="minorHAnsi"/>
          <w:szCs w:val="20"/>
          <w:lang w:eastAsia="sk-SK"/>
        </w:rPr>
        <w:t>Verejný obstarávateľ má vo svojej správe odberné miest</w:t>
      </w:r>
      <w:r>
        <w:rPr>
          <w:rFonts w:asciiTheme="minorHAnsi" w:hAnsiTheme="minorHAnsi" w:cstheme="minorHAnsi"/>
          <w:szCs w:val="20"/>
          <w:lang w:eastAsia="sk-SK"/>
        </w:rPr>
        <w:t>a</w:t>
      </w:r>
      <w:r w:rsidRPr="003D0761">
        <w:rPr>
          <w:rFonts w:asciiTheme="minorHAnsi" w:hAnsiTheme="minorHAnsi" w:cstheme="minorHAnsi"/>
          <w:szCs w:val="20"/>
          <w:lang w:eastAsia="sk-SK"/>
        </w:rPr>
        <w:t xml:space="preserve"> s </w:t>
      </w:r>
      <w:r>
        <w:rPr>
          <w:rFonts w:asciiTheme="minorHAnsi" w:hAnsiTheme="minorHAnsi" w:cstheme="minorHAnsi"/>
          <w:szCs w:val="20"/>
          <w:lang w:eastAsia="sk-SK"/>
        </w:rPr>
        <w:t>nízko</w:t>
      </w:r>
      <w:r w:rsidRPr="003D0761">
        <w:rPr>
          <w:rFonts w:asciiTheme="minorHAnsi" w:hAnsiTheme="minorHAnsi" w:cstheme="minorHAnsi"/>
          <w:szCs w:val="20"/>
          <w:lang w:eastAsia="sk-SK"/>
        </w:rPr>
        <w:t>napäťovým pripojením (</w:t>
      </w:r>
      <w:r>
        <w:rPr>
          <w:rFonts w:asciiTheme="minorHAnsi" w:hAnsiTheme="minorHAnsi" w:cstheme="minorHAnsi"/>
          <w:szCs w:val="20"/>
          <w:lang w:eastAsia="sk-SK"/>
        </w:rPr>
        <w:t>N</w:t>
      </w:r>
      <w:r w:rsidRPr="003D0761">
        <w:rPr>
          <w:rFonts w:asciiTheme="minorHAnsi" w:hAnsiTheme="minorHAnsi" w:cstheme="minorHAnsi"/>
          <w:szCs w:val="20"/>
          <w:lang w:eastAsia="sk-SK"/>
        </w:rPr>
        <w:t xml:space="preserve">N) s odberom v </w:t>
      </w:r>
      <w:r>
        <w:rPr>
          <w:rFonts w:asciiTheme="minorHAnsi" w:hAnsiTheme="minorHAnsi" w:cstheme="minorHAnsi"/>
          <w:szCs w:val="20"/>
          <w:lang w:eastAsia="sk-SK"/>
        </w:rPr>
        <w:t xml:space="preserve">jednotnej tarife (1T), </w:t>
      </w:r>
      <w:r w:rsidRPr="003D0761">
        <w:rPr>
          <w:rFonts w:asciiTheme="minorHAnsi" w:hAnsiTheme="minorHAnsi" w:cstheme="minorHAnsi"/>
          <w:szCs w:val="20"/>
          <w:lang w:eastAsia="sk-SK"/>
        </w:rPr>
        <w:t>vysokej tarife (VT) a nízkej tarife (NT) s predpokladaným odberom na obdobie 12 mesiacov, ktorý vychádza z odobratého množstva za rok 2023.</w:t>
      </w:r>
      <w:r>
        <w:rPr>
          <w:rFonts w:asciiTheme="minorHAnsi" w:hAnsiTheme="minorHAnsi" w:cstheme="minorHAnsi"/>
          <w:szCs w:val="20"/>
          <w:lang w:eastAsia="sk-SK"/>
        </w:rPr>
        <w:t xml:space="preserve"> S</w:t>
      </w:r>
      <w:r w:rsidRPr="003D0761">
        <w:rPr>
          <w:rFonts w:asciiTheme="minorHAnsi" w:hAnsiTheme="minorHAnsi" w:cstheme="minorHAnsi"/>
          <w:szCs w:val="20"/>
          <w:lang w:eastAsia="sk-SK"/>
        </w:rPr>
        <w:t>kutočne odobraté množstvo elektrickej energie sa môže v konečnom dôsledku líšiť.</w:t>
      </w:r>
    </w:p>
    <w:p w14:paraId="45CEC5EB" w14:textId="77777777" w:rsidR="00A32438" w:rsidRPr="003D0761" w:rsidRDefault="00A32438" w:rsidP="00A32438">
      <w:pPr>
        <w:spacing w:before="0" w:after="0" w:line="276" w:lineRule="auto"/>
        <w:textAlignment w:val="baseline"/>
        <w:rPr>
          <w:rFonts w:asciiTheme="minorHAnsi" w:hAnsiTheme="minorHAnsi" w:cstheme="minorHAnsi"/>
          <w:szCs w:val="20"/>
          <w:lang w:eastAsia="sk-SK"/>
        </w:rPr>
      </w:pPr>
    </w:p>
    <w:p w14:paraId="6BFA5E6E" w14:textId="77777777" w:rsidR="00A32438" w:rsidRPr="003D0761" w:rsidRDefault="00A32438" w:rsidP="00A32438">
      <w:pPr>
        <w:spacing w:before="0" w:after="0" w:line="276" w:lineRule="auto"/>
        <w:textAlignment w:val="baseline"/>
        <w:rPr>
          <w:rFonts w:asciiTheme="minorHAnsi" w:hAnsiTheme="minorHAnsi" w:cstheme="minorHAnsi"/>
          <w:szCs w:val="20"/>
          <w:lang w:eastAsia="sk-SK"/>
        </w:rPr>
      </w:pPr>
      <w:r w:rsidRPr="003D0761">
        <w:rPr>
          <w:rFonts w:asciiTheme="minorHAnsi" w:hAnsiTheme="minorHAnsi" w:cstheme="minorHAnsi"/>
          <w:szCs w:val="20"/>
          <w:lang w:eastAsia="sk-SK"/>
        </w:rPr>
        <w:t>Podrobný zoznam odberných miest je uvedený v prílohe č. 1. - Zoznam odberných miest. Zoznam obsahuje nasledovné údaje: </w:t>
      </w:r>
    </w:p>
    <w:p w14:paraId="7F0584DD" w14:textId="77777777" w:rsidR="00A32438" w:rsidRPr="003D0761" w:rsidRDefault="00A32438" w:rsidP="00A32438">
      <w:pPr>
        <w:widowControl w:val="0"/>
        <w:numPr>
          <w:ilvl w:val="0"/>
          <w:numId w:val="1"/>
        </w:numPr>
        <w:autoSpaceDE w:val="0"/>
        <w:autoSpaceDN w:val="0"/>
        <w:spacing w:before="0" w:after="0" w:line="276" w:lineRule="auto"/>
        <w:textAlignment w:val="baseline"/>
        <w:rPr>
          <w:rFonts w:asciiTheme="minorHAnsi" w:hAnsiTheme="minorHAnsi" w:cstheme="minorHAnsi"/>
          <w:szCs w:val="20"/>
          <w:lang w:eastAsia="sk-SK"/>
        </w:rPr>
      </w:pPr>
      <w:r w:rsidRPr="003D0761">
        <w:rPr>
          <w:rFonts w:asciiTheme="minorHAnsi" w:hAnsiTheme="minorHAnsi" w:cstheme="minorHAnsi"/>
          <w:szCs w:val="20"/>
          <w:lang w:eastAsia="sk-SK"/>
        </w:rPr>
        <w:t>EIC, </w:t>
      </w:r>
    </w:p>
    <w:p w14:paraId="11C70980" w14:textId="77777777" w:rsidR="00A32438" w:rsidRPr="003D0761" w:rsidRDefault="00A32438" w:rsidP="00A32438">
      <w:pPr>
        <w:widowControl w:val="0"/>
        <w:numPr>
          <w:ilvl w:val="0"/>
          <w:numId w:val="1"/>
        </w:numPr>
        <w:autoSpaceDE w:val="0"/>
        <w:autoSpaceDN w:val="0"/>
        <w:spacing w:before="0" w:after="0" w:line="276" w:lineRule="auto"/>
        <w:textAlignment w:val="baseline"/>
        <w:rPr>
          <w:rFonts w:asciiTheme="minorHAnsi" w:hAnsiTheme="minorHAnsi" w:cstheme="minorHAnsi"/>
          <w:szCs w:val="20"/>
          <w:lang w:eastAsia="sk-SK"/>
        </w:rPr>
      </w:pPr>
      <w:r w:rsidRPr="003D0761">
        <w:rPr>
          <w:rFonts w:asciiTheme="minorHAnsi" w:hAnsiTheme="minorHAnsi" w:cstheme="minorHAnsi"/>
          <w:szCs w:val="20"/>
          <w:lang w:eastAsia="sk-SK"/>
        </w:rPr>
        <w:t>adresu odberného miesta, </w:t>
      </w:r>
    </w:p>
    <w:p w14:paraId="1BC426AE" w14:textId="77777777" w:rsidR="00A32438" w:rsidRPr="003D0761" w:rsidRDefault="00A32438" w:rsidP="00A32438">
      <w:pPr>
        <w:widowControl w:val="0"/>
        <w:numPr>
          <w:ilvl w:val="0"/>
          <w:numId w:val="1"/>
        </w:numPr>
        <w:autoSpaceDE w:val="0"/>
        <w:autoSpaceDN w:val="0"/>
        <w:spacing w:before="0" w:after="0" w:line="276" w:lineRule="auto"/>
        <w:textAlignment w:val="baseline"/>
        <w:rPr>
          <w:rFonts w:asciiTheme="minorHAnsi" w:hAnsiTheme="minorHAnsi" w:cstheme="minorHAnsi"/>
          <w:szCs w:val="20"/>
          <w:lang w:eastAsia="sk-SK"/>
        </w:rPr>
      </w:pPr>
      <w:r w:rsidRPr="003D0761">
        <w:rPr>
          <w:rFonts w:asciiTheme="minorHAnsi" w:hAnsiTheme="minorHAnsi" w:cstheme="minorHAnsi"/>
          <w:szCs w:val="20"/>
          <w:lang w:eastAsia="sk-SK"/>
        </w:rPr>
        <w:t>predpokladaný odber (MWh), </w:t>
      </w:r>
    </w:p>
    <w:p w14:paraId="4F0C9702" w14:textId="77777777" w:rsidR="00A32438" w:rsidRPr="003D0761" w:rsidRDefault="00A32438" w:rsidP="00A32438">
      <w:pPr>
        <w:widowControl w:val="0"/>
        <w:numPr>
          <w:ilvl w:val="0"/>
          <w:numId w:val="1"/>
        </w:numPr>
        <w:autoSpaceDE w:val="0"/>
        <w:autoSpaceDN w:val="0"/>
        <w:spacing w:before="0" w:after="0" w:line="276" w:lineRule="auto"/>
        <w:textAlignment w:val="baseline"/>
        <w:rPr>
          <w:rFonts w:asciiTheme="minorHAnsi" w:hAnsiTheme="minorHAnsi" w:cstheme="minorHAnsi"/>
          <w:szCs w:val="20"/>
          <w:lang w:eastAsia="sk-SK"/>
        </w:rPr>
      </w:pPr>
      <w:r w:rsidRPr="003D0761">
        <w:rPr>
          <w:rFonts w:asciiTheme="minorHAnsi" w:hAnsiTheme="minorHAnsi" w:cstheme="minorHAnsi"/>
          <w:szCs w:val="20"/>
          <w:lang w:eastAsia="sk-SK"/>
        </w:rPr>
        <w:t>hodnotu ističa (A)/rezervovanú kapacitu (kW), </w:t>
      </w:r>
    </w:p>
    <w:p w14:paraId="310A119A" w14:textId="77777777" w:rsidR="00A32438" w:rsidRPr="003D0761" w:rsidRDefault="00A32438" w:rsidP="00A32438">
      <w:pPr>
        <w:widowControl w:val="0"/>
        <w:numPr>
          <w:ilvl w:val="0"/>
          <w:numId w:val="1"/>
        </w:numPr>
        <w:autoSpaceDE w:val="0"/>
        <w:autoSpaceDN w:val="0"/>
        <w:spacing w:before="0" w:after="0" w:line="276" w:lineRule="auto"/>
        <w:textAlignment w:val="baseline"/>
        <w:rPr>
          <w:rFonts w:asciiTheme="minorHAnsi" w:hAnsiTheme="minorHAnsi" w:cstheme="minorHAnsi"/>
          <w:szCs w:val="20"/>
          <w:lang w:eastAsia="sk-SK"/>
        </w:rPr>
      </w:pPr>
      <w:r w:rsidRPr="003D0761">
        <w:rPr>
          <w:rFonts w:asciiTheme="minorHAnsi" w:hAnsiTheme="minorHAnsi" w:cstheme="minorHAnsi"/>
          <w:szCs w:val="20"/>
          <w:lang w:eastAsia="sk-SK"/>
        </w:rPr>
        <w:t>počet fáz, </w:t>
      </w:r>
    </w:p>
    <w:p w14:paraId="6A520DAB" w14:textId="77777777" w:rsidR="00A32438" w:rsidRPr="003D0761" w:rsidRDefault="00A32438" w:rsidP="00A32438">
      <w:pPr>
        <w:widowControl w:val="0"/>
        <w:numPr>
          <w:ilvl w:val="0"/>
          <w:numId w:val="1"/>
        </w:numPr>
        <w:autoSpaceDE w:val="0"/>
        <w:autoSpaceDN w:val="0"/>
        <w:spacing w:before="0" w:after="0" w:line="276" w:lineRule="auto"/>
        <w:textAlignment w:val="baseline"/>
        <w:rPr>
          <w:rFonts w:asciiTheme="minorHAnsi" w:hAnsiTheme="minorHAnsi" w:cstheme="minorHAnsi"/>
          <w:szCs w:val="20"/>
          <w:lang w:eastAsia="sk-SK"/>
        </w:rPr>
      </w:pPr>
      <w:r w:rsidRPr="003D0761">
        <w:rPr>
          <w:rFonts w:asciiTheme="minorHAnsi" w:hAnsiTheme="minorHAnsi" w:cstheme="minorHAnsi"/>
          <w:szCs w:val="20"/>
          <w:lang w:eastAsia="sk-SK"/>
        </w:rPr>
        <w:t>typ merania (A, B, C), </w:t>
      </w:r>
    </w:p>
    <w:p w14:paraId="68E35952" w14:textId="77777777" w:rsidR="00A32438" w:rsidRPr="003D0761" w:rsidRDefault="00A32438" w:rsidP="00A32438">
      <w:pPr>
        <w:widowControl w:val="0"/>
        <w:autoSpaceDE w:val="0"/>
        <w:autoSpaceDN w:val="0"/>
        <w:spacing w:before="0" w:after="0" w:line="276" w:lineRule="auto"/>
        <w:rPr>
          <w:rFonts w:asciiTheme="minorHAnsi" w:hAnsiTheme="minorHAnsi" w:cstheme="minorHAnsi"/>
          <w:szCs w:val="20"/>
          <w:lang w:eastAsia="en-US"/>
        </w:rPr>
      </w:pPr>
    </w:p>
    <w:bookmarkEnd w:id="2"/>
    <w:p w14:paraId="2F884B12" w14:textId="77777777" w:rsidR="009E0D65" w:rsidRDefault="009E0D65" w:rsidP="00A32438">
      <w:pPr>
        <w:spacing w:before="0" w:after="0" w:line="276" w:lineRule="auto"/>
      </w:pPr>
    </w:p>
    <w:sectPr w:rsidR="009E0D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277D4E" w14:textId="77777777" w:rsidR="00262AAD" w:rsidRDefault="00262AAD" w:rsidP="00A32438">
      <w:pPr>
        <w:spacing w:before="0" w:after="0"/>
      </w:pPr>
      <w:r>
        <w:separator/>
      </w:r>
    </w:p>
  </w:endnote>
  <w:endnote w:type="continuationSeparator" w:id="0">
    <w:p w14:paraId="3C106E78" w14:textId="77777777" w:rsidR="00262AAD" w:rsidRDefault="00262AAD" w:rsidP="00A3243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(Body)">
    <w:altName w:val="Calibri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77232268"/>
      <w:docPartObj>
        <w:docPartGallery w:val="Page Numbers (Bottom of Page)"/>
        <w:docPartUnique/>
      </w:docPartObj>
    </w:sdtPr>
    <w:sdtContent>
      <w:p w14:paraId="744145CF" w14:textId="4225CACB" w:rsidR="00A32438" w:rsidRDefault="00A32438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A927F7" w14:textId="77777777" w:rsidR="00A32438" w:rsidRDefault="00A324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75CBF7" w14:textId="77777777" w:rsidR="00262AAD" w:rsidRDefault="00262AAD" w:rsidP="00A32438">
      <w:pPr>
        <w:spacing w:before="0" w:after="0"/>
      </w:pPr>
      <w:r>
        <w:separator/>
      </w:r>
    </w:p>
  </w:footnote>
  <w:footnote w:type="continuationSeparator" w:id="0">
    <w:p w14:paraId="1F74B2B0" w14:textId="77777777" w:rsidR="00262AAD" w:rsidRDefault="00262AAD" w:rsidP="00A3243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0CBF4" w14:textId="77777777" w:rsidR="006A4FEF" w:rsidRPr="007E4D41" w:rsidRDefault="006A4FEF" w:rsidP="006A4FEF">
    <w:pPr>
      <w:pStyle w:val="Nzov"/>
      <w:spacing w:after="0"/>
      <w:rPr>
        <w:rFonts w:asciiTheme="minorHAnsi" w:hAnsiTheme="minorHAnsi" w:cstheme="minorHAnsi"/>
        <w:sz w:val="44"/>
        <w:szCs w:val="44"/>
      </w:rPr>
    </w:pPr>
    <w:r>
      <w:rPr>
        <w:noProof/>
      </w:rPr>
      <w:drawing>
        <wp:inline distT="0" distB="0" distL="0" distR="0" wp14:anchorId="72C9E0B2" wp14:editId="45BE06F2">
          <wp:extent cx="790764" cy="922020"/>
          <wp:effectExtent l="0" t="0" r="9525" b="0"/>
          <wp:docPr id="999962919" name="Obrázok 999962919" descr="VÃ½sledok vyhÄ¾adÃ¡vania obrÃ¡zkov pre dopyt mesto pezinok 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Ã½sledok vyhÄ¾adÃ¡vania obrÃ¡zkov pre dopyt mesto pezinok 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166" cy="9318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68"/>
      </w:rPr>
      <w:t xml:space="preserve">  </w:t>
    </w:r>
    <w:r>
      <w:rPr>
        <w:sz w:val="68"/>
      </w:rPr>
      <w:tab/>
    </w:r>
    <w:r w:rsidRPr="007E4D41">
      <w:rPr>
        <w:rFonts w:asciiTheme="minorHAnsi" w:hAnsiTheme="minorHAnsi" w:cstheme="minorHAnsi"/>
        <w:sz w:val="68"/>
      </w:rPr>
      <w:t xml:space="preserve">        </w:t>
    </w:r>
    <w:r w:rsidRPr="007E4D41">
      <w:rPr>
        <w:rFonts w:asciiTheme="minorHAnsi" w:hAnsiTheme="minorHAnsi" w:cstheme="minorHAnsi"/>
        <w:sz w:val="44"/>
        <w:szCs w:val="44"/>
      </w:rPr>
      <w:t>Mesto PEZINOK</w:t>
    </w:r>
  </w:p>
  <w:p w14:paraId="29367B1B" w14:textId="09B86F95" w:rsidR="006A4FEF" w:rsidRPr="006A4FEF" w:rsidRDefault="006A4FEF" w:rsidP="006A4FEF">
    <w:pPr>
      <w:spacing w:before="0" w:after="0"/>
      <w:jc w:val="center"/>
      <w:rPr>
        <w:rFonts w:asciiTheme="minorHAnsi" w:hAnsiTheme="minorHAnsi" w:cstheme="minorHAnsi"/>
        <w:bCs/>
        <w:sz w:val="28"/>
        <w:szCs w:val="28"/>
      </w:rPr>
    </w:pPr>
    <w:r w:rsidRPr="007E4D41">
      <w:rPr>
        <w:rFonts w:asciiTheme="minorHAnsi" w:hAnsiTheme="minorHAnsi" w:cstheme="minorHAnsi"/>
        <w:b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61D5C8A" wp14:editId="4F73DFD1">
              <wp:simplePos x="0" y="0"/>
              <wp:positionH relativeFrom="column">
                <wp:posOffset>-171450</wp:posOffset>
              </wp:positionH>
              <wp:positionV relativeFrom="paragraph">
                <wp:posOffset>212725</wp:posOffset>
              </wp:positionV>
              <wp:extent cx="6309360" cy="0"/>
              <wp:effectExtent l="0" t="0" r="0" b="0"/>
              <wp:wrapNone/>
              <wp:docPr id="1629927617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093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5B4629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5pt,16.75pt" to="483.3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" o:allowincell="f" strokeweight="1.5pt"/>
          </w:pict>
        </mc:Fallback>
      </mc:AlternateContent>
    </w:r>
    <w:r w:rsidRPr="007E4D41">
      <w:rPr>
        <w:rFonts w:asciiTheme="minorHAnsi" w:hAnsiTheme="minorHAnsi" w:cstheme="minorHAnsi"/>
        <w:b/>
        <w:sz w:val="28"/>
        <w:szCs w:val="28"/>
      </w:rPr>
      <w:t xml:space="preserve">   </w:t>
    </w:r>
    <w:r w:rsidRPr="007E4D41">
      <w:rPr>
        <w:rFonts w:asciiTheme="minorHAnsi" w:hAnsiTheme="minorHAnsi" w:cstheme="minorHAnsi"/>
        <w:sz w:val="28"/>
        <w:szCs w:val="28"/>
      </w:rPr>
      <w:t>Radničné námestie 44/7, 902 14 Pezinok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7A3E35"/>
    <w:multiLevelType w:val="hybridMultilevel"/>
    <w:tmpl w:val="B444357E"/>
    <w:lvl w:ilvl="0" w:tplc="9200920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EF4151"/>
    <w:multiLevelType w:val="hybridMultilevel"/>
    <w:tmpl w:val="F260D098"/>
    <w:lvl w:ilvl="0" w:tplc="624C6C2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1488853">
    <w:abstractNumId w:val="0"/>
  </w:num>
  <w:num w:numId="2" w16cid:durableId="478764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38"/>
    <w:rsid w:val="00262AAD"/>
    <w:rsid w:val="006A4FEF"/>
    <w:rsid w:val="009E0D65"/>
    <w:rsid w:val="00A30F62"/>
    <w:rsid w:val="00A32438"/>
    <w:rsid w:val="00B8589C"/>
    <w:rsid w:val="00BE717E"/>
    <w:rsid w:val="00F6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3C8C0"/>
  <w15:chartTrackingRefBased/>
  <w15:docId w15:val="{CED46365-F01B-4545-8E62-AD9DB0C42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32438"/>
    <w:pPr>
      <w:spacing w:before="120" w:after="120" w:line="240" w:lineRule="auto"/>
      <w:jc w:val="both"/>
    </w:pPr>
    <w:rPr>
      <w:rFonts w:ascii="Calibri" w:eastAsia="Times New Roman" w:hAnsi="Calibri" w:cs="Times New Roman"/>
      <w:kern w:val="0"/>
      <w:sz w:val="20"/>
      <w:szCs w:val="24"/>
      <w:lang w:eastAsia="en-GB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A324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324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324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324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324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A324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324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324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324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324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324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324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3243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3243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3243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3243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3243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32438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qFormat/>
    <w:rsid w:val="00A3243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rsid w:val="00A324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324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A324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A324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A32438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A32438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A32438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A324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A32438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A32438"/>
    <w:rPr>
      <w:b/>
      <w:bCs/>
      <w:smallCaps/>
      <w:color w:val="0F4761" w:themeColor="accent1" w:themeShade="BF"/>
      <w:spacing w:val="5"/>
    </w:rPr>
  </w:style>
  <w:style w:type="paragraph" w:customStyle="1" w:styleId="A1Heading">
    <w:name w:val="A1 Heading"/>
    <w:basedOn w:val="Nadpis1"/>
    <w:next w:val="A1AHeading"/>
    <w:autoRedefine/>
    <w:qFormat/>
    <w:rsid w:val="00A32438"/>
    <w:pPr>
      <w:keepNext w:val="0"/>
      <w:keepLines w:val="0"/>
      <w:tabs>
        <w:tab w:val="num" w:pos="360"/>
      </w:tabs>
      <w:spacing w:before="240" w:after="240"/>
      <w:ind w:left="576" w:hanging="576"/>
    </w:pPr>
    <w:rPr>
      <w:rFonts w:ascii="Calibri" w:eastAsia="Times New Roman" w:hAnsi="Calibri" w:cs="Calibri (Body)"/>
      <w:b/>
      <w:caps/>
      <w:noProof/>
      <w:color w:val="auto"/>
      <w:sz w:val="20"/>
      <w:szCs w:val="24"/>
    </w:rPr>
  </w:style>
  <w:style w:type="paragraph" w:customStyle="1" w:styleId="A1AHeading">
    <w:name w:val="A.1A Heading"/>
    <w:basedOn w:val="Nadpis2"/>
    <w:autoRedefine/>
    <w:qFormat/>
    <w:rsid w:val="00A32438"/>
    <w:pPr>
      <w:keepLines w:val="0"/>
      <w:tabs>
        <w:tab w:val="num" w:pos="360"/>
      </w:tabs>
      <w:spacing w:before="480" w:after="240"/>
    </w:pPr>
    <w:rPr>
      <w:rFonts w:ascii="Calibri" w:eastAsia="Times New Roman" w:hAnsi="Calibri" w:cs="Calibri (Body)"/>
      <w:b/>
      <w:bCs/>
      <w:caps/>
      <w:noProof/>
      <w:color w:val="auto"/>
      <w:sz w:val="20"/>
      <w:szCs w:val="24"/>
    </w:rPr>
  </w:style>
  <w:style w:type="table" w:customStyle="1" w:styleId="Mriekatabuky1">
    <w:name w:val="Mriežka tabuľky1"/>
    <w:basedOn w:val="Normlnatabuka"/>
    <w:next w:val="Mriekatabuky"/>
    <w:uiPriority w:val="39"/>
    <w:rsid w:val="00A32438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A32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A32438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A32438"/>
    <w:rPr>
      <w:rFonts w:ascii="Calibri" w:eastAsia="Times New Roman" w:hAnsi="Calibri" w:cs="Times New Roman"/>
      <w:kern w:val="0"/>
      <w:sz w:val="20"/>
      <w:szCs w:val="24"/>
      <w:lang w:eastAsia="en-GB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A32438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A32438"/>
    <w:rPr>
      <w:rFonts w:ascii="Calibri" w:eastAsia="Times New Roman" w:hAnsi="Calibri" w:cs="Times New Roman"/>
      <w:kern w:val="0"/>
      <w:sz w:val="20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Sestakova</dc:creator>
  <cp:keywords/>
  <dc:description/>
  <cp:lastModifiedBy>Veronika Sestakova</cp:lastModifiedBy>
  <cp:revision>2</cp:revision>
  <dcterms:created xsi:type="dcterms:W3CDTF">2024-08-22T08:40:00Z</dcterms:created>
  <dcterms:modified xsi:type="dcterms:W3CDTF">2024-08-22T08:43:00Z</dcterms:modified>
</cp:coreProperties>
</file>