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5A541F07"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CA18BA">
        <w:rPr>
          <w:rFonts w:ascii="Calibri" w:hAnsi="Calibri" w:cs="Calibri"/>
          <w:b/>
          <w:bCs w:val="0"/>
          <w:i w:val="0"/>
          <w:iCs w:val="0"/>
        </w:rPr>
        <w:t>4</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D681A2D" w:rsidR="00D95F50" w:rsidRPr="006B574D" w:rsidRDefault="00D95F50" w:rsidP="001235AE">
      <w:pPr>
        <w:rPr>
          <w:rFonts w:ascii="Calibri" w:hAnsi="Calibri" w:cs="Calibri"/>
          <w:sz w:val="24"/>
        </w:rPr>
      </w:pPr>
      <w:r w:rsidRPr="006B574D">
        <w:rPr>
          <w:rFonts w:ascii="Calibri" w:hAnsi="Calibri" w:cs="Calibri"/>
          <w:sz w:val="24"/>
        </w:rPr>
        <w:t>Burmistrza Miasta i Gminy Górzno -</w:t>
      </w:r>
      <w:r w:rsidR="00CA18BA">
        <w:rPr>
          <w:rFonts w:ascii="Calibri" w:hAnsi="Calibri" w:cs="Calibri"/>
          <w:sz w:val="24"/>
        </w:rPr>
        <w:t xml:space="preserve">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4605B9E6" w14:textId="390E6B66" w:rsidR="00680C69" w:rsidRPr="00680C69" w:rsidRDefault="00694E66" w:rsidP="00680C69">
      <w:pPr>
        <w:shd w:val="clear" w:color="auto" w:fill="FFFFFF"/>
        <w:jc w:val="both"/>
        <w:rPr>
          <w:rFonts w:ascii="Calibri" w:hAnsi="Calibri" w:cs="Calibri"/>
          <w:sz w:val="24"/>
          <w:szCs w:val="24"/>
        </w:rPr>
      </w:pPr>
      <w:r w:rsidRPr="006B574D">
        <w:rPr>
          <w:rFonts w:ascii="Calibri" w:hAnsi="Calibri" w:cs="Calibri"/>
          <w:sz w:val="24"/>
          <w:szCs w:val="24"/>
        </w:rPr>
        <w:t>1.</w:t>
      </w:r>
      <w:r w:rsidR="00661F7A" w:rsidRPr="006B574D">
        <w:rPr>
          <w:rFonts w:ascii="Calibri" w:hAnsi="Calibri" w:cs="Calibri"/>
          <w:sz w:val="24"/>
          <w:szCs w:val="24"/>
        </w:rPr>
        <w:t> </w:t>
      </w:r>
      <w:r w:rsidR="00680C69" w:rsidRPr="00680C69">
        <w:rPr>
          <w:rFonts w:ascii="Calibri" w:hAnsi="Calibri" w:cs="Calibri"/>
          <w:sz w:val="24"/>
          <w:szCs w:val="24"/>
        </w:rPr>
        <w:t xml:space="preserve">Zakres robót obejmuje w szczególności roboty budowlane polegające na </w:t>
      </w:r>
      <w:r w:rsidR="00757C22">
        <w:rPr>
          <w:rFonts w:ascii="Calibri" w:hAnsi="Calibri" w:cs="Calibri"/>
          <w:sz w:val="24"/>
          <w:szCs w:val="24"/>
        </w:rPr>
        <w:t>p</w:t>
      </w:r>
      <w:r w:rsidR="00757C22" w:rsidRPr="00757C22">
        <w:rPr>
          <w:rFonts w:ascii="Calibri" w:hAnsi="Calibri" w:cs="Calibri"/>
          <w:sz w:val="24"/>
          <w:szCs w:val="24"/>
        </w:rPr>
        <w:t>rzebudow</w:t>
      </w:r>
      <w:r w:rsidR="00757C22">
        <w:rPr>
          <w:rFonts w:ascii="Calibri" w:hAnsi="Calibri" w:cs="Calibri"/>
          <w:sz w:val="24"/>
          <w:szCs w:val="24"/>
        </w:rPr>
        <w:t>ie</w:t>
      </w:r>
      <w:r w:rsidR="00757C22" w:rsidRPr="00757C22">
        <w:rPr>
          <w:rFonts w:ascii="Calibri" w:hAnsi="Calibri" w:cs="Calibri"/>
          <w:sz w:val="24"/>
          <w:szCs w:val="24"/>
        </w:rPr>
        <w:t xml:space="preserve"> drogi gminnej nr 080753C w miejscowości Czarny Bryńsk na terenie Miasta i Gminy Górzno</w:t>
      </w:r>
      <w:r w:rsidR="00757C22">
        <w:rPr>
          <w:rFonts w:ascii="Calibri" w:hAnsi="Calibri" w:cs="Calibri"/>
          <w:sz w:val="24"/>
          <w:szCs w:val="24"/>
        </w:rPr>
        <w:t xml:space="preserve">. </w:t>
      </w:r>
      <w:r w:rsidR="00680C69" w:rsidRPr="00680C69">
        <w:rPr>
          <w:rFonts w:ascii="Calibri" w:hAnsi="Calibri" w:cs="Calibri"/>
          <w:sz w:val="24"/>
          <w:szCs w:val="24"/>
        </w:rPr>
        <w:t>Szczegóły zakresu i rozwiązań znajdują się w załączonej dokumentacji technicznej. Wykonawca zrealizuje przedmiot umowy w zakresie i w sposób określony w dokumentacji projektowej, w tym zgodnie z Specyfikacją</w:t>
      </w:r>
      <w:r w:rsidR="00F33C21">
        <w:rPr>
          <w:rFonts w:ascii="Calibri" w:hAnsi="Calibri" w:cs="Calibri"/>
          <w:sz w:val="24"/>
          <w:szCs w:val="24"/>
        </w:rPr>
        <w:t xml:space="preserve"> Technicznego</w:t>
      </w:r>
      <w:r w:rsidR="00680C69" w:rsidRPr="00680C69">
        <w:rPr>
          <w:rFonts w:ascii="Calibri" w:hAnsi="Calibri" w:cs="Calibri"/>
          <w:sz w:val="24"/>
          <w:szCs w:val="24"/>
        </w:rPr>
        <w:t xml:space="preserve"> Wykonania i Odbioru Robót Budowlanych, Specyfikacji Warunków Zamówienia oraz warunkami wynikającymi z obowiązujących norm, przepisów technicznych i prawa budowlanego. </w:t>
      </w:r>
    </w:p>
    <w:p w14:paraId="0779BB56" w14:textId="77777777" w:rsidR="00596F3A" w:rsidRDefault="00596F3A" w:rsidP="00552B2E">
      <w:pPr>
        <w:shd w:val="clear" w:color="auto" w:fill="FFFFFF"/>
        <w:jc w:val="both"/>
        <w:rPr>
          <w:rFonts w:ascii="Calibri" w:hAnsi="Calibri" w:cs="Calibri"/>
          <w:sz w:val="24"/>
          <w:szCs w:val="24"/>
        </w:rPr>
      </w:pPr>
    </w:p>
    <w:p w14:paraId="64147F1F" w14:textId="6F136AF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w:t>
      </w:r>
      <w:r w:rsidR="00F33C21">
        <w:rPr>
          <w:rFonts w:ascii="Calibri" w:hAnsi="Calibri" w:cs="Calibri"/>
          <w:b/>
          <w:bCs/>
          <w:sz w:val="24"/>
          <w:szCs w:val="24"/>
        </w:rPr>
        <w:t>ach</w:t>
      </w:r>
      <w:r w:rsidR="00B81B0D" w:rsidRPr="003A7C18">
        <w:rPr>
          <w:rFonts w:ascii="Calibri" w:hAnsi="Calibri" w:cs="Calibri"/>
          <w:b/>
          <w:bCs/>
          <w:sz w:val="24"/>
          <w:szCs w:val="24"/>
        </w:rPr>
        <w:t xml:space="preserve"> projektow</w:t>
      </w:r>
      <w:r w:rsidR="00F33C21">
        <w:rPr>
          <w:rFonts w:ascii="Calibri" w:hAnsi="Calibri" w:cs="Calibri"/>
          <w:b/>
          <w:bCs/>
          <w:sz w:val="24"/>
          <w:szCs w:val="24"/>
        </w:rPr>
        <w:t>ych</w:t>
      </w:r>
      <w:r w:rsidR="00F04B57" w:rsidRPr="003A7C18">
        <w:rPr>
          <w:rFonts w:ascii="Calibri" w:hAnsi="Calibri" w:cs="Calibri"/>
          <w:b/>
          <w:bCs/>
          <w:sz w:val="24"/>
          <w:szCs w:val="24"/>
        </w:rPr>
        <w:t>, specyfikacj</w:t>
      </w:r>
      <w:r w:rsidR="00F33C21">
        <w:rPr>
          <w:rFonts w:ascii="Calibri" w:hAnsi="Calibri" w:cs="Calibri"/>
          <w:b/>
          <w:bCs/>
          <w:sz w:val="24"/>
          <w:szCs w:val="24"/>
        </w:rPr>
        <w:t>ach</w:t>
      </w:r>
      <w:r w:rsidR="00F04B57" w:rsidRPr="003A7C18">
        <w:rPr>
          <w:rFonts w:ascii="Calibri" w:hAnsi="Calibri" w:cs="Calibri"/>
          <w:b/>
          <w:bCs/>
          <w:sz w:val="24"/>
          <w:szCs w:val="24"/>
        </w:rPr>
        <w:t xml:space="preserve">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12E7526E"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lastRenderedPageBreak/>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lastRenderedPageBreak/>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3F35CD">
        <w:rPr>
          <w:rFonts w:ascii="Calibri" w:hAnsi="Calibri" w:cs="Calibri"/>
          <w:sz w:val="24"/>
          <w:u w:val="single"/>
        </w:rPr>
        <w:t>których przedmiotem będą roboty budowlane</w:t>
      </w:r>
      <w:r w:rsidR="005C2E79">
        <w:rPr>
          <w:rFonts w:ascii="Calibri" w:hAnsi="Calibri" w:cs="Calibri"/>
          <w:sz w:val="24"/>
          <w:u w:val="single"/>
        </w:rPr>
        <w:t>, montażowe lub dostawy sprzętu technologicznego</w:t>
      </w:r>
      <w:r w:rsidRPr="006B574D">
        <w:rPr>
          <w:rFonts w:ascii="Calibri" w:hAnsi="Calibri" w:cs="Calibri"/>
          <w:sz w:val="24"/>
        </w:rPr>
        <w:t>,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Wykonawca, w terminach co </w:t>
      </w:r>
      <w:r w:rsidR="0049225D" w:rsidRPr="006B574D">
        <w:rPr>
          <w:rFonts w:ascii="Calibri" w:hAnsi="Calibri" w:cs="Calibri"/>
          <w:sz w:val="24"/>
        </w:rPr>
        <w:t>miesiąc</w:t>
      </w:r>
      <w:r w:rsidRPr="006B574D">
        <w:rPr>
          <w:rFonts w:ascii="Calibri" w:hAnsi="Calibri" w:cs="Calibri"/>
          <w:sz w:val="24"/>
        </w:rPr>
        <w:t xml:space="preserve"> od zawarcia umowy, zobowiązany jest do przedkładania </w:t>
      </w:r>
      <w:r w:rsidR="009957BE" w:rsidRPr="006B574D">
        <w:rPr>
          <w:rFonts w:ascii="Calibri" w:hAnsi="Calibri" w:cs="Calibri"/>
          <w:b/>
          <w:sz w:val="24"/>
        </w:rPr>
        <w:t>oświadczenia</w:t>
      </w:r>
      <w:r w:rsidRPr="006B574D">
        <w:rPr>
          <w:rFonts w:ascii="Calibri" w:hAnsi="Calibri" w:cs="Calibri"/>
          <w:sz w:val="24"/>
        </w:rPr>
        <w:t xml:space="preserve"> Zamawiającemu, zawierającego informację czy Wykonawca zamierza zawrzeć umowę z podwykonawcą/</w:t>
      </w:r>
      <w:r w:rsidR="008A7556" w:rsidRPr="006B574D">
        <w:rPr>
          <w:rFonts w:ascii="Calibri" w:hAnsi="Calibri" w:cs="Calibri"/>
          <w:sz w:val="24"/>
        </w:rPr>
        <w:t xml:space="preserve"> </w:t>
      </w:r>
      <w:r w:rsidRPr="006B574D">
        <w:rPr>
          <w:rFonts w:ascii="Calibri" w:hAnsi="Calibri" w:cs="Calibri"/>
          <w:sz w:val="24"/>
        </w:rPr>
        <w:t>podwykonawcami i czy podwykonawca/podwykonawcy zamierzają zawrzeć umowę z dalszym podwykonawcą</w:t>
      </w:r>
      <w:r w:rsidR="009957BE" w:rsidRPr="006B574D">
        <w:rPr>
          <w:rFonts w:ascii="Calibri" w:hAnsi="Calibri" w:cs="Calibri"/>
          <w:sz w:val="24"/>
        </w:rPr>
        <w:t xml:space="preserve"> pamiętają iż projekt umowy musi wcześniej zostać zaakceptowany przez </w:t>
      </w:r>
      <w:r w:rsidR="00AB6E0F" w:rsidRPr="006B574D">
        <w:rPr>
          <w:rFonts w:ascii="Calibri" w:hAnsi="Calibri" w:cs="Calibri"/>
          <w:sz w:val="24"/>
        </w:rPr>
        <w:t>Z</w:t>
      </w:r>
      <w:r w:rsidR="009957BE" w:rsidRPr="006B574D">
        <w:rPr>
          <w:rFonts w:ascii="Calibri" w:hAnsi="Calibri" w:cs="Calibri"/>
          <w:sz w:val="24"/>
        </w:rPr>
        <w:t>amawiającego</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0F68D81B" w14:textId="77777777" w:rsidR="00044276" w:rsidRPr="00044276" w:rsidRDefault="00044276" w:rsidP="00044276">
      <w:pPr>
        <w:pStyle w:val="Tekstpodstawowywcity"/>
        <w:tabs>
          <w:tab w:val="left" w:pos="426"/>
        </w:tabs>
        <w:ind w:left="0"/>
        <w:rPr>
          <w:rFonts w:ascii="Calibri" w:hAnsi="Calibri" w:cs="Calibri"/>
          <w:bCs/>
        </w:rPr>
      </w:pPr>
      <w:r w:rsidRPr="00044276">
        <w:rPr>
          <w:rFonts w:ascii="Calibri" w:hAnsi="Calibri" w:cs="Calibri"/>
          <w:bCs/>
        </w:rPr>
        <w:t>- protokolarne przekazanie placu budowy w terminie 7 dni od podpisania umowy</w:t>
      </w:r>
    </w:p>
    <w:p w14:paraId="6ADB274B" w14:textId="6F251CF8" w:rsidR="00693451" w:rsidRDefault="00044276" w:rsidP="00044276">
      <w:pPr>
        <w:pStyle w:val="Tekstpodstawowywcity"/>
        <w:tabs>
          <w:tab w:val="left" w:pos="426"/>
        </w:tabs>
        <w:ind w:left="0"/>
        <w:jc w:val="both"/>
        <w:rPr>
          <w:rFonts w:ascii="Calibri" w:hAnsi="Calibri" w:cs="Calibri"/>
        </w:rPr>
      </w:pPr>
      <w:r w:rsidRPr="00044276">
        <w:rPr>
          <w:rFonts w:ascii="Calibri" w:hAnsi="Calibri" w:cs="Calibri"/>
          <w:bCs/>
        </w:rPr>
        <w:t>- zakończenie prac budowlano-montażowych w terminie 6 tygodni od podpisania umowy, jednak nie później niż do 18.10.2024</w:t>
      </w:r>
      <w:r w:rsidR="00C37AE7">
        <w:rPr>
          <w:rFonts w:ascii="Calibri" w:hAnsi="Calibri" w:cs="Calibri"/>
          <w:bCs/>
        </w:rPr>
        <w:t>.</w:t>
      </w: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7777777"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 – w częstotliwości przynajmniej raz w tygodniu</w:t>
      </w:r>
      <w:r w:rsidR="00E012C5">
        <w:rPr>
          <w:rFonts w:ascii="Calibri" w:hAnsi="Calibri" w:cs="Calibri"/>
        </w:rPr>
        <w:t xml:space="preserve"> –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7B691522"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1. Ustala się </w:t>
      </w:r>
      <w:r w:rsidRPr="00C37AE7">
        <w:rPr>
          <w:rFonts w:ascii="Calibri" w:hAnsi="Calibri" w:cs="Calibri"/>
          <w:b/>
          <w:bCs/>
        </w:rPr>
        <w:t>wynagrodzenie</w:t>
      </w:r>
      <w:r w:rsidRPr="00C37AE7">
        <w:rPr>
          <w:rFonts w:ascii="Calibri" w:hAnsi="Calibri" w:cs="Calibri"/>
        </w:rPr>
        <w:t xml:space="preserve"> ryczałtowe Wykonawcy zgodnie z ceną ofertową w wysokości </w:t>
      </w:r>
      <w:r w:rsidRPr="00C37AE7">
        <w:rPr>
          <w:rFonts w:ascii="Calibri" w:hAnsi="Calibri" w:cs="Calibri"/>
          <w:b/>
        </w:rPr>
        <w:t>.................... zł brutto</w:t>
      </w:r>
      <w:r w:rsidRPr="00C37AE7">
        <w:rPr>
          <w:rFonts w:ascii="Calibri" w:hAnsi="Calibri" w:cs="Calibri"/>
        </w:rPr>
        <w:t xml:space="preserve"> (słownie: ............................................. ). Wynagrodzenie zawiera podatek VAT. </w:t>
      </w:r>
    </w:p>
    <w:p w14:paraId="095CB9EF"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Faktura VAT powinna zostać wystawiona na następujące dane: </w:t>
      </w:r>
    </w:p>
    <w:p w14:paraId="030910B1"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NABYWCA:</w:t>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t>ODBIORCA:</w:t>
      </w:r>
    </w:p>
    <w:p w14:paraId="0DD1F733"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Miasto i Gmina Górzno</w:t>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t>Urząd Miasta i Gminy Górzno</w:t>
      </w:r>
    </w:p>
    <w:p w14:paraId="4B05090A"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ul. Rynek 1</w:t>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t>ul. Rynek 1</w:t>
      </w:r>
    </w:p>
    <w:p w14:paraId="1B38A73E" w14:textId="01BDB41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87 – 320 Górzno</w:t>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sidRPr="00C37AE7">
        <w:rPr>
          <w:rFonts w:ascii="Calibri" w:hAnsi="Calibri" w:cs="Calibri"/>
        </w:rPr>
        <w:tab/>
      </w:r>
      <w:r>
        <w:rPr>
          <w:rFonts w:ascii="Calibri" w:hAnsi="Calibri" w:cs="Calibri"/>
        </w:rPr>
        <w:tab/>
      </w:r>
      <w:r w:rsidRPr="00C37AE7">
        <w:rPr>
          <w:rFonts w:ascii="Calibri" w:hAnsi="Calibri" w:cs="Calibri"/>
        </w:rPr>
        <w:t>87-320 Górzno</w:t>
      </w:r>
    </w:p>
    <w:p w14:paraId="02F224D3" w14:textId="6774AA7F" w:rsidR="00C37AE7" w:rsidRDefault="00C37AE7" w:rsidP="0095101F">
      <w:pPr>
        <w:pStyle w:val="Tekstpodstawowywcity"/>
        <w:tabs>
          <w:tab w:val="left" w:pos="0"/>
        </w:tabs>
        <w:jc w:val="both"/>
        <w:rPr>
          <w:rFonts w:ascii="Calibri" w:hAnsi="Calibri" w:cs="Calibri"/>
        </w:rPr>
      </w:pPr>
      <w:r w:rsidRPr="00C37AE7">
        <w:rPr>
          <w:rFonts w:ascii="Calibri" w:hAnsi="Calibri" w:cs="Calibri"/>
        </w:rPr>
        <w:t>NIP: 8741683611</w:t>
      </w:r>
    </w:p>
    <w:p w14:paraId="0C72CCA9" w14:textId="77777777" w:rsidR="00C37AE7" w:rsidRPr="00C37AE7" w:rsidRDefault="00C37AE7" w:rsidP="0095101F">
      <w:pPr>
        <w:pStyle w:val="Tekstpodstawowywcity"/>
        <w:tabs>
          <w:tab w:val="left" w:pos="0"/>
        </w:tabs>
        <w:jc w:val="both"/>
        <w:rPr>
          <w:rFonts w:ascii="Calibri" w:hAnsi="Calibri" w:cs="Calibri"/>
        </w:rPr>
      </w:pPr>
    </w:p>
    <w:p w14:paraId="1E7B5C64"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2. Wynagrodzenie za realizację przedmiotu umowy, o którym mowa w § 8 ust. 1, płatne po wykonaniu zadania i odbiorze końcowym robót. Podstawą wystawienia faktury końcowej będzie podpisany protokół odbioru końcowego robót.</w:t>
      </w:r>
    </w:p>
    <w:p w14:paraId="7D942279" w14:textId="77777777" w:rsidR="00C37AE7" w:rsidRPr="00C37AE7" w:rsidRDefault="00C37AE7" w:rsidP="0095101F">
      <w:pPr>
        <w:pStyle w:val="Tekstpodstawowywcity"/>
        <w:tabs>
          <w:tab w:val="left" w:pos="0"/>
        </w:tabs>
        <w:jc w:val="both"/>
        <w:rPr>
          <w:rFonts w:ascii="Calibri" w:hAnsi="Calibri" w:cs="Calibri"/>
        </w:rPr>
      </w:pPr>
    </w:p>
    <w:p w14:paraId="36FB6B00"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3. Faktura końcowa realizowane na rzecz Wykonawcy będą płatne w terminie nie dłuższym niż 30 dni od dnia odbioru Inwestycji przez Zamawiającego.</w:t>
      </w:r>
    </w:p>
    <w:p w14:paraId="6644C054" w14:textId="77777777" w:rsidR="00C37AE7" w:rsidRPr="00C37AE7" w:rsidRDefault="00C37AE7" w:rsidP="0095101F">
      <w:pPr>
        <w:pStyle w:val="Tekstpodstawowywcity"/>
        <w:tabs>
          <w:tab w:val="left" w:pos="0"/>
        </w:tabs>
        <w:jc w:val="both"/>
        <w:rPr>
          <w:rFonts w:ascii="Calibri" w:hAnsi="Calibri" w:cs="Calibri"/>
        </w:rPr>
      </w:pPr>
    </w:p>
    <w:p w14:paraId="769354D7"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4. Zapłata wynagrodzenia i zaliczki nastąpi przelewem na konto bankowe Wykonawcy nr</w:t>
      </w:r>
    </w:p>
    <w:p w14:paraId="0D2AC5C1"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w:t>
      </w:r>
    </w:p>
    <w:p w14:paraId="3CF12427" w14:textId="77777777" w:rsidR="00C37AE7" w:rsidRPr="00C37AE7" w:rsidRDefault="00C37AE7" w:rsidP="0095101F">
      <w:pPr>
        <w:pStyle w:val="Tekstpodstawowywcity"/>
        <w:tabs>
          <w:tab w:val="left" w:pos="0"/>
        </w:tabs>
        <w:jc w:val="both"/>
        <w:rPr>
          <w:rFonts w:ascii="Calibri" w:hAnsi="Calibri" w:cs="Calibri"/>
        </w:rPr>
      </w:pPr>
    </w:p>
    <w:p w14:paraId="0A04B800"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5. W przypadku ograniczenia zakresu rzeczowego przedmiotu umowy, usługi/roboty niewykonane nie podlegają zapłacie, a wynagrodzenie zostanie stosownie pomniejszone.</w:t>
      </w:r>
    </w:p>
    <w:p w14:paraId="72138494" w14:textId="77777777" w:rsidR="00C37AE7" w:rsidRPr="00C37AE7" w:rsidRDefault="00C37AE7" w:rsidP="0095101F">
      <w:pPr>
        <w:pStyle w:val="Tekstpodstawowywcity"/>
        <w:tabs>
          <w:tab w:val="left" w:pos="0"/>
        </w:tabs>
        <w:jc w:val="both"/>
        <w:rPr>
          <w:rFonts w:ascii="Calibri" w:hAnsi="Calibri" w:cs="Calibri"/>
        </w:rPr>
      </w:pPr>
    </w:p>
    <w:p w14:paraId="71D224E3"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6. Płatność faktur za roboty wykonane przez Podwykonawców lub dalszych Podwykonawców nastąpi po dostarczeniu dowodu zapłaty tych faktur przez generalnego Wykonawcę, jako Zamawiającego wobec Podwykonawcy .</w:t>
      </w:r>
    </w:p>
    <w:p w14:paraId="25DE13E0" w14:textId="77777777" w:rsidR="00C37AE7" w:rsidRPr="00C37AE7" w:rsidRDefault="00C37AE7" w:rsidP="0095101F">
      <w:pPr>
        <w:pStyle w:val="Tekstpodstawowywcity"/>
        <w:tabs>
          <w:tab w:val="left" w:pos="0"/>
        </w:tabs>
        <w:jc w:val="both"/>
        <w:rPr>
          <w:rFonts w:ascii="Calibri" w:hAnsi="Calibri" w:cs="Calibri"/>
        </w:rPr>
      </w:pPr>
    </w:p>
    <w:p w14:paraId="53AD3225"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7. Za dzień zapłaty będzie uznany dzień obciążenia rachunku bankowego Zamawiającego.</w:t>
      </w:r>
    </w:p>
    <w:p w14:paraId="36699101" w14:textId="77777777" w:rsidR="00C37AE7" w:rsidRPr="00C37AE7" w:rsidRDefault="00C37AE7" w:rsidP="0095101F">
      <w:pPr>
        <w:pStyle w:val="Tekstpodstawowywcity"/>
        <w:tabs>
          <w:tab w:val="left" w:pos="0"/>
        </w:tabs>
        <w:jc w:val="both"/>
        <w:rPr>
          <w:rFonts w:ascii="Calibri" w:hAnsi="Calibri" w:cs="Calibri"/>
        </w:rPr>
      </w:pPr>
    </w:p>
    <w:p w14:paraId="0AECABDB"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8. Faktury wystawiane przez Wykonawcę powinny być doręczone do siedziby Zamawiającego.</w:t>
      </w:r>
    </w:p>
    <w:p w14:paraId="3489B7E4" w14:textId="77777777" w:rsidR="00C37AE7" w:rsidRPr="00C37AE7" w:rsidRDefault="00C37AE7" w:rsidP="0095101F">
      <w:pPr>
        <w:pStyle w:val="Tekstpodstawowywcity"/>
        <w:tabs>
          <w:tab w:val="left" w:pos="0"/>
        </w:tabs>
        <w:jc w:val="both"/>
        <w:rPr>
          <w:rFonts w:ascii="Calibri" w:hAnsi="Calibri" w:cs="Calibri"/>
        </w:rPr>
      </w:pPr>
    </w:p>
    <w:p w14:paraId="22607CAC"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9. W przypadku zaistnienia konieczności wykonania prac dodatkowych (nie objętych dokumentacją projektową) Wykonawcy nie wolno ich realizować bez zmiany niniejszej umowy. Dyspozycje Inspektora Nadzoru oraz Przedstawiciela Zamawiającego w tym zakresie, bez zgody Zamawiającego będą bezprawne.</w:t>
      </w:r>
    </w:p>
    <w:p w14:paraId="6A9B99F7" w14:textId="77777777" w:rsidR="00C37AE7" w:rsidRPr="00C37AE7" w:rsidRDefault="00C37AE7" w:rsidP="0095101F">
      <w:pPr>
        <w:pStyle w:val="Tekstpodstawowywcity"/>
        <w:tabs>
          <w:tab w:val="left" w:pos="0"/>
        </w:tabs>
        <w:jc w:val="both"/>
        <w:rPr>
          <w:rFonts w:ascii="Calibri" w:hAnsi="Calibri" w:cs="Calibri"/>
        </w:rPr>
      </w:pPr>
    </w:p>
    <w:p w14:paraId="6E6E7D82"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10. 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 ofercie:</w:t>
      </w:r>
    </w:p>
    <w:p w14:paraId="1FD1C9D5" w14:textId="77777777" w:rsidR="00C37AE7" w:rsidRPr="00C37AE7" w:rsidRDefault="00C37AE7" w:rsidP="0095101F">
      <w:pPr>
        <w:pStyle w:val="Tekstpodstawowywcity"/>
        <w:tabs>
          <w:tab w:val="left" w:pos="0"/>
        </w:tabs>
        <w:jc w:val="both"/>
        <w:rPr>
          <w:rFonts w:ascii="Calibri" w:hAnsi="Calibri" w:cs="Calibri"/>
        </w:rPr>
      </w:pPr>
    </w:p>
    <w:p w14:paraId="4E38AF8B"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11. O konieczności wykonania prac dodatkowych Wykonawca informuje niezwłocznie pisemnie Zamawiającego za pośrednictwem Inspektora Nadzoru oraz Przedstawiciela Zamawiającego.</w:t>
      </w:r>
    </w:p>
    <w:p w14:paraId="6FB3460E" w14:textId="77777777" w:rsidR="00C37AE7" w:rsidRPr="00C37AE7" w:rsidRDefault="00C37AE7" w:rsidP="0095101F">
      <w:pPr>
        <w:pStyle w:val="Tekstpodstawowywcity"/>
        <w:tabs>
          <w:tab w:val="left" w:pos="0"/>
        </w:tabs>
        <w:jc w:val="both"/>
        <w:rPr>
          <w:rFonts w:ascii="Calibri" w:hAnsi="Calibri" w:cs="Calibri"/>
        </w:rPr>
      </w:pPr>
    </w:p>
    <w:p w14:paraId="4B9369C4"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12. Za roboty dodatkowe, strony uznają roboty, których Wykonawca nie mógł przewidzieć, obliczając cenę oferty z należytą starannością.</w:t>
      </w:r>
    </w:p>
    <w:p w14:paraId="714D6695" w14:textId="77777777" w:rsidR="00C37AE7" w:rsidRPr="00C37AE7" w:rsidRDefault="00C37AE7" w:rsidP="0095101F">
      <w:pPr>
        <w:pStyle w:val="Tekstpodstawowywcity"/>
        <w:tabs>
          <w:tab w:val="left" w:pos="0"/>
        </w:tabs>
        <w:jc w:val="both"/>
        <w:rPr>
          <w:rFonts w:ascii="Calibri" w:hAnsi="Calibri" w:cs="Calibri"/>
        </w:rPr>
      </w:pPr>
    </w:p>
    <w:p w14:paraId="41654EED"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13. Wykonawca nie może żądać od Zamawiającego wynagrodzenia, jeżeli wykonał prace dodatkowe podczas realizacji zamówienia bez zawarcia umowy o zamówienie dodatkowe.</w:t>
      </w:r>
    </w:p>
    <w:p w14:paraId="6691AA0B" w14:textId="77777777" w:rsidR="00C37AE7" w:rsidRPr="00C37AE7" w:rsidRDefault="00C37AE7" w:rsidP="0095101F">
      <w:pPr>
        <w:pStyle w:val="Tekstpodstawowywcity"/>
        <w:tabs>
          <w:tab w:val="left" w:pos="0"/>
        </w:tabs>
        <w:jc w:val="both"/>
        <w:rPr>
          <w:rFonts w:ascii="Calibri" w:hAnsi="Calibri" w:cs="Calibri"/>
        </w:rPr>
      </w:pPr>
    </w:p>
    <w:p w14:paraId="7D3560ED"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14. Zamawiający nie wyraża zgody na cesję wierzytelności wynikających z niniejszej umowy.</w:t>
      </w:r>
    </w:p>
    <w:p w14:paraId="03D46ABF" w14:textId="77777777" w:rsidR="00C37AE7" w:rsidRPr="00C37AE7" w:rsidRDefault="00C37AE7" w:rsidP="0095101F">
      <w:pPr>
        <w:pStyle w:val="Tekstpodstawowywcity"/>
        <w:tabs>
          <w:tab w:val="left" w:pos="0"/>
        </w:tabs>
        <w:jc w:val="both"/>
        <w:rPr>
          <w:rFonts w:ascii="Calibri" w:hAnsi="Calibri" w:cs="Calibri"/>
        </w:rPr>
      </w:pPr>
    </w:p>
    <w:p w14:paraId="070FE49A" w14:textId="77777777" w:rsidR="00C37AE7" w:rsidRPr="00C37AE7" w:rsidRDefault="00C37AE7" w:rsidP="0095101F">
      <w:pPr>
        <w:pStyle w:val="Tekstpodstawowywcity"/>
        <w:tabs>
          <w:tab w:val="left" w:pos="0"/>
        </w:tabs>
        <w:jc w:val="both"/>
        <w:rPr>
          <w:rFonts w:ascii="Calibri" w:hAnsi="Calibri" w:cs="Calibri"/>
          <w:b/>
          <w:bCs/>
        </w:rPr>
      </w:pPr>
      <w:r w:rsidRPr="00C37AE7">
        <w:rPr>
          <w:rFonts w:ascii="Calibri" w:hAnsi="Calibri" w:cs="Calibri"/>
        </w:rPr>
        <w:t>15. Zamawiający zastrzega sobie możliwość potrącenia kar umownych z faktury za wykonane roboty</w:t>
      </w:r>
      <w:r w:rsidRPr="00C37AE7">
        <w:rPr>
          <w:rFonts w:ascii="Calibri" w:hAnsi="Calibri" w:cs="Calibri"/>
          <w:b/>
          <w:bCs/>
        </w:rPr>
        <w:t>.</w:t>
      </w:r>
    </w:p>
    <w:p w14:paraId="07C198CD" w14:textId="77777777" w:rsidR="00C37AE7" w:rsidRPr="00C37AE7" w:rsidRDefault="00C37AE7" w:rsidP="0095101F">
      <w:pPr>
        <w:pStyle w:val="Tekstpodstawowywcity"/>
        <w:tabs>
          <w:tab w:val="left" w:pos="0"/>
        </w:tabs>
        <w:jc w:val="both"/>
        <w:rPr>
          <w:rFonts w:ascii="Calibri" w:hAnsi="Calibri" w:cs="Calibri"/>
          <w:b/>
          <w:bCs/>
        </w:rPr>
      </w:pPr>
    </w:p>
    <w:p w14:paraId="290FB46F"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16. Wynagrodzenie wypłacone będzie Wykonawcy na podstawie faktury końcowej w przypadku wykonania obowiązków przez Wykonawcę zgodnie z umową. Podstawą do wystawienia faktury końcowej będzie protokół odbioru zadania inwestycyjnego (zwany dalej „protokołem końcowym”) bezusterkowy, podpisany przez Inspektora Nadzoru i przez powołaną z ramienia Zamawiającego komisję odbiorową. Protokół końcowy podpisany będzie przez komisję odbiorową, w skład której wchodzić będzie między innymi inspektor nadzoru, powołaną z ramienia Zamawiającego.</w:t>
      </w:r>
    </w:p>
    <w:p w14:paraId="5A89D67F" w14:textId="77777777" w:rsidR="00C37AE7" w:rsidRPr="00C37AE7" w:rsidRDefault="00C37AE7" w:rsidP="0095101F">
      <w:pPr>
        <w:pStyle w:val="Tekstpodstawowywcity"/>
        <w:jc w:val="both"/>
        <w:rPr>
          <w:rFonts w:ascii="Calibri" w:hAnsi="Calibri" w:cs="Calibri"/>
        </w:rPr>
      </w:pPr>
    </w:p>
    <w:p w14:paraId="74F6AD9C"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17. W przypadku powierzenia przez Wykonawcę części robót podwykonawcom lub dalszym podwykonawcom, którzy zawarli zaakceptowane przez Zamawiającego umowy o podwykonawstwo, których przedmiotem są roboty budowlane, montażowe lub dostawy oraz podwykonawcom, którzy zawarli przedłożone Zamawiającemu umowy o podwykonawstwo, których przedmiotem są dostawy lub usługi (o których mowa w art. 464 ust. 8 ustawy </w:t>
      </w:r>
      <w:proofErr w:type="spellStart"/>
      <w:r w:rsidRPr="00C37AE7">
        <w:rPr>
          <w:rFonts w:ascii="Calibri" w:hAnsi="Calibri" w:cs="Calibri"/>
        </w:rPr>
        <w:t>pzp</w:t>
      </w:r>
      <w:proofErr w:type="spellEnd"/>
      <w:r w:rsidRPr="00C37AE7">
        <w:rPr>
          <w:rFonts w:ascii="Calibri" w:hAnsi="Calibri" w:cs="Calibri"/>
        </w:rPr>
        <w:t>), Wykonawca, niezależnie od obowiązków wskazanych wyżej, przedłoży Zamawiającemu, przed terminem płatności faktury końcowej i faktur częściowych, dowód dokonania zapłaty kwoty odpowiadającej wynagrodzeniu podwykonawców lub dalszych podwykonawców wskazanych w protokole przerobowym będącym podstawą do wystawienia tej faktury.</w:t>
      </w:r>
    </w:p>
    <w:p w14:paraId="366F33F5" w14:textId="77777777" w:rsidR="00C37AE7" w:rsidRPr="00C37AE7" w:rsidRDefault="00C37AE7" w:rsidP="0095101F">
      <w:pPr>
        <w:pStyle w:val="Tekstpodstawowywcity"/>
        <w:jc w:val="both"/>
        <w:rPr>
          <w:rFonts w:ascii="Calibri" w:hAnsi="Calibri" w:cs="Calibri"/>
        </w:rPr>
      </w:pPr>
    </w:p>
    <w:p w14:paraId="63290243"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18. W przypadku nieprzedłożenia dowodu zapłaty (oświadczenia podwykonawcy/dalszego podwykonawcy o otrzymaniu zapłaty) wynagrodzenia, w części odpowiadającej przerobowi,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3748B063" w14:textId="77777777" w:rsidR="00C37AE7" w:rsidRPr="00C37AE7" w:rsidRDefault="00C37AE7" w:rsidP="0095101F">
      <w:pPr>
        <w:pStyle w:val="Tekstpodstawowywcity"/>
        <w:jc w:val="both"/>
        <w:rPr>
          <w:rFonts w:ascii="Calibri" w:hAnsi="Calibri" w:cs="Calibri"/>
        </w:rPr>
      </w:pPr>
    </w:p>
    <w:p w14:paraId="7AA39CF4"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19. Brak zgodnego z prawdą oświadczenia o którym mowa w ust. 18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71C9386B" w14:textId="77777777" w:rsidR="00C37AE7" w:rsidRPr="00C37AE7" w:rsidRDefault="00C37AE7" w:rsidP="0095101F">
      <w:pPr>
        <w:pStyle w:val="Tekstpodstawowywcity"/>
        <w:jc w:val="both"/>
        <w:rPr>
          <w:rFonts w:ascii="Calibri" w:hAnsi="Calibri" w:cs="Calibri"/>
        </w:rPr>
      </w:pPr>
    </w:p>
    <w:p w14:paraId="4F8663C5"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20. 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71AE62FE" w14:textId="77777777" w:rsidR="00C37AE7" w:rsidRPr="00C37AE7" w:rsidRDefault="00C37AE7" w:rsidP="0095101F">
      <w:pPr>
        <w:pStyle w:val="Tekstpodstawowywcity"/>
        <w:jc w:val="both"/>
        <w:rPr>
          <w:rFonts w:ascii="Calibri" w:hAnsi="Calibri" w:cs="Calibri"/>
        </w:rPr>
      </w:pPr>
    </w:p>
    <w:p w14:paraId="4A188FBA"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21. 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2B4EAA50" w14:textId="77777777" w:rsidR="00C37AE7" w:rsidRPr="00C37AE7" w:rsidRDefault="00C37AE7" w:rsidP="0095101F">
      <w:pPr>
        <w:pStyle w:val="Tekstpodstawowywcity"/>
        <w:jc w:val="both"/>
        <w:rPr>
          <w:rFonts w:ascii="Calibri" w:hAnsi="Calibri" w:cs="Calibri"/>
        </w:rPr>
      </w:pPr>
    </w:p>
    <w:p w14:paraId="03E88D71"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22. 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Pr="00C37AE7">
        <w:rPr>
          <w:rFonts w:ascii="Calibri" w:hAnsi="Calibri" w:cs="Calibri"/>
        </w:rPr>
        <w:t>pzp</w:t>
      </w:r>
      <w:proofErr w:type="spellEnd"/>
      <w:r w:rsidRPr="00C37AE7">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0B86DB61"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  </w:t>
      </w:r>
    </w:p>
    <w:p w14:paraId="4F9ADBF9"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23. 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 według wzoru </w:t>
      </w:r>
      <w:r w:rsidRPr="00C37AE7">
        <w:rPr>
          <w:rFonts w:ascii="Calibri" w:hAnsi="Calibri" w:cs="Calibri"/>
          <w:b/>
          <w:bCs/>
        </w:rPr>
        <w:t>Załącznik nr 11</w:t>
      </w:r>
      <w:r w:rsidRPr="00C37AE7">
        <w:rPr>
          <w:rFonts w:ascii="Calibri" w:hAnsi="Calibri" w:cs="Calibri"/>
        </w:rPr>
        <w:t xml:space="preserve"> do SWZ , </w:t>
      </w:r>
      <w:r w:rsidRPr="00C37AE7">
        <w:rPr>
          <w:rFonts w:ascii="Calibri" w:hAnsi="Calibri" w:cs="Calibri"/>
          <w:b/>
        </w:rPr>
        <w:t>złożonych w dniu wystawiania faktury przez Wykonawcę</w:t>
      </w:r>
      <w:r w:rsidRPr="00C37AE7">
        <w:rPr>
          <w:rFonts w:ascii="Calibri" w:hAnsi="Calibri" w:cs="Calibri"/>
        </w:rPr>
        <w:t>. Brak zgodnego z prawdą oświadczenia o którym mowa niniejszym ustępie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02F5C118" w14:textId="77777777" w:rsidR="00C37AE7" w:rsidRPr="00C37AE7" w:rsidRDefault="00C37AE7" w:rsidP="0095101F">
      <w:pPr>
        <w:pStyle w:val="Tekstpodstawowywcity"/>
        <w:jc w:val="both"/>
        <w:rPr>
          <w:rFonts w:ascii="Calibri" w:hAnsi="Calibri" w:cs="Calibri"/>
        </w:rPr>
      </w:pPr>
    </w:p>
    <w:p w14:paraId="28FD5CD5"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 xml:space="preserve">24. 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ADF2A2E" w14:textId="77777777" w:rsidR="00C37AE7" w:rsidRPr="00C37AE7" w:rsidRDefault="00C37AE7" w:rsidP="0095101F">
      <w:pPr>
        <w:pStyle w:val="Tekstpodstawowywcity"/>
        <w:jc w:val="both"/>
        <w:rPr>
          <w:rFonts w:ascii="Calibri" w:hAnsi="Calibri" w:cs="Calibri"/>
        </w:rPr>
      </w:pPr>
    </w:p>
    <w:p w14:paraId="7E61E62C"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25. 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0CC8206C" w14:textId="77777777" w:rsidR="00C37AE7" w:rsidRPr="00C37AE7" w:rsidRDefault="00C37AE7" w:rsidP="0095101F">
      <w:pPr>
        <w:pStyle w:val="Tekstpodstawowywcity"/>
        <w:jc w:val="both"/>
        <w:rPr>
          <w:rFonts w:ascii="Calibri" w:hAnsi="Calibri" w:cs="Calibri"/>
        </w:rPr>
      </w:pPr>
    </w:p>
    <w:p w14:paraId="74907B37"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26. 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65D3DEB8" w14:textId="77777777" w:rsidR="00C37AE7" w:rsidRPr="00C37AE7" w:rsidRDefault="00C37AE7" w:rsidP="0095101F">
      <w:pPr>
        <w:pStyle w:val="Tekstpodstawowywcity"/>
        <w:jc w:val="both"/>
        <w:rPr>
          <w:rFonts w:ascii="Calibri" w:hAnsi="Calibri" w:cs="Calibri"/>
        </w:rPr>
      </w:pPr>
    </w:p>
    <w:p w14:paraId="0C142EDC"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27. Zamawiający może potrącić swoją wierzytelność względem Wykonawcy z dowolnej wierzytelności Wykonawcy w szczególności z wierzytelności o zapłatę wynagrodzenia  (także niewymagalnej).</w:t>
      </w:r>
    </w:p>
    <w:p w14:paraId="7D56649E" w14:textId="77777777" w:rsidR="00C37AE7" w:rsidRPr="00C37AE7" w:rsidRDefault="00C37AE7" w:rsidP="0095101F">
      <w:pPr>
        <w:pStyle w:val="Tekstpodstawowywcity"/>
        <w:jc w:val="both"/>
        <w:rPr>
          <w:rFonts w:ascii="Calibri" w:hAnsi="Calibri" w:cs="Calibri"/>
        </w:rPr>
      </w:pPr>
    </w:p>
    <w:p w14:paraId="765EF22A"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28. Zamawiający zapłaci Wykonawcy należność wynikającą z prawidłowo wystawionej faktury w terminie 30 dni od daty otrzymania  prawidłowo wystawionej faktury.</w:t>
      </w:r>
    </w:p>
    <w:p w14:paraId="337D1D56" w14:textId="77777777" w:rsidR="00C37AE7" w:rsidRPr="00C37AE7" w:rsidRDefault="00C37AE7" w:rsidP="0095101F">
      <w:pPr>
        <w:pStyle w:val="Tekstpodstawowywcity"/>
        <w:jc w:val="both"/>
        <w:rPr>
          <w:rFonts w:ascii="Calibri" w:hAnsi="Calibri" w:cs="Calibri"/>
        </w:rPr>
      </w:pPr>
    </w:p>
    <w:p w14:paraId="61DB2B41" w14:textId="77777777" w:rsidR="00C37AE7" w:rsidRPr="00C37AE7" w:rsidRDefault="00C37AE7" w:rsidP="0095101F">
      <w:pPr>
        <w:pStyle w:val="Tekstpodstawowywcity"/>
        <w:jc w:val="both"/>
        <w:rPr>
          <w:rFonts w:ascii="Calibri" w:hAnsi="Calibri" w:cs="Calibri"/>
        </w:rPr>
      </w:pPr>
      <w:r w:rsidRPr="00C37AE7">
        <w:rPr>
          <w:rFonts w:ascii="Calibri" w:hAnsi="Calibri" w:cs="Calibri"/>
        </w:rPr>
        <w:t>29. Wynagrodzenie Wykonawcy ulegnie odpowiedniej zmianie w przypadku zmiany powszechnie obowiązujących w tym zakresie przepisów dotyczących podatku VAT.</w:t>
      </w:r>
    </w:p>
    <w:p w14:paraId="3017539A" w14:textId="77777777" w:rsidR="00C37AE7" w:rsidRPr="00C37AE7" w:rsidRDefault="00C37AE7" w:rsidP="0095101F">
      <w:pPr>
        <w:pStyle w:val="Tekstpodstawowywcity"/>
        <w:jc w:val="both"/>
        <w:rPr>
          <w:rFonts w:ascii="Calibri" w:hAnsi="Calibri" w:cs="Calibri"/>
        </w:rPr>
      </w:pPr>
    </w:p>
    <w:p w14:paraId="09EEFF82" w14:textId="77777777" w:rsidR="00C37AE7" w:rsidRPr="00C37AE7" w:rsidRDefault="00C37AE7" w:rsidP="0095101F">
      <w:pPr>
        <w:pStyle w:val="Tekstpodstawowywcity"/>
        <w:tabs>
          <w:tab w:val="left" w:pos="0"/>
        </w:tabs>
        <w:jc w:val="both"/>
        <w:rPr>
          <w:rFonts w:ascii="Calibri" w:hAnsi="Calibri" w:cs="Calibri"/>
        </w:rPr>
      </w:pPr>
      <w:r w:rsidRPr="00C37AE7">
        <w:rPr>
          <w:rFonts w:ascii="Calibri" w:hAnsi="Calibri" w:cs="Calibri"/>
        </w:rPr>
        <w:t>30.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p>
    <w:p w14:paraId="05077707" w14:textId="77777777" w:rsidR="0049662F" w:rsidRPr="006B574D" w:rsidRDefault="0049662F" w:rsidP="0095101F">
      <w:pPr>
        <w:pStyle w:val="Tekstpodstawowywcity"/>
        <w:tabs>
          <w:tab w:val="left" w:pos="0"/>
        </w:tabs>
        <w:ind w:left="0"/>
        <w:jc w:val="both"/>
        <w:rPr>
          <w:rFonts w:ascii="Calibri" w:hAnsi="Calibri" w:cs="Calibri"/>
        </w:rPr>
      </w:pPr>
    </w:p>
    <w:p w14:paraId="0A6DF5B4" w14:textId="77777777" w:rsidR="00F41324" w:rsidRDefault="00F41324" w:rsidP="0095101F">
      <w:pPr>
        <w:pStyle w:val="Tekstpodstawowy3"/>
        <w:tabs>
          <w:tab w:val="left" w:pos="0"/>
        </w:tabs>
        <w:jc w:val="both"/>
        <w:rPr>
          <w:rFonts w:ascii="Calibri" w:hAnsi="Calibri" w:cs="Calibri"/>
        </w:rPr>
      </w:pPr>
    </w:p>
    <w:p w14:paraId="3777A9AC" w14:textId="77777777" w:rsidR="003632C7" w:rsidRPr="006B574D" w:rsidRDefault="003632C7" w:rsidP="00E109CE">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95101F">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2D63CC4E" w14:textId="77777777" w:rsidR="00A36DBB" w:rsidRPr="00A36DBB" w:rsidRDefault="00E83470" w:rsidP="0095101F">
      <w:pPr>
        <w:pStyle w:val="Tekstpodstawowy3"/>
        <w:tabs>
          <w:tab w:val="left" w:pos="0"/>
        </w:tabs>
        <w:jc w:val="both"/>
        <w:rPr>
          <w:rFonts w:ascii="Calibri" w:hAnsi="Calibri" w:cs="Calibri"/>
        </w:rPr>
      </w:pPr>
      <w:r>
        <w:rPr>
          <w:rFonts w:ascii="Calibri" w:hAnsi="Calibri" w:cs="Calibri"/>
        </w:rPr>
        <w:t>1)</w:t>
      </w:r>
      <w:r w:rsidR="00180D4B">
        <w:rPr>
          <w:rFonts w:ascii="Calibri" w:hAnsi="Calibri" w:cs="Calibri"/>
        </w:rPr>
        <w:t> </w:t>
      </w:r>
      <w:r w:rsidR="00A36DBB" w:rsidRPr="00A36DBB">
        <w:rPr>
          <w:rFonts w:ascii="Calibri" w:hAnsi="Calibri" w:cs="Calibri"/>
        </w:rPr>
        <w:t>odbiory częściowe, za pisemną zgodą Zamawiającego, stanowiące podstawę do  wystawiania faktur częściowych za wykonanie części robót / etapu robót,</w:t>
      </w:r>
    </w:p>
    <w:p w14:paraId="68A18594"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2)</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3)</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3885272A" w14:textId="77777777" w:rsidR="002B3FA7" w:rsidRPr="002B3FA7" w:rsidRDefault="001235C2" w:rsidP="002B3FA7">
      <w:pPr>
        <w:jc w:val="both"/>
        <w:rPr>
          <w:rFonts w:ascii="Calibri" w:hAnsi="Calibri" w:cs="Calibri"/>
          <w:sz w:val="24"/>
          <w:szCs w:val="24"/>
        </w:rPr>
      </w:pPr>
      <w:r>
        <w:rPr>
          <w:rFonts w:ascii="Calibri" w:hAnsi="Calibri" w:cs="Calibri"/>
          <w:sz w:val="24"/>
          <w:szCs w:val="24"/>
        </w:rPr>
        <w:t>9</w:t>
      </w:r>
      <w:r w:rsidR="002B3FA7" w:rsidRPr="002B3FA7">
        <w:rPr>
          <w:rFonts w:ascii="Calibri" w:hAnsi="Calibri" w:cs="Calibri"/>
          <w:sz w:val="24"/>
          <w:szCs w:val="24"/>
        </w:rPr>
        <w:t xml:space="preserve">) za niezwaloryzowanie wynagrodzenia podwykonawcy, jeśli Wykonawcy zostało zwaloryzowane wynagrodzenie zgodnie z art. 439 ust. 1 i 2 ustawy PZP w wysokości 5% wynagrodzenia określonego w </w:t>
      </w:r>
      <w:r w:rsidR="00E45F3B" w:rsidRPr="00E45F3B">
        <w:rPr>
          <w:rFonts w:ascii="Calibri" w:hAnsi="Calibri" w:cs="Calibri"/>
          <w:sz w:val="24"/>
          <w:szCs w:val="24"/>
        </w:rPr>
        <w:t xml:space="preserve">§ 8 ust. 1 </w:t>
      </w:r>
      <w:r w:rsidR="002B3FA7" w:rsidRPr="002B3FA7">
        <w:rPr>
          <w:rFonts w:ascii="Calibri" w:hAnsi="Calibri" w:cs="Calibri"/>
          <w:sz w:val="24"/>
          <w:szCs w:val="24"/>
        </w:rPr>
        <w:t>umowy.</w:t>
      </w:r>
    </w:p>
    <w:p w14:paraId="673C4574" w14:textId="77777777" w:rsidR="001969F6" w:rsidRPr="006B574D" w:rsidRDefault="001969F6" w:rsidP="000F5E8D">
      <w:pPr>
        <w:pStyle w:val="Tekstpodstawowy3"/>
        <w:jc w:val="both"/>
        <w:rPr>
          <w:rFonts w:ascii="Calibri" w:hAnsi="Calibri" w:cs="Calibri"/>
        </w:rPr>
      </w:pPr>
    </w:p>
    <w:p w14:paraId="0E41731F" w14:textId="77777777" w:rsidR="003632C7" w:rsidRPr="006B574D" w:rsidRDefault="001235C2" w:rsidP="000F5E8D">
      <w:pPr>
        <w:pStyle w:val="Tekstpodstawowy2"/>
        <w:rPr>
          <w:rFonts w:ascii="Calibri" w:hAnsi="Calibri" w:cs="Calibri"/>
        </w:rPr>
      </w:pPr>
      <w:r>
        <w:rPr>
          <w:rFonts w:ascii="Calibri" w:hAnsi="Calibri" w:cs="Calibri"/>
        </w:rPr>
        <w:t>10)</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77777777" w:rsidR="004A26DC" w:rsidRDefault="001235C2" w:rsidP="000F5E8D">
      <w:pPr>
        <w:pStyle w:val="Tekstpodstawowy2"/>
        <w:rPr>
          <w:rFonts w:ascii="Calibri" w:hAnsi="Calibri" w:cs="Calibri"/>
        </w:rPr>
      </w:pPr>
      <w:r>
        <w:rPr>
          <w:rFonts w:ascii="Calibri" w:hAnsi="Calibri" w:cs="Calibri"/>
        </w:rPr>
        <w:t>11)</w:t>
      </w:r>
      <w:r w:rsidR="004A26DC" w:rsidRPr="006B574D">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77777777" w:rsidR="00350F9D" w:rsidRPr="006B574D" w:rsidRDefault="00350F9D" w:rsidP="00350F9D">
      <w:pPr>
        <w:jc w:val="both"/>
        <w:rPr>
          <w:rFonts w:ascii="Calibri" w:hAnsi="Calibri" w:cs="Calibri"/>
          <w:sz w:val="24"/>
        </w:rPr>
      </w:pPr>
      <w:r>
        <w:rPr>
          <w:rFonts w:ascii="Calibri" w:hAnsi="Calibri" w:cs="Calibri"/>
          <w:sz w:val="24"/>
        </w:rPr>
        <w:t>12)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63D82D4F"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9) Jeżeli zmiana dotyczyć będzie zmiany wysokości wynagrodzenia dla Wykonawcy, a spowodowana będzie:</w:t>
      </w:r>
    </w:p>
    <w:p w14:paraId="774F2E7A"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stawki podatku od towarów i usług</w:t>
      </w:r>
      <w:r w:rsidR="00943040">
        <w:rPr>
          <w:rStyle w:val="DeltaViewInsertion"/>
          <w:rFonts w:ascii="Calibri" w:eastAsia="Arial Unicode MS" w:hAnsi="Calibri" w:cs="Calibri"/>
          <w:color w:val="auto"/>
          <w:sz w:val="24"/>
          <w:szCs w:val="24"/>
          <w:u w:val="none"/>
        </w:rPr>
        <w:t>,</w:t>
      </w:r>
    </w:p>
    <w:p w14:paraId="33B6E50C"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wysokości minimalnego wynagrodzenia za pracę albo wysokości</w:t>
      </w:r>
      <w:r w:rsidR="00A52CDC">
        <w:rPr>
          <w:rStyle w:val="DeltaViewInsertion"/>
          <w:rFonts w:ascii="Calibri" w:eastAsia="Arial Unicode MS" w:hAnsi="Calibri" w:cs="Calibri"/>
          <w:color w:val="auto"/>
          <w:sz w:val="24"/>
          <w:szCs w:val="24"/>
          <w:u w:val="none"/>
        </w:rPr>
        <w:t xml:space="preserve"> minimalnej stawki godzinowej, ustalonych na podstawie z dnia 10 października o minimalnym wynagrodzeniu za pracę</w:t>
      </w:r>
      <w:r w:rsidR="00695773">
        <w:rPr>
          <w:rStyle w:val="DeltaViewInsertion"/>
          <w:rFonts w:ascii="Calibri" w:eastAsia="Arial Unicode MS" w:hAnsi="Calibri" w:cs="Calibri"/>
          <w:color w:val="auto"/>
          <w:sz w:val="24"/>
          <w:szCs w:val="24"/>
          <w:u w:val="none"/>
        </w:rPr>
        <w:t>,</w:t>
      </w:r>
    </w:p>
    <w:p w14:paraId="0A7DD867"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podlegania ubezpieczeniom społecznym lub ubezpieczeniu zdrowotnemu lub wysokości stawki składki na ubezpieczenia społeczne lub ubezpieczenie zdrowotne,</w:t>
      </w:r>
    </w:p>
    <w:p w14:paraId="18E38F22"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gromadzenia i wysokości wpłat do pracowniczych planów kapitałowych, o których mowa w ustawie z dnia 4 października 2018 r. o pracowniczych planach kapitałowych (Dz. U. z 2020 r. poz. 1342).</w:t>
      </w:r>
    </w:p>
    <w:p w14:paraId="6CF6C92A" w14:textId="77777777" w:rsidR="007F7DD6" w:rsidRPr="006F323C"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52904AD7" w14:textId="77777777" w:rsidR="000A7A3A" w:rsidRDefault="007F7DD6" w:rsidP="000A7A3A">
      <w:pPr>
        <w:pStyle w:val="Nagwek"/>
        <w:tabs>
          <w:tab w:val="clear" w:pos="4536"/>
          <w:tab w:val="clear" w:pos="9072"/>
          <w:tab w:val="left" w:pos="1276"/>
        </w:tabs>
        <w:jc w:val="both"/>
        <w:rPr>
          <w:rFonts w:ascii="Calibri" w:hAnsi="Calibri" w:cs="Calibri"/>
          <w:sz w:val="24"/>
          <w:szCs w:val="24"/>
        </w:rPr>
      </w:pPr>
      <w:r>
        <w:rPr>
          <w:rStyle w:val="DeltaViewInsertion"/>
          <w:rFonts w:ascii="Calibri" w:eastAsia="Arial Unicode MS" w:hAnsi="Calibri" w:cs="Calibri"/>
          <w:color w:val="auto"/>
          <w:sz w:val="24"/>
          <w:szCs w:val="24"/>
          <w:u w:val="none"/>
        </w:rPr>
        <w:t>10</w:t>
      </w:r>
      <w:r w:rsidR="007226B0" w:rsidRPr="006F323C">
        <w:rPr>
          <w:rStyle w:val="DeltaViewInsertion"/>
          <w:rFonts w:ascii="Calibri" w:eastAsia="Arial Unicode MS" w:hAnsi="Calibri" w:cs="Calibri"/>
          <w:color w:val="auto"/>
          <w:sz w:val="24"/>
          <w:szCs w:val="24"/>
          <w:u w:val="none"/>
        </w:rPr>
        <w:t>)</w:t>
      </w:r>
      <w:r w:rsidR="000A7A3A" w:rsidRPr="006F323C">
        <w:rPr>
          <w:rStyle w:val="DeltaViewInsertion"/>
          <w:rFonts w:ascii="Calibri" w:eastAsia="Arial Unicode MS" w:hAnsi="Calibri" w:cs="Calibri"/>
          <w:color w:val="auto"/>
          <w:sz w:val="24"/>
          <w:szCs w:val="24"/>
          <w:u w:val="none"/>
        </w:rPr>
        <w:t xml:space="preserve"> Umowa może ulec zmianie także na podstawie waloryzacji</w:t>
      </w:r>
      <w:r w:rsidR="0042601C" w:rsidRPr="006F323C">
        <w:rPr>
          <w:rStyle w:val="DeltaViewInsertion"/>
          <w:rFonts w:ascii="Calibri" w:eastAsia="Arial Unicode MS" w:hAnsi="Calibri" w:cs="Calibri"/>
          <w:color w:val="auto"/>
          <w:sz w:val="24"/>
          <w:szCs w:val="24"/>
          <w:u w:val="none"/>
        </w:rPr>
        <w:t xml:space="preserve">, na zasadach opisanych </w:t>
      </w:r>
      <w:r w:rsidR="000A7A3A" w:rsidRPr="006F323C">
        <w:rPr>
          <w:rStyle w:val="DeltaViewInsertion"/>
          <w:rFonts w:ascii="Calibri" w:eastAsia="Arial Unicode MS" w:hAnsi="Calibri" w:cs="Calibri"/>
          <w:color w:val="auto"/>
          <w:sz w:val="24"/>
          <w:szCs w:val="24"/>
          <w:u w:val="none"/>
        </w:rPr>
        <w:t xml:space="preserve">w </w:t>
      </w:r>
      <w:r w:rsidR="000A7A3A" w:rsidRPr="006F323C">
        <w:rPr>
          <w:rFonts w:ascii="Calibri" w:hAnsi="Calibri" w:cs="Calibri"/>
          <w:sz w:val="24"/>
          <w:szCs w:val="24"/>
        </w:rPr>
        <w:t>§ 15.</w:t>
      </w:r>
    </w:p>
    <w:p w14:paraId="0493FA3E" w14:textId="77777777"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b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 xml:space="preserve">1. Wykonawca wniósł do dnia podpisania umowy zabezpieczenie należytego wykonania umowy w </w:t>
      </w:r>
      <w:proofErr w:type="spellStart"/>
      <w:r w:rsidRPr="006B574D">
        <w:rPr>
          <w:rFonts w:ascii="Calibri" w:hAnsi="Calibri" w:cs="Calibri"/>
          <w:sz w:val="24"/>
        </w:rPr>
        <w:t>w</w:t>
      </w:r>
      <w:proofErr w:type="spellEnd"/>
      <w:r w:rsidRPr="006B574D">
        <w:rPr>
          <w:rFonts w:ascii="Calibri" w:hAnsi="Calibri" w:cs="Calibri"/>
          <w:sz w:val="24"/>
        </w:rPr>
        <w:t xml:space="preserve">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5281CF66"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F15235">
        <w:rPr>
          <w:rFonts w:ascii="Calibri" w:hAnsi="Calibri" w:cs="Calibri"/>
          <w:sz w:val="24"/>
        </w:rPr>
        <w:t>5</w:t>
      </w:r>
    </w:p>
    <w:p w14:paraId="5F366D13" w14:textId="77777777"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31E6F035"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F15235">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434E6FE5"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F15235">
        <w:rPr>
          <w:rFonts w:ascii="Calibri" w:hAnsi="Calibri" w:cs="Calibri"/>
          <w:sz w:val="24"/>
        </w:rPr>
        <w:t>7</w:t>
      </w:r>
    </w:p>
    <w:p w14:paraId="6D616562" w14:textId="77777777" w:rsidR="004F7E4A" w:rsidRDefault="00007D3D" w:rsidP="00B35D49">
      <w:pPr>
        <w:tabs>
          <w:tab w:val="num" w:pos="0"/>
          <w:tab w:val="left" w:pos="284"/>
        </w:tabs>
        <w:jc w:val="both"/>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0B435FCB"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F15235">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default" r:id="rId8"/>
      <w:footerReference w:type="default" r:id="rId9"/>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9F11" w14:textId="2EB02B34" w:rsidR="008328BD" w:rsidRDefault="00757C22" w:rsidP="008328BD">
    <w:pPr>
      <w:pStyle w:val="S3"/>
      <w:spacing w:line="240" w:lineRule="auto"/>
      <w:ind w:left="0"/>
      <w:rPr>
        <w:rFonts w:ascii="Times New Roman" w:hAnsi="Times New Roman"/>
        <w:bCs/>
        <w:iCs/>
        <w:szCs w:val="20"/>
      </w:rPr>
    </w:pPr>
    <w:r>
      <w:rPr>
        <w:rFonts w:ascii="Times New Roman" w:hAnsi="Times New Roman"/>
        <w:bCs/>
        <w:iCs/>
        <w:szCs w:val="20"/>
      </w:rPr>
      <w:t>IG</w:t>
    </w:r>
    <w:r w:rsidR="008328BD">
      <w:rPr>
        <w:rFonts w:ascii="Times New Roman" w:hAnsi="Times New Roman"/>
        <w:bCs/>
        <w:iCs/>
        <w:szCs w:val="20"/>
      </w:rPr>
      <w:t>.271.</w:t>
    </w:r>
    <w:r>
      <w:rPr>
        <w:rFonts w:ascii="Times New Roman" w:hAnsi="Times New Roman"/>
        <w:bCs/>
        <w:iCs/>
        <w:szCs w:val="20"/>
      </w:rPr>
      <w:t>9</w:t>
    </w:r>
    <w:r w:rsidR="008328BD">
      <w:rPr>
        <w:rFonts w:ascii="Times New Roman" w:hAnsi="Times New Roman"/>
        <w:bCs/>
        <w:iCs/>
        <w:szCs w:val="20"/>
      </w:rPr>
      <w:t>.202</w:t>
    </w:r>
    <w:r w:rsidR="00CA18BA">
      <w:rPr>
        <w:rFonts w:ascii="Times New Roman" w:hAnsi="Times New Roman"/>
        <w:bCs/>
        <w:iCs/>
        <w:szCs w:val="20"/>
      </w:rPr>
      <w:t>4</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08B4DEB4" w:rsidR="00150405" w:rsidRDefault="00757C22" w:rsidP="00757C22">
    <w:pPr>
      <w:pStyle w:val="Nagwek"/>
      <w:jc w:val="center"/>
    </w:pPr>
    <w:r w:rsidRPr="00757C22">
      <w:t>Przebudowa drogi gminnej nr 080753C w miejscowości Czarny Bryńsk na terenie Miasta i Gminy Górzno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33A"/>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76"/>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2D1"/>
    <w:rsid w:val="001A483D"/>
    <w:rsid w:val="001A5042"/>
    <w:rsid w:val="001A5B1A"/>
    <w:rsid w:val="001A5EDE"/>
    <w:rsid w:val="001A5F97"/>
    <w:rsid w:val="001A60B0"/>
    <w:rsid w:val="001A63A6"/>
    <w:rsid w:val="001A644B"/>
    <w:rsid w:val="001A7513"/>
    <w:rsid w:val="001A7787"/>
    <w:rsid w:val="001B0A34"/>
    <w:rsid w:val="001B0E40"/>
    <w:rsid w:val="001B1411"/>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0D95"/>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7"/>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73B"/>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93E"/>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C09"/>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E8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40"/>
    <w:rsid w:val="003F7A92"/>
    <w:rsid w:val="003F7B07"/>
    <w:rsid w:val="003F7E8F"/>
    <w:rsid w:val="0040089D"/>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21C0"/>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4D0"/>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AEF"/>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797"/>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36AD"/>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0C69"/>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F98"/>
    <w:rsid w:val="006E318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70E0"/>
    <w:rsid w:val="00747FF8"/>
    <w:rsid w:val="00750224"/>
    <w:rsid w:val="00750262"/>
    <w:rsid w:val="0075031A"/>
    <w:rsid w:val="00750770"/>
    <w:rsid w:val="00750B24"/>
    <w:rsid w:val="00750F63"/>
    <w:rsid w:val="00751100"/>
    <w:rsid w:val="00751791"/>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57C22"/>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1D5"/>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20E"/>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C73"/>
    <w:rsid w:val="0086628A"/>
    <w:rsid w:val="00867208"/>
    <w:rsid w:val="00867995"/>
    <w:rsid w:val="00870992"/>
    <w:rsid w:val="00870B58"/>
    <w:rsid w:val="00871FA0"/>
    <w:rsid w:val="00872A4F"/>
    <w:rsid w:val="00872C7B"/>
    <w:rsid w:val="00872F74"/>
    <w:rsid w:val="00873093"/>
    <w:rsid w:val="008739CD"/>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6F2"/>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01F"/>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4D8C"/>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6E8"/>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3CEE"/>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C4C"/>
    <w:rsid w:val="00B35D49"/>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D7AF1"/>
    <w:rsid w:val="00BE039A"/>
    <w:rsid w:val="00BE0B8E"/>
    <w:rsid w:val="00BE1180"/>
    <w:rsid w:val="00BE16FF"/>
    <w:rsid w:val="00BE1BBD"/>
    <w:rsid w:val="00BE1EDD"/>
    <w:rsid w:val="00BE2553"/>
    <w:rsid w:val="00BE2B02"/>
    <w:rsid w:val="00BE2ED0"/>
    <w:rsid w:val="00BE3986"/>
    <w:rsid w:val="00BE39F9"/>
    <w:rsid w:val="00BE415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37AE7"/>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18BA"/>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5DE"/>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6D40"/>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0D6C"/>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09CE"/>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6E42"/>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EF7493"/>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235"/>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987"/>
    <w:rsid w:val="00F33A00"/>
    <w:rsid w:val="00F33C21"/>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A10"/>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76B"/>
    <w:rsid w:val="00FE02F2"/>
    <w:rsid w:val="00FE05B9"/>
    <w:rsid w:val="00FE07E3"/>
    <w:rsid w:val="00FE0CA4"/>
    <w:rsid w:val="00FE0F46"/>
    <w:rsid w:val="00FE1946"/>
    <w:rsid w:val="00FE1CC0"/>
    <w:rsid w:val="00FE1D83"/>
    <w:rsid w:val="00FE2642"/>
    <w:rsid w:val="00FE2E38"/>
    <w:rsid w:val="00FE2F87"/>
    <w:rsid w:val="00FE305D"/>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76094">
      <w:bodyDiv w:val="1"/>
      <w:marLeft w:val="0"/>
      <w:marRight w:val="0"/>
      <w:marTop w:val="0"/>
      <w:marBottom w:val="0"/>
      <w:divBdr>
        <w:top w:val="none" w:sz="0" w:space="0" w:color="auto"/>
        <w:left w:val="none" w:sz="0" w:space="0" w:color="auto"/>
        <w:bottom w:val="none" w:sz="0" w:space="0" w:color="auto"/>
        <w:right w:val="none" w:sz="0" w:space="0" w:color="auto"/>
      </w:divBdr>
    </w:div>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218130764">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172</TotalTime>
  <Pages>23</Pages>
  <Words>9105</Words>
  <Characters>54636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LachowskiL</cp:lastModifiedBy>
  <cp:revision>43</cp:revision>
  <cp:lastPrinted>2022-05-10T08:59:00Z</cp:lastPrinted>
  <dcterms:created xsi:type="dcterms:W3CDTF">2022-05-25T10:11:00Z</dcterms:created>
  <dcterms:modified xsi:type="dcterms:W3CDTF">2024-08-01T06:37:00Z</dcterms:modified>
</cp:coreProperties>
</file>