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240" w:line="252.00000000000003" w:lineRule="auto"/>
        <w:jc w:val="center"/>
        <w:rPr>
          <w:b w:val="1"/>
        </w:rPr>
      </w:pPr>
      <w:bookmarkStart w:colFirst="0" w:colLast="0" w:name="_heading=h.gjdgxs" w:id="0"/>
      <w:bookmarkEnd w:id="0"/>
      <w:r w:rsidDel="00000000" w:rsidR="00000000" w:rsidRPr="00000000">
        <w:rPr>
          <w:b w:val="1"/>
          <w:rtl w:val="0"/>
        </w:rPr>
        <w:t xml:space="preserve">ZADÁVANIE NADLIMITNEJ ZÁKAZKY POSTUPOM VEREJNEJ SÚŤAŽE</w:t>
      </w:r>
    </w:p>
    <w:p w:rsidR="00000000" w:rsidDel="00000000" w:rsidP="00000000" w:rsidRDefault="00000000" w:rsidRPr="00000000" w14:paraId="00000002">
      <w:pPr>
        <w:tabs>
          <w:tab w:val="center" w:leader="none" w:pos="4535"/>
          <w:tab w:val="right" w:leader="none" w:pos="9070"/>
        </w:tabs>
        <w:spacing w:after="60" w:before="60" w:line="252.00000000000003" w:lineRule="auto"/>
        <w:rPr>
          <w:b w:val="1"/>
        </w:rPr>
      </w:pPr>
      <w:r w:rsidDel="00000000" w:rsidR="00000000" w:rsidRPr="00000000">
        <w:rPr>
          <w:b w:val="1"/>
          <w:rtl w:val="0"/>
        </w:rPr>
        <w:tab/>
        <w:t xml:space="preserve">(SLUŽBY)</w:t>
        <w:tab/>
      </w:r>
    </w:p>
    <w:p w:rsidR="00000000" w:rsidDel="00000000" w:rsidP="00000000" w:rsidRDefault="00000000" w:rsidRPr="00000000" w14:paraId="00000003">
      <w:pPr>
        <w:spacing w:after="60" w:before="240" w:line="252.00000000000003" w:lineRule="auto"/>
        <w:jc w:val="center"/>
        <w:rPr>
          <w:b w:val="1"/>
          <w:sz w:val="22"/>
          <w:szCs w:val="22"/>
        </w:rPr>
      </w:pPr>
      <w:r w:rsidDel="00000000" w:rsidR="00000000" w:rsidRPr="00000000">
        <w:rPr>
          <w:b w:val="1"/>
          <w:sz w:val="22"/>
          <w:szCs w:val="22"/>
          <w:rtl w:val="0"/>
        </w:rPr>
        <w:t xml:space="preserve">podľa ustanovení zákona č. 343/2015 Z. z. o verejnom obstarávaní a o zmene a doplnení niektorých zákonov v znení neskorších predpisov</w:t>
      </w:r>
    </w:p>
    <w:p w:rsidR="00000000" w:rsidDel="00000000" w:rsidP="00000000" w:rsidRDefault="00000000" w:rsidRPr="00000000" w14:paraId="00000004">
      <w:pPr>
        <w:spacing w:after="60" w:before="60" w:line="252.00000000000003" w:lineRule="auto"/>
        <w:jc w:val="center"/>
        <w:rPr>
          <w:sz w:val="22"/>
          <w:szCs w:val="22"/>
        </w:rPr>
      </w:pPr>
      <w:r w:rsidDel="00000000" w:rsidR="00000000" w:rsidRPr="00000000">
        <w:rPr>
          <w:sz w:val="22"/>
          <w:szCs w:val="22"/>
          <w:rtl w:val="0"/>
        </w:rPr>
        <w:t xml:space="preserve">(ďalej ako „zákon o verejnom obstarávaní“ v príslušnom gramatickom tvare)</w:t>
      </w:r>
    </w:p>
    <w:p w:rsidR="00000000" w:rsidDel="00000000" w:rsidP="00000000" w:rsidRDefault="00000000" w:rsidRPr="00000000" w14:paraId="00000005">
      <w:pPr>
        <w:spacing w:after="360" w:before="360" w:line="252.00000000000003" w:lineRule="auto"/>
        <w:jc w:val="center"/>
        <w:rPr>
          <w:b w:val="1"/>
          <w:sz w:val="36"/>
          <w:szCs w:val="36"/>
        </w:rPr>
      </w:pPr>
      <w:r w:rsidDel="00000000" w:rsidR="00000000" w:rsidRPr="00000000">
        <w:rPr>
          <w:b w:val="1"/>
          <w:sz w:val="36"/>
          <w:szCs w:val="36"/>
          <w:rtl w:val="0"/>
        </w:rPr>
        <w:t xml:space="preserve">SÚŤAŽNÉ PODKLADY</w:t>
      </w:r>
    </w:p>
    <w:p w:rsidR="00000000" w:rsidDel="00000000" w:rsidP="00000000" w:rsidRDefault="00000000" w:rsidRPr="00000000" w14:paraId="00000006">
      <w:pPr>
        <w:spacing w:after="480" w:before="240" w:line="252.00000000000003" w:lineRule="auto"/>
        <w:jc w:val="center"/>
        <w:rPr>
          <w:b w:val="1"/>
          <w:sz w:val="32"/>
          <w:szCs w:val="32"/>
        </w:rPr>
      </w:pPr>
      <w:bookmarkStart w:colFirst="0" w:colLast="0" w:name="_heading=h.30j0zll" w:id="1"/>
      <w:bookmarkEnd w:id="1"/>
      <w:r w:rsidDel="00000000" w:rsidR="00000000" w:rsidRPr="00000000">
        <w:rPr>
          <w:b w:val="1"/>
          <w:sz w:val="32"/>
          <w:szCs w:val="32"/>
          <w:rtl w:val="0"/>
        </w:rPr>
        <w:t xml:space="preserve">Služby podpory prevádzky a rozvoja diela Register a identifikátor právnických osôb a podnikateľov</w:t>
      </w:r>
    </w:p>
    <w:tbl>
      <w:tblPr>
        <w:tblStyle w:val="Table1"/>
        <w:tblW w:w="9070.0" w:type="dxa"/>
        <w:jc w:val="center"/>
        <w:tblLayout w:type="fixed"/>
        <w:tblLook w:val="0400"/>
      </w:tblPr>
      <w:tblGrid>
        <w:gridCol w:w="4535"/>
        <w:gridCol w:w="4535"/>
        <w:tblGridChange w:id="0">
          <w:tblGrid>
            <w:gridCol w:w="4535"/>
            <w:gridCol w:w="4535"/>
          </w:tblGrid>
        </w:tblGridChange>
      </w:tblGrid>
      <w:tr>
        <w:trPr>
          <w:cantSplit w:val="1"/>
          <w:tblHeader w:val="0"/>
        </w:trPr>
        <w:tc>
          <w:tcPr/>
          <w:p w:rsidR="00000000" w:rsidDel="00000000" w:rsidP="00000000" w:rsidRDefault="00000000" w:rsidRPr="00000000" w14:paraId="00000007">
            <w:pPr>
              <w:widowControl w:val="0"/>
              <w:spacing w:after="60" w:before="60" w:line="252.00000000000003" w:lineRule="auto"/>
              <w:jc w:val="both"/>
              <w:rPr>
                <w:b w:val="1"/>
                <w:sz w:val="22"/>
                <w:szCs w:val="22"/>
              </w:rPr>
            </w:pPr>
            <w:r w:rsidDel="00000000" w:rsidR="00000000" w:rsidRPr="00000000">
              <w:rPr>
                <w:sz w:val="22"/>
                <w:szCs w:val="22"/>
                <w:rtl w:val="0"/>
              </w:rPr>
              <w:t xml:space="preserve">Súlad súťažných podkladov s ustanoveniami zákona o verejnom obstarávaní potvrdzuje:</w:t>
            </w:r>
            <w:r w:rsidDel="00000000" w:rsidR="00000000" w:rsidRPr="00000000">
              <w:rPr>
                <w:rtl w:val="0"/>
              </w:rPr>
            </w:r>
          </w:p>
        </w:tc>
        <w:tc>
          <w:tcPr/>
          <w:p w:rsidR="00000000" w:rsidDel="00000000" w:rsidP="00000000" w:rsidRDefault="00000000" w:rsidRPr="00000000" w14:paraId="00000008">
            <w:pPr>
              <w:widowControl w:val="0"/>
              <w:spacing w:after="60" w:before="60" w:line="252.00000000000003" w:lineRule="auto"/>
              <w:jc w:val="both"/>
              <w:rPr>
                <w:b w:val="1"/>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09">
            <w:pPr>
              <w:widowControl w:val="0"/>
              <w:spacing w:after="60" w:before="60" w:line="252.00000000000003" w:lineRule="auto"/>
              <w:jc w:val="both"/>
              <w:rPr>
                <w:b w:val="1"/>
                <w:sz w:val="22"/>
                <w:szCs w:val="22"/>
              </w:rPr>
            </w:pPr>
            <w:r w:rsidDel="00000000" w:rsidR="00000000" w:rsidRPr="00000000">
              <w:rPr>
                <w:sz w:val="22"/>
                <w:szCs w:val="22"/>
                <w:rtl w:val="0"/>
              </w:rPr>
              <w:t xml:space="preserve">Bratislava </w:t>
            </w:r>
            <w:r w:rsidDel="00000000" w:rsidR="00000000" w:rsidRPr="00000000">
              <w:rPr>
                <w:rtl w:val="0"/>
              </w:rPr>
            </w:r>
          </w:p>
        </w:tc>
        <w:tc>
          <w:tcPr/>
          <w:p w:rsidR="00000000" w:rsidDel="00000000" w:rsidP="00000000" w:rsidRDefault="00000000" w:rsidRPr="00000000" w14:paraId="0000000A">
            <w:pPr>
              <w:widowControl w:val="0"/>
              <w:spacing w:after="60" w:before="60" w:line="252.00000000000003" w:lineRule="auto"/>
              <w:jc w:val="both"/>
              <w:rPr>
                <w:sz w:val="22"/>
                <w:szCs w:val="22"/>
              </w:rPr>
            </w:pPr>
            <w:r w:rsidDel="00000000" w:rsidR="00000000" w:rsidRPr="00000000">
              <w:rPr>
                <w:sz w:val="22"/>
                <w:szCs w:val="22"/>
                <w:rtl w:val="0"/>
              </w:rPr>
              <w:t xml:space="preserve">_________________________</w:t>
            </w:r>
          </w:p>
          <w:p w:rsidR="00000000" w:rsidDel="00000000" w:rsidP="00000000" w:rsidRDefault="00000000" w:rsidRPr="00000000" w14:paraId="0000000B">
            <w:pPr>
              <w:widowControl w:val="0"/>
              <w:spacing w:after="60" w:before="60" w:line="252.00000000000003" w:lineRule="auto"/>
              <w:jc w:val="both"/>
              <w:rPr>
                <w:sz w:val="22"/>
                <w:szCs w:val="22"/>
              </w:rPr>
            </w:pPr>
            <w:r w:rsidDel="00000000" w:rsidR="00000000" w:rsidRPr="00000000">
              <w:rPr>
                <w:sz w:val="22"/>
                <w:szCs w:val="22"/>
                <w:rtl w:val="0"/>
              </w:rPr>
              <w:t xml:space="preserve">Mgr. Michaela Hušková</w:t>
            </w:r>
          </w:p>
          <w:p w:rsidR="00000000" w:rsidDel="00000000" w:rsidP="00000000" w:rsidRDefault="00000000" w:rsidRPr="00000000" w14:paraId="0000000C">
            <w:pPr>
              <w:widowControl w:val="0"/>
              <w:spacing w:after="60" w:before="60" w:line="252.00000000000003" w:lineRule="auto"/>
              <w:jc w:val="both"/>
              <w:rPr>
                <w:sz w:val="22"/>
                <w:szCs w:val="22"/>
              </w:rPr>
            </w:pPr>
            <w:r w:rsidDel="00000000" w:rsidR="00000000" w:rsidRPr="00000000">
              <w:rPr>
                <w:sz w:val="22"/>
                <w:szCs w:val="22"/>
                <w:rtl w:val="0"/>
              </w:rPr>
              <w:t xml:space="preserve">osoba zodpovedná za verejné obstarávanie</w:t>
            </w:r>
          </w:p>
          <w:p w:rsidR="00000000" w:rsidDel="00000000" w:rsidP="00000000" w:rsidRDefault="00000000" w:rsidRPr="00000000" w14:paraId="0000000D">
            <w:pPr>
              <w:widowControl w:val="0"/>
              <w:spacing w:after="60" w:before="60" w:line="252.00000000000003" w:lineRule="auto"/>
              <w:jc w:val="both"/>
              <w:rPr>
                <w:sz w:val="22"/>
                <w:szCs w:val="22"/>
              </w:rPr>
            </w:pPr>
            <w:r w:rsidDel="00000000" w:rsidR="00000000" w:rsidRPr="00000000">
              <w:rPr>
                <w:sz w:val="22"/>
                <w:szCs w:val="22"/>
                <w:rtl w:val="0"/>
              </w:rPr>
              <w:t xml:space="preserve">BIDit s.r.o.</w:t>
            </w:r>
          </w:p>
        </w:tc>
      </w:tr>
      <w:tr>
        <w:trPr>
          <w:cantSplit w:val="1"/>
          <w:tblHeader w:val="0"/>
        </w:trPr>
        <w:tc>
          <w:tcPr/>
          <w:p w:rsidR="00000000" w:rsidDel="00000000" w:rsidP="00000000" w:rsidRDefault="00000000" w:rsidRPr="00000000" w14:paraId="0000000E">
            <w:pPr>
              <w:widowControl w:val="0"/>
              <w:spacing w:after="60" w:before="60" w:line="252.00000000000003" w:lineRule="auto"/>
              <w:jc w:val="both"/>
              <w:rPr>
                <w:b w:val="1"/>
                <w:sz w:val="22"/>
                <w:szCs w:val="22"/>
              </w:rPr>
            </w:pPr>
            <w:r w:rsidDel="00000000" w:rsidR="00000000" w:rsidRPr="00000000">
              <w:rPr>
                <w:sz w:val="22"/>
                <w:szCs w:val="22"/>
                <w:rtl w:val="0"/>
              </w:rPr>
              <w:t xml:space="preserve">Za technické podmienky, úplnosť a správnosť Kapitoly B.1 Opis predmetu zákazky súťažných podkladov, finančné a technické požiadavky, kritériá na vyhodnotenie ponúk a spôsob ich uplatnenia zodpovedá a uvedené schválil:</w:t>
            </w:r>
            <w:r w:rsidDel="00000000" w:rsidR="00000000" w:rsidRPr="00000000">
              <w:rPr>
                <w:rtl w:val="0"/>
              </w:rPr>
            </w:r>
          </w:p>
        </w:tc>
        <w:tc>
          <w:tcPr/>
          <w:p w:rsidR="00000000" w:rsidDel="00000000" w:rsidP="00000000" w:rsidRDefault="00000000" w:rsidRPr="00000000" w14:paraId="0000000F">
            <w:pPr>
              <w:widowControl w:val="0"/>
              <w:spacing w:after="60" w:before="60" w:line="252.00000000000003" w:lineRule="auto"/>
              <w:jc w:val="both"/>
              <w:rPr>
                <w:b w:val="1"/>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10">
            <w:pPr>
              <w:widowControl w:val="0"/>
              <w:spacing w:after="60" w:before="60" w:line="252.00000000000003" w:lineRule="auto"/>
              <w:jc w:val="both"/>
              <w:rPr>
                <w:b w:val="1"/>
                <w:sz w:val="22"/>
                <w:szCs w:val="22"/>
              </w:rPr>
            </w:pPr>
            <w:r w:rsidDel="00000000" w:rsidR="00000000" w:rsidRPr="00000000">
              <w:rPr>
                <w:sz w:val="22"/>
                <w:szCs w:val="22"/>
                <w:rtl w:val="0"/>
              </w:rPr>
              <w:t xml:space="preserve">Bratislava </w:t>
            </w:r>
            <w:r w:rsidDel="00000000" w:rsidR="00000000" w:rsidRPr="00000000">
              <w:rPr>
                <w:rtl w:val="0"/>
              </w:rPr>
            </w:r>
          </w:p>
        </w:tc>
        <w:tc>
          <w:tcPr/>
          <w:p w:rsidR="00000000" w:rsidDel="00000000" w:rsidP="00000000" w:rsidRDefault="00000000" w:rsidRPr="00000000" w14:paraId="00000011">
            <w:pPr>
              <w:widowControl w:val="0"/>
              <w:spacing w:after="60" w:before="60" w:line="252.00000000000003" w:lineRule="auto"/>
              <w:jc w:val="both"/>
              <w:rPr>
                <w:sz w:val="22"/>
                <w:szCs w:val="22"/>
              </w:rPr>
            </w:pPr>
            <w:r w:rsidDel="00000000" w:rsidR="00000000" w:rsidRPr="00000000">
              <w:rPr>
                <w:sz w:val="22"/>
                <w:szCs w:val="22"/>
                <w:rtl w:val="0"/>
              </w:rPr>
              <w:t xml:space="preserve">_________________________</w:t>
            </w:r>
          </w:p>
          <w:p w:rsidR="00000000" w:rsidDel="00000000" w:rsidP="00000000" w:rsidRDefault="00000000" w:rsidRPr="00000000" w14:paraId="00000012">
            <w:pPr>
              <w:widowControl w:val="0"/>
              <w:spacing w:after="60" w:before="60" w:line="252.00000000000003" w:lineRule="auto"/>
              <w:jc w:val="both"/>
              <w:rPr>
                <w:sz w:val="22"/>
                <w:szCs w:val="22"/>
              </w:rPr>
            </w:pPr>
            <w:r w:rsidDel="00000000" w:rsidR="00000000" w:rsidRPr="00000000">
              <w:rPr>
                <w:sz w:val="22"/>
                <w:szCs w:val="22"/>
                <w:rtl w:val="0"/>
              </w:rPr>
              <w:t xml:space="preserve">Ing. Jozef Brinda</w:t>
            </w:r>
          </w:p>
          <w:p w:rsidR="00000000" w:rsidDel="00000000" w:rsidP="00000000" w:rsidRDefault="00000000" w:rsidRPr="00000000" w14:paraId="00000013">
            <w:pPr>
              <w:widowControl w:val="0"/>
              <w:spacing w:after="60" w:before="60" w:line="252.00000000000003" w:lineRule="auto"/>
              <w:jc w:val="both"/>
              <w:rPr>
                <w:sz w:val="22"/>
                <w:szCs w:val="22"/>
              </w:rPr>
            </w:pPr>
            <w:r w:rsidDel="00000000" w:rsidR="00000000" w:rsidRPr="00000000">
              <w:rPr>
                <w:sz w:val="22"/>
                <w:szCs w:val="22"/>
                <w:rtl w:val="0"/>
              </w:rPr>
              <w:t xml:space="preserve">poverený vedením sekcie informačných systémov</w:t>
            </w:r>
          </w:p>
          <w:p w:rsidR="00000000" w:rsidDel="00000000" w:rsidP="00000000" w:rsidRDefault="00000000" w:rsidRPr="00000000" w14:paraId="00000014">
            <w:pPr>
              <w:widowControl w:val="0"/>
              <w:spacing w:after="60" w:before="60" w:line="252.00000000000003" w:lineRule="auto"/>
              <w:jc w:val="both"/>
              <w:rPr>
                <w:sz w:val="22"/>
                <w:szCs w:val="22"/>
              </w:rPr>
            </w:pPr>
            <w:r w:rsidDel="00000000" w:rsidR="00000000" w:rsidRPr="00000000">
              <w:rPr>
                <w:sz w:val="22"/>
                <w:szCs w:val="22"/>
                <w:rtl w:val="0"/>
              </w:rPr>
              <w:t xml:space="preserve">Štatistický úrad Slovenskej republiky</w:t>
            </w:r>
          </w:p>
          <w:p w:rsidR="00000000" w:rsidDel="00000000" w:rsidP="00000000" w:rsidRDefault="00000000" w:rsidRPr="00000000" w14:paraId="00000015">
            <w:pPr>
              <w:widowControl w:val="0"/>
              <w:spacing w:after="60" w:before="60" w:line="252.00000000000003" w:lineRule="auto"/>
              <w:jc w:val="both"/>
              <w:rPr>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16">
            <w:pPr>
              <w:widowControl w:val="0"/>
              <w:spacing w:after="60" w:before="60" w:line="252.00000000000003" w:lineRule="auto"/>
              <w:jc w:val="both"/>
              <w:rPr>
                <w:sz w:val="22"/>
                <w:szCs w:val="22"/>
              </w:rPr>
            </w:pPr>
            <w:r w:rsidDel="00000000" w:rsidR="00000000" w:rsidRPr="00000000">
              <w:rPr>
                <w:sz w:val="22"/>
                <w:szCs w:val="22"/>
                <w:rtl w:val="0"/>
              </w:rPr>
              <w:t xml:space="preserve">Bratislava </w:t>
            </w:r>
          </w:p>
        </w:tc>
        <w:tc>
          <w:tcPr/>
          <w:p w:rsidR="00000000" w:rsidDel="00000000" w:rsidP="00000000" w:rsidRDefault="00000000" w:rsidRPr="00000000" w14:paraId="00000017">
            <w:pPr>
              <w:widowControl w:val="0"/>
              <w:spacing w:after="60" w:before="60" w:line="252.00000000000003" w:lineRule="auto"/>
              <w:jc w:val="both"/>
              <w:rPr>
                <w:sz w:val="22"/>
                <w:szCs w:val="22"/>
              </w:rPr>
            </w:pPr>
            <w:r w:rsidDel="00000000" w:rsidR="00000000" w:rsidRPr="00000000">
              <w:rPr>
                <w:sz w:val="22"/>
                <w:szCs w:val="22"/>
                <w:rtl w:val="0"/>
              </w:rPr>
              <w:t xml:space="preserve">_________________________</w:t>
            </w:r>
          </w:p>
          <w:p w:rsidR="00000000" w:rsidDel="00000000" w:rsidP="00000000" w:rsidRDefault="00000000" w:rsidRPr="00000000" w14:paraId="00000018">
            <w:pPr>
              <w:widowControl w:val="0"/>
              <w:spacing w:after="60" w:before="60" w:line="252.00000000000003" w:lineRule="auto"/>
              <w:jc w:val="both"/>
              <w:rPr>
                <w:sz w:val="22"/>
                <w:szCs w:val="22"/>
              </w:rPr>
            </w:pPr>
            <w:r w:rsidDel="00000000" w:rsidR="00000000" w:rsidRPr="00000000">
              <w:rPr>
                <w:sz w:val="22"/>
                <w:szCs w:val="22"/>
                <w:rtl w:val="0"/>
              </w:rPr>
              <w:t xml:space="preserve">Ing. Ján Papol</w:t>
            </w:r>
          </w:p>
          <w:p w:rsidR="00000000" w:rsidDel="00000000" w:rsidP="00000000" w:rsidRDefault="00000000" w:rsidRPr="00000000" w14:paraId="00000019">
            <w:pPr>
              <w:widowControl w:val="0"/>
              <w:spacing w:after="60" w:before="60" w:line="252.00000000000003" w:lineRule="auto"/>
              <w:jc w:val="both"/>
              <w:rPr>
                <w:sz w:val="22"/>
                <w:szCs w:val="22"/>
              </w:rPr>
            </w:pPr>
            <w:r w:rsidDel="00000000" w:rsidR="00000000" w:rsidRPr="00000000">
              <w:rPr>
                <w:sz w:val="22"/>
                <w:szCs w:val="22"/>
                <w:rtl w:val="0"/>
              </w:rPr>
              <w:t xml:space="preserve">riaditeľ odboru ekonomického</w:t>
            </w:r>
          </w:p>
          <w:p w:rsidR="00000000" w:rsidDel="00000000" w:rsidP="00000000" w:rsidRDefault="00000000" w:rsidRPr="00000000" w14:paraId="0000001A">
            <w:pPr>
              <w:widowControl w:val="0"/>
              <w:spacing w:after="60" w:before="60" w:line="252.00000000000003" w:lineRule="auto"/>
              <w:jc w:val="both"/>
              <w:rPr>
                <w:sz w:val="22"/>
                <w:szCs w:val="22"/>
              </w:rPr>
            </w:pPr>
            <w:r w:rsidDel="00000000" w:rsidR="00000000" w:rsidRPr="00000000">
              <w:rPr>
                <w:sz w:val="22"/>
                <w:szCs w:val="22"/>
                <w:rtl w:val="0"/>
              </w:rPr>
              <w:t xml:space="preserve">Štatistický úrad Slovenskej republiky</w:t>
            </w:r>
          </w:p>
        </w:tc>
      </w:tr>
      <w:tr>
        <w:trPr>
          <w:cantSplit w:val="1"/>
          <w:tblHeader w:val="0"/>
        </w:trPr>
        <w:tc>
          <w:tcPr/>
          <w:p w:rsidR="00000000" w:rsidDel="00000000" w:rsidP="00000000" w:rsidRDefault="00000000" w:rsidRPr="00000000" w14:paraId="0000001B">
            <w:pPr>
              <w:widowControl w:val="0"/>
              <w:spacing w:after="60" w:before="60" w:line="252.00000000000003" w:lineRule="auto"/>
              <w:jc w:val="both"/>
              <w:rPr>
                <w:b w:val="1"/>
                <w:sz w:val="22"/>
                <w:szCs w:val="22"/>
              </w:rPr>
            </w:pPr>
            <w:r w:rsidDel="00000000" w:rsidR="00000000" w:rsidRPr="00000000">
              <w:rPr>
                <w:sz w:val="22"/>
                <w:szCs w:val="22"/>
                <w:rtl w:val="0"/>
              </w:rPr>
              <w:t xml:space="preserve">Súťažné podklady za verejného obstarávateľa schválil:</w:t>
            </w:r>
            <w:r w:rsidDel="00000000" w:rsidR="00000000" w:rsidRPr="00000000">
              <w:rPr>
                <w:rtl w:val="0"/>
              </w:rPr>
            </w:r>
          </w:p>
        </w:tc>
        <w:tc>
          <w:tcPr/>
          <w:p w:rsidR="00000000" w:rsidDel="00000000" w:rsidP="00000000" w:rsidRDefault="00000000" w:rsidRPr="00000000" w14:paraId="0000001C">
            <w:pPr>
              <w:widowControl w:val="0"/>
              <w:spacing w:after="60" w:before="60" w:line="252.00000000000003" w:lineRule="auto"/>
              <w:jc w:val="both"/>
              <w:rPr>
                <w:b w:val="1"/>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1D">
            <w:pPr>
              <w:widowControl w:val="0"/>
              <w:spacing w:after="60" w:before="60" w:line="252.00000000000003" w:lineRule="auto"/>
              <w:jc w:val="both"/>
              <w:rPr>
                <w:b w:val="1"/>
                <w:sz w:val="22"/>
                <w:szCs w:val="22"/>
              </w:rPr>
            </w:pPr>
            <w:r w:rsidDel="00000000" w:rsidR="00000000" w:rsidRPr="00000000">
              <w:rPr>
                <w:sz w:val="22"/>
                <w:szCs w:val="22"/>
                <w:rtl w:val="0"/>
              </w:rPr>
              <w:t xml:space="preserve">Bratislava </w:t>
            </w:r>
            <w:r w:rsidDel="00000000" w:rsidR="00000000" w:rsidRPr="00000000">
              <w:rPr>
                <w:rtl w:val="0"/>
              </w:rPr>
            </w:r>
          </w:p>
        </w:tc>
        <w:tc>
          <w:tcPr/>
          <w:p w:rsidR="00000000" w:rsidDel="00000000" w:rsidP="00000000" w:rsidRDefault="00000000" w:rsidRPr="00000000" w14:paraId="0000001E">
            <w:pPr>
              <w:widowControl w:val="0"/>
              <w:spacing w:after="60" w:before="60" w:line="252.00000000000003" w:lineRule="auto"/>
              <w:jc w:val="both"/>
              <w:rPr>
                <w:sz w:val="22"/>
                <w:szCs w:val="22"/>
              </w:rPr>
            </w:pPr>
            <w:r w:rsidDel="00000000" w:rsidR="00000000" w:rsidRPr="00000000">
              <w:rPr>
                <w:sz w:val="22"/>
                <w:szCs w:val="22"/>
                <w:rtl w:val="0"/>
              </w:rPr>
              <w:t xml:space="preserve">_________________________</w:t>
            </w:r>
          </w:p>
          <w:p w:rsidR="00000000" w:rsidDel="00000000" w:rsidP="00000000" w:rsidRDefault="00000000" w:rsidRPr="00000000" w14:paraId="0000001F">
            <w:pPr>
              <w:widowControl w:val="0"/>
              <w:spacing w:after="60" w:before="60" w:line="252.00000000000003" w:lineRule="auto"/>
              <w:jc w:val="both"/>
              <w:rPr>
                <w:sz w:val="22"/>
                <w:szCs w:val="22"/>
              </w:rPr>
            </w:pPr>
            <w:r w:rsidDel="00000000" w:rsidR="00000000" w:rsidRPr="00000000">
              <w:rPr>
                <w:sz w:val="22"/>
                <w:szCs w:val="22"/>
                <w:rtl w:val="0"/>
              </w:rPr>
              <w:t xml:space="preserve">Ing. Martin Nemky, MBA</w:t>
            </w:r>
          </w:p>
          <w:p w:rsidR="00000000" w:rsidDel="00000000" w:rsidP="00000000" w:rsidRDefault="00000000" w:rsidRPr="00000000" w14:paraId="00000020">
            <w:pPr>
              <w:widowControl w:val="0"/>
              <w:spacing w:after="60" w:before="60" w:line="252.00000000000003" w:lineRule="auto"/>
              <w:jc w:val="both"/>
              <w:rPr>
                <w:sz w:val="22"/>
                <w:szCs w:val="22"/>
              </w:rPr>
            </w:pPr>
            <w:r w:rsidDel="00000000" w:rsidR="00000000" w:rsidRPr="00000000">
              <w:rPr>
                <w:sz w:val="22"/>
                <w:szCs w:val="22"/>
                <w:rtl w:val="0"/>
              </w:rPr>
              <w:t xml:space="preserve">predseda</w:t>
            </w:r>
          </w:p>
          <w:p w:rsidR="00000000" w:rsidDel="00000000" w:rsidP="00000000" w:rsidRDefault="00000000" w:rsidRPr="00000000" w14:paraId="00000021">
            <w:pPr>
              <w:widowControl w:val="0"/>
              <w:spacing w:after="60" w:before="60" w:line="252.00000000000003" w:lineRule="auto"/>
              <w:jc w:val="both"/>
              <w:rPr>
                <w:b w:val="1"/>
                <w:sz w:val="22"/>
                <w:szCs w:val="22"/>
              </w:rPr>
            </w:pPr>
            <w:r w:rsidDel="00000000" w:rsidR="00000000" w:rsidRPr="00000000">
              <w:rPr>
                <w:sz w:val="22"/>
                <w:szCs w:val="22"/>
                <w:rtl w:val="0"/>
              </w:rPr>
              <w:t xml:space="preserve">Štatistický úrad Slovenskej republiky</w:t>
            </w:r>
            <w:r w:rsidDel="00000000" w:rsidR="00000000" w:rsidRPr="00000000">
              <w:rPr>
                <w:rtl w:val="0"/>
              </w:rPr>
            </w:r>
          </w:p>
        </w:tc>
      </w:tr>
    </w:tbl>
    <w:p w:rsidR="00000000" w:rsidDel="00000000" w:rsidP="00000000" w:rsidRDefault="00000000" w:rsidRPr="00000000" w14:paraId="00000022">
      <w:pPr>
        <w:spacing w:after="60" w:before="60" w:line="252.00000000000003" w:lineRule="auto"/>
        <w:jc w:val="both"/>
        <w:rPr>
          <w:b w:val="1"/>
          <w:sz w:val="32"/>
          <w:szCs w:val="32"/>
        </w:rPr>
        <w:sectPr>
          <w:headerReference r:id="rId7" w:type="default"/>
          <w:headerReference r:id="rId8" w:type="first"/>
          <w:footerReference r:id="rId9" w:type="default"/>
          <w:pgSz w:h="16838" w:w="11906" w:orient="portrait"/>
          <w:pgMar w:bottom="1134" w:top="1418" w:left="1418" w:right="1418" w:header="709" w:footer="709"/>
          <w:pgNumType w:start="1"/>
          <w:titlePg w:val="1"/>
        </w:sectPr>
      </w:pPr>
      <w:r w:rsidDel="00000000" w:rsidR="00000000" w:rsidRPr="00000000">
        <w:rPr>
          <w:rtl w:val="0"/>
        </w:rPr>
      </w:r>
    </w:p>
    <w:p w:rsidR="00000000" w:rsidDel="00000000" w:rsidP="00000000" w:rsidRDefault="00000000" w:rsidRPr="00000000" w14:paraId="00000023">
      <w:pPr>
        <w:spacing w:after="60" w:before="60" w:line="252.00000000000003" w:lineRule="auto"/>
        <w:jc w:val="both"/>
        <w:rPr>
          <w:sz w:val="22"/>
          <w:szCs w:val="22"/>
        </w:rPr>
        <w:sectPr>
          <w:type w:val="continuous"/>
          <w:pgSz w:h="16838" w:w="11906" w:orient="portrait"/>
          <w:pgMar w:bottom="1134" w:top="1418" w:left="1418" w:right="1418" w:header="709" w:footer="709"/>
          <w:cols w:equalWidth="0" w:num="2">
            <w:col w:space="282" w:w="4394"/>
            <w:col w:space="0" w:w="4394"/>
          </w:cols>
          <w:titlePg w:val="1"/>
        </w:sect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OBSAH SÚŤAŽNÝCH PODKLADOV</w:t>
      </w:r>
    </w:p>
    <w:sdt>
      <w:sdtPr>
        <w:docPartObj>
          <w:docPartGallery w:val="Table of Contents"/>
          <w:docPartUnique w:val="1"/>
        </w:docPartObj>
      </w:sdtPr>
      <w:sdtContent>
        <w:p w:rsidR="00000000" w:rsidDel="00000000" w:rsidP="00000000" w:rsidRDefault="00000000" w:rsidRPr="00000000" w14:paraId="00000025">
          <w:pPr>
            <w:pStyle w:val="Heading2"/>
            <w:widowControl w:val="1"/>
            <w:spacing w:after="240" w:lineRule="auto"/>
            <w:ind w:right="-2"/>
            <w:rPr/>
          </w:pPr>
          <w:bookmarkStart w:colFirst="0" w:colLast="0" w:name="_heading=h.1fob9te" w:id="2"/>
          <w:bookmarkEnd w:id="2"/>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60" w:line="252.00000000000003"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fob9te">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OBSAH SÚŤAŽNÝCH PODKLADOV</w:t>
              <w:tab/>
              <w:t xml:space="preserve">2</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60" w:line="252.00000000000003"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KAPITOLA A.1 POKYNY PRE UCHÁDZAČOV</w:t>
              <w:tab/>
              <w:t xml:space="preserve">4</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0" w:line="252.00000000000003"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ČASŤ I. VŠEOBECNÉ INFORMÁCIE</w:t>
              <w:tab/>
              <w:t xml:space="preserve">4</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Identifikácia verejného obstarávateľa</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hyperlink>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Úvodné ustanovenia</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hyperlink>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_heading=h.1t3h5sf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Predmet súťažných podkladov a postup zadávania zákazky</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hyperlink>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Predmet zákazky</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hyperlink>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_heading=h.2s8eyo1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Variantné riešenia</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hyperlink>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_heading=h.17dp8vu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Miesto a termín poskytovania predmetu zákazky</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Typ zmluvy</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Zdroj finančných prostriedkov, Platobné podmienky</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Skupina dodávateľov</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0" w:line="252.00000000000003"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ČASŤ II. KOMUNIKÁCIA A VYSVETĽOVANIE</w:t>
              <w:tab/>
              <w:t xml:space="preserve">9</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hyperlink>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Spôsob dorozumievania / komunikácia</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hyperlink>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Vysvetľovanie a doplnenie súťažných podkladov</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hyperlink>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_heading=h.2jxsxqh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Obhliadka miesta poskytovania predmetu zákazky</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0" w:line="252.00000000000003"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ČASŤ III. PRÍPRAVA PONUKY, OBSAH PONUKY</w:t>
              <w:tab/>
              <w:t xml:space="preserve">12</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hyperlink>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_heading=h.3j2qqm3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Vyhotovenie ponuky</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hyperlink>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_heading=h.1y810tw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Náklady na vypracovanie ponuky</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hyperlink>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_heading=h.4i7ojhp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Jazyk ponuky</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hyperlink>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_heading=h.2xcytpi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Mena a ceny uvádzané v ponuke</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hyperlink>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_heading=h.1ci93xb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Zábezpeka</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hyperlink>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_heading=h.3whwml4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Obsah ponuky</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0" w:line="252.00000000000003"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bn6ws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ČASŤ IV. PREDKLADANIE PONÚK</w:t>
              <w:tab/>
              <w:t xml:space="preserve">18</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hyperlink>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_heading=h.qsh70q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Predloženie ponuky</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as4po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hyperlink>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_heading=h.3as4poj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Lehota na predkladanie ponúk</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pxezw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hyperlink>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_heading=h.1pxezwc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Doplnenie, zmena alebo odvolanie (späť vzatie) ponuky, odstúpenie od ponuky</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hyperlink>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_heading=h.49x2ik5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Lehota viazanosti ponúk</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0" w:line="252.00000000000003"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ČASŤ V. OTVÁRANIE A VYHODNOTENIE PONÚK</w:t>
              <w:tab/>
              <w:t xml:space="preserve">19</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hyperlink>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_heading=h.147n2zr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Otváranie ponúk</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hyperlink>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_heading=h.3o7alnk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Vyhodnocovanie ponúk</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3ckvv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hyperlink>
          <w:hyperlink w:anchor="_heading=h.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_heading=h.23ckvvd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Vyhodnotenie splnenia podmienok účasti</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0" w:line="252.00000000000003"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ČASŤ VI. PRIJATIE PONUKY A UZATVORENIE ZMLUVY</w:t>
              <w:tab/>
              <w:t xml:space="preserve">22</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hyperlink>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_heading=h.32hioqz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Postup po vyhodnotení ponúk</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hyperlink>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_heading=h.1hmsyys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Poskytnutie súčinnosti, Uzatvorenie zmluvy</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0" w:line="252.00000000000003"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ČASŤ VII. ĎALŠIE INFORMÁCIE</w:t>
              <w:tab/>
              <w:t xml:space="preserve">24</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w:t>
            </w:r>
          </w:hyperlink>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_heading=h.vx1227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Zrušenie verejného obstarávania</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fwokq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w:t>
            </w:r>
          </w:hyperlink>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_heading=h.3fwokq0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Dôvernosť procesu verejného obstarávania</w:t>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w:t>
            </w:r>
          </w:hyperlink>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_heading=h.1v1yuxt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Využitie subdodávateľov</w:t>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60" w:line="252.00000000000003"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KAPITOLA A.2 PODMIENKY ÚČASTI</w:t>
              <w:tab/>
              <w:t xml:space="preserve">27</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hyperlink>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_heading=h.2u6wntf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Osobné postavenie</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60"/>
            </w:tabs>
            <w:spacing w:after="60" w:before="0" w:line="252.00000000000003" w:lineRule="auto"/>
            <w:ind w:left="567"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hyperlink>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_heading=h.19c6y18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Technická spôsobilosť alebo odborná spôsobilosť</w:t>
            <w:tab/>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60" w:line="252.00000000000003"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KAPITOLA A.3 KRITÉRIA NA VYHODNOTENIE PONÚK A SPÔSOB ICH UPLATNENIA</w:t>
              <w:tab/>
              <w:t xml:space="preserve">39</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60" w:line="252.00000000000003"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mrcu09">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KAPITOLA B.1 OPIS PREDMETU ZÁKAZKY</w:t>
              <w:tab/>
              <w:t xml:space="preserve">40</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60" w:line="252.00000000000003"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lwamvv">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Jadro RPO</w:t>
            </w:r>
          </w:hyperlink>
          <w:hyperlink w:anchor="_heading=h.2lwamvv">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0" w:line="252.00000000000003"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Zoznam služieb Jadra RPO</w:t>
            </w:r>
          </w:hyperlink>
          <w:hyperlink w:anchor="_heading=h.111kx3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60" w:line="252.00000000000003"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l18frh">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Evidované údaje o subjektoch evidencie v Jadre RPO</w:t>
            </w:r>
          </w:hyperlink>
          <w:hyperlink w:anchor="_heading=h.3l18frh">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 xml:space="preserve">46</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60" w:line="252.00000000000003"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06ipza">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Generický register RPO</w:t>
            </w:r>
          </w:hyperlink>
          <w:hyperlink w:anchor="_heading=h.206ipza">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 xml:space="preserve">49</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0" w:line="252.00000000000003"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k668n3">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Životný cyklus evidovaného subjektu v Generickom registri RPO</w:t>
            </w:r>
          </w:hyperlink>
          <w:hyperlink w:anchor="_heading=h.4k668n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0" w:line="252.00000000000003"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zbgiuw">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Evidované údaje o subjektoch evidencie v Generickom registri RPO</w:t>
            </w:r>
          </w:hyperlink>
          <w:hyperlink w:anchor="_heading=h.2zbgiu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52</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0" w:line="252.00000000000003"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egqt2p">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Analýza údajov Generického registra RPO</w:t>
            </w:r>
          </w:hyperlink>
          <w:hyperlink w:anchor="_heading=h.1egqt2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52</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60" w:line="252.00000000000003"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ygebqi">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Generátor IPO</w:t>
            </w:r>
          </w:hyperlink>
          <w:hyperlink w:anchor="_heading=h.3ygebqi">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 xml:space="preserve">53</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60" w:line="252.00000000000003"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cqmetx">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KAPITOLA B.2 SPÔSOB URČENIA CENY</w:t>
              <w:tab/>
              <w:t xml:space="preserve">61</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60" w:line="252.00000000000003"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rvwp1q">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KAPITOLA B.3 OBCHODNÉ PODMIENKY POSKYTOVANIA PREDMETU ZÁKAZKY</w:t>
              <w:tab/>
              <w:t xml:space="preserve">62</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0" w:line="252.00000000000003"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bvk7p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ČASŤ I. VŠEOBECNÉ INFORMÁCIE</w:t>
              <w:tab/>
              <w:t xml:space="preserve">62</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0" w:line="252.00000000000003"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r0uhx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ČASŤ II. NÁVRH ZMLUVY</w:t>
              <w:tab/>
              <w:t xml:space="preserve">62</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0"/>
            </w:tabs>
            <w:spacing w:after="60" w:before="60" w:line="252.00000000000003"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664s55">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PRÍLOHY Č. 1 - 18 SÚŤAŽNÝCH PODKLADOV</w:t>
              <w:tab/>
              <w:t xml:space="preserve">63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F">
      <w:pPr>
        <w:spacing w:after="60" w:before="60" w:line="252.00000000000003" w:lineRule="auto"/>
        <w:jc w:val="both"/>
        <w:rPr>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60">
      <w:pPr>
        <w:pStyle w:val="Heading2"/>
        <w:widowControl w:val="1"/>
        <w:rPr/>
      </w:pPr>
      <w:bookmarkStart w:colFirst="0" w:colLast="0" w:name="_heading=h.3znysh7" w:id="3"/>
      <w:bookmarkEnd w:id="3"/>
      <w:r w:rsidDel="00000000" w:rsidR="00000000" w:rsidRPr="00000000">
        <w:rPr>
          <w:rtl w:val="0"/>
        </w:rPr>
        <w:t xml:space="preserve">KAPITOLA A.1 POKYNY PRE UCHÁDZAČOV</w:t>
      </w:r>
    </w:p>
    <w:p w:rsidR="00000000" w:rsidDel="00000000" w:rsidP="00000000" w:rsidRDefault="00000000" w:rsidRPr="00000000" w14:paraId="00000061">
      <w:pPr>
        <w:pStyle w:val="Heading3"/>
        <w:widowControl w:val="1"/>
        <w:rPr/>
      </w:pPr>
      <w:bookmarkStart w:colFirst="0" w:colLast="0" w:name="_heading=h.2et92p0" w:id="4"/>
      <w:bookmarkEnd w:id="4"/>
      <w:r w:rsidDel="00000000" w:rsidR="00000000" w:rsidRPr="00000000">
        <w:rPr>
          <w:rtl w:val="0"/>
        </w:rPr>
        <w:t xml:space="preserve">ČASŤ I. VŠEOBECNÉ INFORMÁCIE</w:t>
      </w:r>
    </w:p>
    <w:p w:rsidR="00000000" w:rsidDel="00000000" w:rsidP="00000000" w:rsidRDefault="00000000" w:rsidRPr="00000000" w14:paraId="00000062">
      <w:pPr>
        <w:pStyle w:val="Heading4"/>
        <w:widowControl w:val="1"/>
        <w:numPr>
          <w:ilvl w:val="0"/>
          <w:numId w:val="14"/>
        </w:numPr>
        <w:ind w:left="720" w:hanging="360"/>
        <w:rPr/>
      </w:pPr>
      <w:bookmarkStart w:colFirst="0" w:colLast="0" w:name="_heading=h.tyjcwt" w:id="5"/>
      <w:bookmarkEnd w:id="5"/>
      <w:r w:rsidDel="00000000" w:rsidR="00000000" w:rsidRPr="00000000">
        <w:rPr>
          <w:rtl w:val="0"/>
        </w:rPr>
        <w:t xml:space="preserve">Identifikácia verejného obstarávateľa</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Názov organizácie:</w:t>
        <w:tab/>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Štatistický úrad Slovenskej republiky</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Sídlo organizácie:</w:t>
        <w:tab/>
        <w:tab/>
        <w:t xml:space="preserve">Lamačská cesta 3/C, 840 05 Bratislava 45, Slovenská republika</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IČO:</w:t>
        <w:tab/>
        <w:tab/>
        <w:tab/>
        <w:tab/>
        <w:t xml:space="preserve">00 166 197</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DIČ:</w:t>
        <w:tab/>
        <w:tab/>
        <w:tab/>
        <w:tab/>
        <w:t xml:space="preserve">2020830218</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Štatutárny orgán:</w:t>
        <w:tab/>
        <w:tab/>
        <w:t xml:space="preserve">Ing. Martin Nemky, MBA, predseda Štatistického úradu Slovenskej </w:t>
        <w:tab/>
        <w:tab/>
        <w:tab/>
        <w:tab/>
        <w:t xml:space="preserve">republiky</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Internetová adresa (URL):</w:t>
        <w:tab/>
      </w:r>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https://slovak.statistics.sk/</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Profil verejného obstarávateľa:</w:t>
        <w:tab/>
      </w:r>
      <w:hyperlink r:id="rId11">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https://www.uvo.gov.sk/vyhladavanie/vyhladavanie-profilov/detail/674</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tab/>
        <w:tab/>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Adresa, na ktorej sú dostupné dokumenty potrebné na vypracovanie ponuky a na preukázanie splnenia podmienok účasti: </w:t>
      </w:r>
      <w:hyperlink r:id="rId12">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https://josephine.proebiz.com/sk/tender/54917/summary</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podľa § 7 ods. 1 písm. a) zákona o verejnom obstarávaní.</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52.00000000000003"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Kontaktná osoba:</w:t>
        <w:tab/>
        <w:tab/>
        <w:t xml:space="preserve">Mgr. Michaela Hušková</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2126" w:right="0" w:firstLine="709"/>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BIDit s.r.o.</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 xml:space="preserve">Karpatské námestie 7770/10A, 831 06 Bratislava</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Telefón:</w:t>
        <w:tab/>
        <w:tab/>
        <w:tab/>
        <w:t xml:space="preserve">+421 915 760 887</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E-mail:</w:t>
        <w:tab/>
        <w:tab/>
        <w:tab/>
        <w:tab/>
      </w:r>
      <w:hyperlink r:id="rId13">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info@bidit.sk</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(ďalej ako „verejný obstarávateľ“ v príslušnom gramatickom tvare)</w:t>
      </w:r>
    </w:p>
    <w:p w:rsidR="00000000" w:rsidDel="00000000" w:rsidP="00000000" w:rsidRDefault="00000000" w:rsidRPr="00000000" w14:paraId="00000072">
      <w:pPr>
        <w:pStyle w:val="Heading4"/>
        <w:widowControl w:val="1"/>
        <w:numPr>
          <w:ilvl w:val="0"/>
          <w:numId w:val="14"/>
        </w:numPr>
        <w:ind w:left="720" w:hanging="360"/>
        <w:rPr/>
      </w:pPr>
      <w:bookmarkStart w:colFirst="0" w:colLast="0" w:name="_heading=h.3dy6vkm" w:id="6"/>
      <w:bookmarkEnd w:id="6"/>
      <w:r w:rsidDel="00000000" w:rsidR="00000000" w:rsidRPr="00000000">
        <w:rPr>
          <w:rtl w:val="0"/>
        </w:rPr>
        <w:t xml:space="preserve">Úvodné ustanovenia</w:t>
      </w:r>
    </w:p>
    <w:p w:rsidR="00000000" w:rsidDel="00000000" w:rsidP="00000000" w:rsidRDefault="00000000" w:rsidRPr="00000000" w14:paraId="0000007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Predložením svojej ponuky uchádzač v celom rozsahu a bez akýchkoľvek výhrad akceptuje všetky podmienky verejného obstarávateľa, týkajúce sa verejnej súťaže, uvedené v Oznámení o vyhlásení verejného obstarávania, v týchto Súťažných podkladoch a ďalších dokumentoch potrebných na vypracovanie ponuky a na preukázanie splnenia podmienok účasti, vrátane ich doplnení a/alebo zmien, poskytnutých verejným obstarávateľom (ďalej spoločne aj ako „súťažné podklady“ v príslušnom gramatickom tvare).</w:t>
      </w:r>
    </w:p>
    <w:p w:rsidR="00000000" w:rsidDel="00000000" w:rsidP="00000000" w:rsidRDefault="00000000" w:rsidRPr="00000000" w14:paraId="0000007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od uchádzačov očakáva, že si dôkladne preštudujú Oznámenie o vyhlásení verejného obstarávania, súťažné podklady a budú dodržiavať všetky pokyny, formuláre, zmluvné ustanovenia a ďalšie podmienky a špecifikácie uvedené v Oznámení o vyhlásení verejného obstarávania a v súťažných podkladoch.</w:t>
      </w:r>
    </w:p>
    <w:p w:rsidR="00000000" w:rsidDel="00000000" w:rsidP="00000000" w:rsidRDefault="00000000" w:rsidRPr="00000000" w14:paraId="0000007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Ponuka predložená uchádzačom musí byť vypracovaná v súlade s podmienkami uvedenými v Oznámení o vyhlásení verejného obstarávania a v súťažných podkladoch a nesmie obsahovať žiadne výhrady týkajúce sa podmienok verejnej súťaže.</w:t>
      </w:r>
    </w:p>
    <w:p w:rsidR="00000000" w:rsidDel="00000000" w:rsidP="00000000" w:rsidRDefault="00000000" w:rsidRPr="00000000" w14:paraId="00000076">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 súlade s ust. § 20 zákona o verejnom obstarávaní sa bude komunikácia a výmena informácií vo verejnej súťaži uskutočňovať v písomnej forme výhradne prostredníctvom elektronických prostriedkov, spôsobom určeným funkcionalitou elektronického prostriedku JOSEPHINE 2.3 (ďalej ako „JOSEPHINE“) (</w:t>
      </w:r>
      <w:hyperlink r:id="rId14">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https://josephine.proebiz.com/</w:t>
        </w:r>
      </w:hyperlink>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ktorý spĺňa všetky požiadavky stanovené v ust. § 20 zákona o verejnom obstarávaní.</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 bezproblémové používanie systému JOSEPHINE je nutné používať jeden z podporovaných webových prehliadačov:</w:t>
      </w:r>
    </w:p>
    <w:p w:rsidR="00000000" w:rsidDel="00000000" w:rsidP="00000000" w:rsidRDefault="00000000" w:rsidRPr="00000000" w14:paraId="00000078">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Mozilla Firefox verzia 13.0 a vyššia, alebo</w:t>
      </w:r>
    </w:p>
    <w:p w:rsidR="00000000" w:rsidDel="00000000" w:rsidP="00000000" w:rsidRDefault="00000000" w:rsidRPr="00000000" w14:paraId="00000079">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Google Chrome, alebo</w:t>
      </w:r>
    </w:p>
    <w:p w:rsidR="00000000" w:rsidDel="00000000" w:rsidP="00000000" w:rsidRDefault="00000000" w:rsidRPr="00000000" w14:paraId="0000007A">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Microsoft Edge.</w:t>
      </w:r>
    </w:p>
    <w:p w:rsidR="00000000" w:rsidDel="00000000" w:rsidP="00000000" w:rsidRDefault="00000000" w:rsidRPr="00000000" w14:paraId="0000007B">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Registrácia:</w:t>
      </w:r>
    </w:p>
    <w:p w:rsidR="00000000" w:rsidDel="00000000" w:rsidP="00000000" w:rsidRDefault="00000000" w:rsidRPr="00000000" w14:paraId="0000007C">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má možnosť registrovať sa do systému JOSEPHINE pomocou hesla alebo aj pomocou občianskeho preukazom s elektronickým čipom a bezpečnostným osobnostným kódom (eID).</w:t>
      </w:r>
    </w:p>
    <w:p w:rsidR="00000000" w:rsidDel="00000000" w:rsidP="00000000" w:rsidRDefault="00000000" w:rsidRPr="00000000" w14:paraId="0000007D">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Predkladanie ponúk je umožnené iba autentifikovaným uchádzačom. Autentifikáciu je možné vykonať týmito spôsobmi:</w:t>
      </w:r>
    </w:p>
    <w:p w:rsidR="00000000" w:rsidDel="00000000" w:rsidP="00000000" w:rsidRDefault="00000000" w:rsidRPr="00000000" w14:paraId="0000007E">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60" w:before="60" w:line="252.00000000000003" w:lineRule="auto"/>
        <w:ind w:left="2268" w:right="0" w:hanging="8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rsidR="00000000" w:rsidDel="00000000" w:rsidP="00000000" w:rsidRDefault="00000000" w:rsidRPr="00000000" w14:paraId="0000007F">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60" w:before="60" w:line="252.00000000000003" w:lineRule="auto"/>
        <w:ind w:left="2268" w:right="0" w:hanging="8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rsidR="00000000" w:rsidDel="00000000" w:rsidP="00000000" w:rsidRDefault="00000000" w:rsidRPr="00000000" w14:paraId="00000080">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60" w:before="60" w:line="252.00000000000003" w:lineRule="auto"/>
        <w:ind w:left="2268" w:right="0" w:hanging="8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000000" w:rsidDel="00000000" w:rsidP="00000000" w:rsidRDefault="00000000" w:rsidRPr="00000000" w14:paraId="00000081">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60" w:before="60" w:line="252.00000000000003" w:lineRule="auto"/>
        <w:ind w:left="2268" w:right="0" w:hanging="85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rsidR="00000000" w:rsidDel="00000000" w:rsidP="00000000" w:rsidRDefault="00000000" w:rsidRPr="00000000" w14:paraId="00000082">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Autentifikovaný uchádzač si po prihlásení do systému JOSEPHINE v prehľade - zozname obstarávaní vyberie túto verejnú súťaž a vloží svoju ponuku do určeného formulára na príjem ponúk, ktorý nájde v záložke „Ponuky a žiadosti“.</w:t>
      </w:r>
    </w:p>
    <w:p w:rsidR="00000000" w:rsidDel="00000000" w:rsidP="00000000" w:rsidRDefault="00000000" w:rsidRPr="00000000" w14:paraId="0000008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Ďalšie technické požiadavky na používanie systému JOSEPHINE, manuály a iné podmienky používania systému JOSEPHINE sú zverejnené na stránke systému JOSEPHINE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hyperlink r:id="rId15">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https://josephine.proebiz.com/</w:t>
        </w:r>
      </w:hyperlink>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4">
      <w:pPr>
        <w:pStyle w:val="Heading4"/>
        <w:widowControl w:val="1"/>
        <w:numPr>
          <w:ilvl w:val="0"/>
          <w:numId w:val="14"/>
        </w:numPr>
        <w:ind w:left="720" w:hanging="360"/>
        <w:rPr/>
      </w:pPr>
      <w:bookmarkStart w:colFirst="0" w:colLast="0" w:name="_heading=h.1t3h5sf" w:id="7"/>
      <w:bookmarkEnd w:id="7"/>
      <w:r w:rsidDel="00000000" w:rsidR="00000000" w:rsidRPr="00000000">
        <w:rPr>
          <w:rtl w:val="0"/>
        </w:rPr>
        <w:t xml:space="preserve">Predmet súťažných podkladov a postup zadávania zákazky</w:t>
      </w:r>
    </w:p>
    <w:p w:rsidR="00000000" w:rsidDel="00000000" w:rsidP="00000000" w:rsidRDefault="00000000" w:rsidRPr="00000000" w14:paraId="0000008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Predmetom súťažných podkladov je stanovenie postupu pri zadávaní zákazky na poskytovanie služieb v súlade s ust. § 3 ods. 4 zákona o verejnom obstarávaní.</w:t>
      </w:r>
    </w:p>
    <w:p w:rsidR="00000000" w:rsidDel="00000000" w:rsidP="00000000" w:rsidRDefault="00000000" w:rsidRPr="00000000" w14:paraId="00000086">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Predmet zákazky je bližšie špecifikovaný v Kapitole A.1 Pokyny pre uchádzačov, ods. 4. súťažných podkladov a v Kapitole B.1 Opis predmetu zákazky súťažných podkladov.</w:t>
      </w:r>
    </w:p>
    <w:p w:rsidR="00000000" w:rsidDel="00000000" w:rsidP="00000000" w:rsidRDefault="00000000" w:rsidRPr="00000000" w14:paraId="00000087">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Postup zadávania zákazky použitý verejným obstarávateľom: verejná súťaž podľa ust. § 66 zákona o verejnom obstarávaní, 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 (ďalej aj ako „verejná súťaž“ v príslušnom gramatickom tvare).</w:t>
      </w:r>
    </w:p>
    <w:p w:rsidR="00000000" w:rsidDel="00000000" w:rsidP="00000000" w:rsidRDefault="00000000" w:rsidRPr="00000000" w14:paraId="00000088">
      <w:pPr>
        <w:pStyle w:val="Heading4"/>
        <w:widowControl w:val="1"/>
        <w:numPr>
          <w:ilvl w:val="0"/>
          <w:numId w:val="14"/>
        </w:numPr>
        <w:ind w:left="720" w:hanging="360"/>
        <w:rPr/>
      </w:pPr>
      <w:bookmarkStart w:colFirst="0" w:colLast="0" w:name="_heading=h.4d34og8" w:id="8"/>
      <w:bookmarkEnd w:id="8"/>
      <w:r w:rsidDel="00000000" w:rsidR="00000000" w:rsidRPr="00000000">
        <w:rPr>
          <w:rtl w:val="0"/>
        </w:rPr>
        <w:t xml:space="preserve">Predmet zákazky</w:t>
      </w:r>
    </w:p>
    <w:p w:rsidR="00000000" w:rsidDel="00000000" w:rsidP="00000000" w:rsidRDefault="00000000" w:rsidRPr="00000000" w14:paraId="00000089">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Predmetom zákazky s názvom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Služby podpory prevádzky a rozvoja diela Register a identifikátor právnických osôb a podnikateľov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je poskytovanie</w:t>
      </w:r>
    </w:p>
    <w:p w:rsidR="00000000" w:rsidDel="00000000" w:rsidP="00000000" w:rsidRDefault="00000000" w:rsidRPr="00000000" w14:paraId="0000008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Služby údržby, podpory prevádzky a rozvoja diela Register a identifikátor právnických osôb a podnikateľov podľa ods. (IV) Kapitoly B.1 Opis predmetu zákazky súťažných podkladov, a podrobnejšie popísaných v ods. (III) Kapitoly B.1 Opis predmetu zákazky súťažných podkladov, s použitím skratiek podľa ods. (I) Kapitoly B.1 Opis predmetu zákazky súťažných podkladov a v rozsahu legislatívnych požiadaviek podľa ods. (II) Kapitoly B.1 Opis predmetu zákazky súťažných podkladov (ďalej aj ako „predmet zákazky“ v príslušnom gramatickom tvare). </w:t>
      </w:r>
    </w:p>
    <w:p w:rsidR="00000000" w:rsidDel="00000000" w:rsidP="00000000" w:rsidRDefault="00000000" w:rsidRPr="00000000" w14:paraId="0000008B">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Nomenklatúra - spoločný slovník obstarávania (CPV):</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820"/>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Hlavný predmet:</w:t>
        <w:tab/>
        <w:t xml:space="preserve">72000000-5</w:t>
        <w:tab/>
        <w:t xml:space="preserve">-</w:t>
        <w:tab/>
        <w:t xml:space="preserve">Služby informačných technológií: konzultácie, vývoj softvéru, internet a podpora</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962"/>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Doplňujúce predmety:</w:t>
        <w:tab/>
        <w:t xml:space="preserve">72212100-0</w:t>
        <w:tab/>
        <w:t xml:space="preserve">-</w:t>
        <w:tab/>
        <w:t xml:space="preserve">Služby na vývoj softvéru pre konkrétne odvetvie</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962"/>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72250000-2</w:t>
        <w:tab/>
        <w:t xml:space="preserve">-</w:t>
        <w:tab/>
        <w:t xml:space="preserve">Služby týkajúce sa podpory systému</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962"/>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72267000-4</w:t>
        <w:tab/>
        <w:t xml:space="preserve">-</w:t>
        <w:tab/>
        <w:t xml:space="preserve">Služby na údržbu a opravu softvéru</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962"/>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72268000-1 </w:t>
        <w:tab/>
        <w:t xml:space="preserve">-</w:t>
        <w:tab/>
        <w:t xml:space="preserve">Dodávky softvéru</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962"/>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72310000-1</w:t>
        <w:tab/>
        <w:t xml:space="preserve">-</w:t>
        <w:tab/>
        <w:t xml:space="preserve">Spracovanie údajov</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962"/>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72200000-7</w:t>
        <w:tab/>
        <w:t xml:space="preserve">-</w:t>
        <w:tab/>
        <w:t xml:space="preserve">Programovanie softvéru a poradenstvo</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962"/>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72212000-4</w:t>
        <w:tab/>
        <w:t xml:space="preserve">-</w:t>
        <w:tab/>
        <w:t xml:space="preserve">Programovanie aplikačného softvéru</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962"/>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48810000-9</w:t>
        <w:tab/>
        <w:t xml:space="preserve">-</w:t>
        <w:tab/>
        <w:t xml:space="preserve">Informačné systémy</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962"/>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72240000-9</w:t>
        <w:tab/>
        <w:t xml:space="preserve">-</w:t>
        <w:tab/>
        <w:t xml:space="preserve">Systémové analýzy a programovanie</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962"/>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72230000-6</w:t>
        <w:tab/>
        <w:t xml:space="preserve">-</w:t>
        <w:tab/>
        <w:t xml:space="preserve">Vývoj zákazníckeho softvéru (softvéru na objednávku)</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962"/>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72261000-2</w:t>
        <w:tab/>
        <w:t xml:space="preserve">-</w:t>
        <w:tab/>
        <w:t xml:space="preserve">Softvérové podporné služby</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820"/>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72212211-1</w:t>
        <w:tab/>
        <w:t xml:space="preserve">-</w:t>
        <w:tab/>
        <w:t xml:space="preserve">Služby na vývoj softvéru pre vzájomnú prepojiteľnosť platforiem</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962"/>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72263000-6</w:t>
        <w:tab/>
        <w:t xml:space="preserve">-</w:t>
        <w:tab/>
        <w:t xml:space="preserve">Implementácia softvéru</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962"/>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72254100-1</w:t>
        <w:tab/>
        <w:t xml:space="preserve">-</w:t>
        <w:tab/>
        <w:t xml:space="preserve">Testovanie systémov</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962"/>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72265000-0</w:t>
        <w:tab/>
        <w:t xml:space="preserve">-</w:t>
        <w:tab/>
        <w:t xml:space="preserve">Konfigurovanie softvéru</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5"/>
          <w:tab w:val="left" w:leader="none" w:pos="4253"/>
          <w:tab w:val="left" w:leader="none" w:pos="4962"/>
        </w:tabs>
        <w:spacing w:after="60" w:before="60" w:line="252.00000000000003" w:lineRule="auto"/>
        <w:ind w:left="4820" w:right="0" w:hanging="425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72311200-0</w:t>
        <w:tab/>
        <w:t xml:space="preserve">-</w:t>
        <w:tab/>
        <w:t xml:space="preserve">Služby týkajúce sa dávkového spracovania</w:t>
      </w:r>
    </w:p>
    <w:p w:rsidR="00000000" w:rsidDel="00000000" w:rsidP="00000000" w:rsidRDefault="00000000" w:rsidRPr="00000000" w14:paraId="0000009D">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Komplexnosť dodávky: uchádzač predloží ponuku na celý predmet zákazky tak, ako je to požadované v súťažných podkladoch. Ponuky predložené na časť predmetu zákazky nebudú akceptované, bude sa na ne hľadieť ako na ponuky, ktoré nespĺňajú požiadavky na predmet zákazky.</w:t>
      </w:r>
    </w:p>
    <w:p w:rsidR="00000000" w:rsidDel="00000000" w:rsidP="00000000" w:rsidRDefault="00000000" w:rsidRPr="00000000" w14:paraId="0000009E">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Predmetom zákazky je dodávka komplexných služieb v oblasti podpory prevádzky a rozvoja diela RPO:</w:t>
      </w:r>
    </w:p>
    <w:p w:rsidR="00000000" w:rsidDel="00000000" w:rsidP="00000000" w:rsidRDefault="00000000" w:rsidRPr="00000000" w14:paraId="0000009F">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707"/>
        </w:tabs>
        <w:spacing w:after="120" w:before="0" w:line="240" w:lineRule="auto"/>
        <w:ind w:left="140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Služby podpory prevádzky:</w:t>
      </w:r>
    </w:p>
    <w:p w:rsidR="00000000" w:rsidDel="00000000" w:rsidP="00000000" w:rsidRDefault="00000000" w:rsidRPr="00000000" w14:paraId="000000A0">
      <w:pPr>
        <w:spacing w:before="154" w:lineRule="auto"/>
        <w:ind w:left="1701" w:hanging="284.00000000000006"/>
        <w:rPr>
          <w:color w:val="000000"/>
          <w:sz w:val="22"/>
          <w:szCs w:val="22"/>
        </w:rPr>
      </w:pPr>
      <w:r w:rsidDel="00000000" w:rsidR="00000000" w:rsidRPr="00000000">
        <w:rPr>
          <w:color w:val="000000"/>
          <w:sz w:val="22"/>
          <w:szCs w:val="22"/>
          <w:rtl w:val="0"/>
        </w:rPr>
        <w:t xml:space="preserve">-</w:t>
        <w:tab/>
        <w:t xml:space="preserve">Služby Service desku a Callcentra</w:t>
      </w:r>
    </w:p>
    <w:p w:rsidR="00000000" w:rsidDel="00000000" w:rsidP="00000000" w:rsidRDefault="00000000" w:rsidRPr="00000000" w14:paraId="000000A1">
      <w:pPr>
        <w:spacing w:before="154" w:lineRule="auto"/>
        <w:ind w:left="1701" w:hanging="284.00000000000006"/>
        <w:rPr>
          <w:color w:val="000000"/>
          <w:sz w:val="22"/>
          <w:szCs w:val="22"/>
        </w:rPr>
      </w:pPr>
      <w:r w:rsidDel="00000000" w:rsidR="00000000" w:rsidRPr="00000000">
        <w:rPr>
          <w:color w:val="000000"/>
          <w:sz w:val="22"/>
          <w:szCs w:val="22"/>
          <w:rtl w:val="0"/>
        </w:rPr>
        <w:t xml:space="preserve">-</w:t>
        <w:tab/>
        <w:t xml:space="preserve">Služby údržby aplikačného softvéru pre produkčný a testovací systém</w:t>
      </w:r>
    </w:p>
    <w:p w:rsidR="00000000" w:rsidDel="00000000" w:rsidP="00000000" w:rsidRDefault="00000000" w:rsidRPr="00000000" w14:paraId="000000A2">
      <w:pPr>
        <w:spacing w:before="154" w:lineRule="auto"/>
        <w:ind w:left="1701" w:hanging="284.00000000000006"/>
        <w:rPr>
          <w:color w:val="000000"/>
          <w:sz w:val="22"/>
          <w:szCs w:val="22"/>
        </w:rPr>
      </w:pPr>
      <w:r w:rsidDel="00000000" w:rsidR="00000000" w:rsidRPr="00000000">
        <w:rPr>
          <w:color w:val="000000"/>
          <w:sz w:val="22"/>
          <w:szCs w:val="22"/>
          <w:rtl w:val="0"/>
        </w:rPr>
        <w:t xml:space="preserve">-</w:t>
        <w:tab/>
        <w:t xml:space="preserve">Služby podpory APV a odstraňovania chýb a incidentov pre produkčný a testovací systém</w:t>
      </w:r>
    </w:p>
    <w:p w:rsidR="00000000" w:rsidDel="00000000" w:rsidP="00000000" w:rsidRDefault="00000000" w:rsidRPr="00000000" w14:paraId="000000A3">
      <w:pPr>
        <w:spacing w:before="154" w:lineRule="auto"/>
        <w:ind w:left="1701" w:hanging="284.00000000000006"/>
        <w:rPr>
          <w:color w:val="000000"/>
          <w:sz w:val="22"/>
          <w:szCs w:val="22"/>
        </w:rPr>
      </w:pPr>
      <w:r w:rsidDel="00000000" w:rsidR="00000000" w:rsidRPr="00000000">
        <w:rPr>
          <w:color w:val="000000"/>
          <w:sz w:val="22"/>
          <w:szCs w:val="22"/>
          <w:rtl w:val="0"/>
        </w:rPr>
        <w:t xml:space="preserve">-</w:t>
        <w:tab/>
        <w:t xml:space="preserve">Služby technologickej podpory pre produkčný a testovací systém</w:t>
      </w:r>
    </w:p>
    <w:p w:rsidR="00000000" w:rsidDel="00000000" w:rsidP="00000000" w:rsidRDefault="00000000" w:rsidRPr="00000000" w14:paraId="000000A4">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707"/>
        </w:tabs>
        <w:spacing w:after="120" w:before="0" w:line="240" w:lineRule="auto"/>
        <w:ind w:left="140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Služby rozvoja</w:t>
      </w:r>
    </w:p>
    <w:p w:rsidR="00000000" w:rsidDel="00000000" w:rsidP="00000000" w:rsidRDefault="00000000" w:rsidRPr="00000000" w14:paraId="000000A5">
      <w:pPr>
        <w:spacing w:before="158" w:lineRule="auto"/>
        <w:jc w:val="both"/>
        <w:rPr>
          <w:color w:val="000000"/>
          <w:sz w:val="22"/>
          <w:szCs w:val="22"/>
        </w:rPr>
      </w:pPr>
      <w:r w:rsidDel="00000000" w:rsidR="00000000" w:rsidRPr="00000000">
        <w:rPr>
          <w:color w:val="000000"/>
          <w:sz w:val="22"/>
          <w:szCs w:val="22"/>
          <w:rtl w:val="0"/>
        </w:rPr>
        <w:t xml:space="preserve">Podľa § 28 ods. 1 zákona o verejnom obstarávaní: „Verejný obstarávateľ a obstarávateľ môžu rozdeliť zákazku alebo koncesiu na samostatné časti, pričom v oznámení o vyhlásení verejného obstarávania, oznámení použitom ako výzva na súťaž alebo v oznámení o koncesii určia veľkosť a predmet takýchto častí a uvedú, či ponuky možno predložiť na jednu časť, niekoľko častí alebo všetky časti.“ </w:t>
      </w:r>
    </w:p>
    <w:p w:rsidR="00000000" w:rsidDel="00000000" w:rsidP="00000000" w:rsidRDefault="00000000" w:rsidRPr="00000000" w14:paraId="000000A6">
      <w:pPr>
        <w:spacing w:before="154" w:lineRule="auto"/>
        <w:jc w:val="both"/>
        <w:rPr>
          <w:color w:val="000000"/>
          <w:sz w:val="22"/>
          <w:szCs w:val="22"/>
        </w:rPr>
      </w:pPr>
      <w:r w:rsidDel="00000000" w:rsidR="00000000" w:rsidRPr="00000000">
        <w:rPr>
          <w:color w:val="000000"/>
          <w:sz w:val="22"/>
          <w:szCs w:val="22"/>
          <w:rtl w:val="0"/>
        </w:rPr>
        <w:t xml:space="preserve">Podľa § 28 ods. 2 zákona o verejnom obstarávaní: „Ak verejný obstarávateľ nerozdelí zákazku na časti, odôvodnenie uvedie v oznámení o vyhlásení verejného obstarávania alebo v súťažných podkladoch; táto povinnosť sa nevzťahuje na zadávanie koncesie.“ </w:t>
      </w:r>
    </w:p>
    <w:p w:rsidR="00000000" w:rsidDel="00000000" w:rsidP="00000000" w:rsidRDefault="00000000" w:rsidRPr="00000000" w14:paraId="000000A7">
      <w:pPr>
        <w:spacing w:before="158" w:lineRule="auto"/>
        <w:jc w:val="both"/>
        <w:rPr>
          <w:color w:val="000000"/>
          <w:sz w:val="22"/>
          <w:szCs w:val="22"/>
        </w:rPr>
      </w:pPr>
      <w:r w:rsidDel="00000000" w:rsidR="00000000" w:rsidRPr="00000000">
        <w:rPr>
          <w:color w:val="000000"/>
          <w:sz w:val="22"/>
          <w:szCs w:val="22"/>
          <w:rtl w:val="0"/>
        </w:rPr>
        <w:t xml:space="preserve">Rozdelenie predmetu zákazky na časti je technicky a procesne nerealizovateľné, a to z dôvodu, že predmetná dodávka je súborom služieb, ktoré bezprostredne spolu súvisia a sú viazané na jedno existujúce dielo informačný systém Register a identifikátor právnických osôb a podnikateľov a zároveň je kladená požiadavka na vysokú dostupnosť služieb informačného systému v režime 24x7 ako referenčného registra e-Governmentu. Uchádzač má možnosť zvoliť dodanie služby využitím rôznych subdodávateľov, ale musí byť zodpovedný za to, že dodávané komplexné služby budú dodané tak, ako sú opísané v predmete zákazky. Pri ďalšom delení predmetných služieb by nebolo možné garantovať dostupnosť služieb informačného systému RPO na úrovni všetkých služieb definovaných v predmete zákazky. Z toho dôvodu verejný obstarávateľ požaduje, aby zodpovednosť za poskytované služby podpory prevádzky a rozvoja informačného systému RPO niesol jeden dodávateľ.</w:t>
      </w:r>
    </w:p>
    <w:p w:rsidR="00000000" w:rsidDel="00000000" w:rsidP="00000000" w:rsidRDefault="00000000" w:rsidRPr="00000000" w14:paraId="000000A8">
      <w:pPr>
        <w:tabs>
          <w:tab w:val="left" w:leader="none" w:pos="6055"/>
          <w:tab w:val="left" w:leader="none" w:pos="7125"/>
        </w:tabs>
        <w:spacing w:before="154" w:lineRule="auto"/>
        <w:jc w:val="both"/>
        <w:rPr>
          <w:color w:val="000000"/>
          <w:sz w:val="22"/>
          <w:szCs w:val="22"/>
        </w:rPr>
      </w:pPr>
      <w:r w:rsidDel="00000000" w:rsidR="00000000" w:rsidRPr="00000000">
        <w:rPr>
          <w:color w:val="000000"/>
          <w:sz w:val="22"/>
          <w:szCs w:val="22"/>
          <w:rtl w:val="0"/>
        </w:rPr>
        <w:t xml:space="preserve">Podrobná špecifikácia je uvedená v v časti B1 </w:t>
      </w:r>
      <w:r w:rsidDel="00000000" w:rsidR="00000000" w:rsidRPr="00000000">
        <w:rPr>
          <w:b w:val="1"/>
          <w:i w:val="1"/>
          <w:color w:val="000000"/>
          <w:sz w:val="22"/>
          <w:szCs w:val="22"/>
          <w:rtl w:val="0"/>
        </w:rPr>
        <w:t xml:space="preserve">Opis predmetu zákazky</w:t>
      </w:r>
      <w:r w:rsidDel="00000000" w:rsidR="00000000" w:rsidRPr="00000000">
        <w:rPr>
          <w:color w:val="000000"/>
          <w:sz w:val="22"/>
          <w:szCs w:val="22"/>
          <w:rtl w:val="0"/>
        </w:rPr>
        <w:t xml:space="preserve"> týchto súťažných podkladov.</w:t>
      </w:r>
    </w:p>
    <w:p w:rsidR="00000000" w:rsidDel="00000000" w:rsidP="00000000" w:rsidRDefault="00000000" w:rsidRPr="00000000" w14:paraId="000000A9">
      <w:pPr>
        <w:spacing w:before="154" w:lineRule="auto"/>
        <w:jc w:val="both"/>
        <w:rPr>
          <w:color w:val="000000"/>
          <w:sz w:val="22"/>
          <w:szCs w:val="22"/>
        </w:rPr>
      </w:pPr>
      <w:r w:rsidDel="00000000" w:rsidR="00000000" w:rsidRPr="00000000">
        <w:rPr>
          <w:color w:val="000000"/>
          <w:sz w:val="22"/>
          <w:szCs w:val="22"/>
          <w:rtl w:val="0"/>
        </w:rPr>
        <w:t xml:space="preserve">Prípadné rozdelenie na časti alebo vyhlásenie viacerých verejných obstarávaní neznamená rozšírenie potenciálneho relevantného trhu. </w:t>
      </w:r>
    </w:p>
    <w:p w:rsidR="00000000" w:rsidDel="00000000" w:rsidP="00000000" w:rsidRDefault="00000000" w:rsidRPr="00000000" w14:paraId="000000AA">
      <w:pPr>
        <w:spacing w:before="154" w:lineRule="auto"/>
        <w:jc w:val="both"/>
        <w:rPr>
          <w:color w:val="000000"/>
          <w:sz w:val="22"/>
          <w:szCs w:val="22"/>
        </w:rPr>
      </w:pPr>
      <w:r w:rsidDel="00000000" w:rsidR="00000000" w:rsidRPr="00000000">
        <w:rPr>
          <w:color w:val="000000"/>
          <w:sz w:val="22"/>
          <w:szCs w:val="22"/>
          <w:rtl w:val="0"/>
        </w:rPr>
        <w:t xml:space="preserve">Najmä s ohľadom na miestne, vecné, funkčné aj časové väzby, charakter  predmetu zákazky, by bolo rozdelenie predmetu zákazky po technickej stránke nelogické, neúčelné, nehospodárne až objektívne nerealizovateľné.</w:t>
      </w:r>
    </w:p>
    <w:p w:rsidR="00000000" w:rsidDel="00000000" w:rsidP="00000000" w:rsidRDefault="00000000" w:rsidRPr="00000000" w14:paraId="000000AB">
      <w:pPr>
        <w:spacing w:before="159" w:lineRule="auto"/>
        <w:jc w:val="both"/>
        <w:rPr>
          <w:color w:val="000000"/>
          <w:sz w:val="22"/>
          <w:szCs w:val="22"/>
        </w:rPr>
      </w:pPr>
      <w:r w:rsidDel="00000000" w:rsidR="00000000" w:rsidRPr="00000000">
        <w:rPr>
          <w:color w:val="000000"/>
          <w:sz w:val="22"/>
          <w:szCs w:val="22"/>
          <w:rtl w:val="0"/>
        </w:rPr>
        <w:t xml:space="preserve">Nerozdelenie predmetu zákazky na časti je opodstatnené a odôvodnené a nepredstavuje porušenie princípov verejného obstarávania. </w:t>
      </w:r>
    </w:p>
    <w:p w:rsidR="00000000" w:rsidDel="00000000" w:rsidP="00000000" w:rsidRDefault="00000000" w:rsidRPr="00000000" w14:paraId="000000AC">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70" w:right="0" w:hanging="57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Celková predpokladaná hodnota zákazky: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6 481 564,69 EUR bez DPH</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AD">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Podrobné vymedzenie predmetu zákazky je uvedené v Kapitole B.1 Opis predmetu zákazky súťažných podkladov.</w:t>
      </w:r>
    </w:p>
    <w:p w:rsidR="00000000" w:rsidDel="00000000" w:rsidP="00000000" w:rsidRDefault="00000000" w:rsidRPr="00000000" w14:paraId="000000AE">
      <w:pPr>
        <w:pStyle w:val="Heading4"/>
        <w:widowControl w:val="1"/>
        <w:numPr>
          <w:ilvl w:val="0"/>
          <w:numId w:val="14"/>
        </w:numPr>
        <w:ind w:left="720" w:hanging="360"/>
        <w:rPr/>
      </w:pPr>
      <w:bookmarkStart w:colFirst="0" w:colLast="0" w:name="_heading=h.2s8eyo1" w:id="9"/>
      <w:bookmarkEnd w:id="9"/>
      <w:r w:rsidDel="00000000" w:rsidR="00000000" w:rsidRPr="00000000">
        <w:rPr>
          <w:rtl w:val="0"/>
        </w:rPr>
        <w:t xml:space="preserve">Variantné riešenia</w:t>
      </w:r>
    </w:p>
    <w:p w:rsidR="00000000" w:rsidDel="00000000" w:rsidP="00000000" w:rsidRDefault="00000000" w:rsidRPr="00000000" w14:paraId="000000AF">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Predloženie variantného riešenia sa neumožňuje. Ak súčasťou ponuky bude variantné riešenie, bude sa naň hľadieť, akoby nebolo predložené.</w:t>
      </w:r>
    </w:p>
    <w:p w:rsidR="00000000" w:rsidDel="00000000" w:rsidP="00000000" w:rsidRDefault="00000000" w:rsidRPr="00000000" w14:paraId="000000B0">
      <w:pPr>
        <w:pStyle w:val="Heading4"/>
        <w:widowControl w:val="1"/>
        <w:numPr>
          <w:ilvl w:val="0"/>
          <w:numId w:val="14"/>
        </w:numPr>
        <w:ind w:left="720" w:hanging="360"/>
        <w:rPr/>
      </w:pPr>
      <w:bookmarkStart w:colFirst="0" w:colLast="0" w:name="_heading=h.17dp8vu" w:id="10"/>
      <w:bookmarkEnd w:id="10"/>
      <w:r w:rsidDel="00000000" w:rsidR="00000000" w:rsidRPr="00000000">
        <w:rPr>
          <w:rtl w:val="0"/>
        </w:rPr>
        <w:t xml:space="preserve">Miesto a termín poskytovania predmetu zákazky</w:t>
      </w:r>
    </w:p>
    <w:p w:rsidR="00000000" w:rsidDel="00000000" w:rsidP="00000000" w:rsidRDefault="00000000" w:rsidRPr="00000000" w14:paraId="000000B1">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Miesto poskytovania predmetu zákazky: poskytovanie služieb bude úspešný uchádzač zabezpečovať najmä v sídle verejného obstarávateľa, alebo vzdialeným prístupom.</w:t>
      </w: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Termín poskytovania predmetu zákazky: počas celej doby účinnosti zmluvy - dvadsaťštyri (24) mesiacov odo dňa nadobudnutia účinnosti zmluvy, pričom zmluva nadobudne účinnosť v zmysle § 47a zákona č. 40/1964 Zb. Občiansky zákonník v znení neskorších predpisov dňom nasledujúcim po dni jej zverejnenia v Centrálnom registri zmlúv vedenom Úradom vlády Slovenskej republiky s možnosťou uplatnenia opcie najviac však na dobu dvadsaťštyri (24) mesiacov.</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pStyle w:val="Heading4"/>
        <w:widowControl w:val="1"/>
        <w:numPr>
          <w:ilvl w:val="0"/>
          <w:numId w:val="14"/>
        </w:numPr>
        <w:ind w:left="720" w:hanging="360"/>
        <w:rPr/>
      </w:pPr>
      <w:bookmarkStart w:colFirst="0" w:colLast="0" w:name="_heading=h.3rdcrjn" w:id="11"/>
      <w:bookmarkEnd w:id="11"/>
      <w:r w:rsidDel="00000000" w:rsidR="00000000" w:rsidRPr="00000000">
        <w:rPr>
          <w:rtl w:val="0"/>
        </w:rPr>
        <w:t xml:space="preserve">Typ zmluvy</w:t>
      </w:r>
    </w:p>
    <w:p w:rsidR="00000000" w:rsidDel="00000000" w:rsidP="00000000" w:rsidRDefault="00000000" w:rsidRPr="00000000" w14:paraId="000000B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uzatvorí s jediným úspešným uchádzačom Zmluvu o poskytovaní služieb podpory prevádzky, údržby a rozvoja informačných systémov podľa § 269 ods. 2 zákona č. 513/1991 Zb. Obchodný zákonník, v znení neskorších predpisov a § 65 a nasl. zákona č. 185/2015 Z. z. Autorského zákona v znení neskorších predpisov (ďalej aj ako „zmluva“ v príslušnom gramatickom tvare).</w:t>
      </w:r>
    </w:p>
    <w:p w:rsidR="00000000" w:rsidDel="00000000" w:rsidP="00000000" w:rsidRDefault="00000000" w:rsidRPr="00000000" w14:paraId="000000B6">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Podrobné vymedzenie zmluvných podmienok poskytovania predmetu zákazky je uvedené v Kapitole B.3 Obchodné podmienky poskytovania predmetu zákazky súťažných podkladov v nadväznosti na Kapitolu B.1 Opis predmetu zákazky súťažných podkladov a Kapitolu B.2 Spôsob určenia ceny súťažných podkladov.</w:t>
      </w:r>
    </w:p>
    <w:p w:rsidR="00000000" w:rsidDel="00000000" w:rsidP="00000000" w:rsidRDefault="00000000" w:rsidRPr="00000000" w14:paraId="000000B7">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Spôsob plnenia zmluvy je uvedený v Kapitole B.3 Obchodné podmienky poskytovania predmetu zákazky súťažných podkladov.</w:t>
      </w:r>
    </w:p>
    <w:p w:rsidR="00000000" w:rsidDel="00000000" w:rsidP="00000000" w:rsidRDefault="00000000" w:rsidRPr="00000000" w14:paraId="000000B8">
      <w:pPr>
        <w:pStyle w:val="Heading4"/>
        <w:widowControl w:val="1"/>
        <w:numPr>
          <w:ilvl w:val="0"/>
          <w:numId w:val="14"/>
        </w:numPr>
        <w:ind w:left="720" w:hanging="360"/>
        <w:rPr/>
      </w:pPr>
      <w:bookmarkStart w:colFirst="0" w:colLast="0" w:name="_heading=h.26in1rg" w:id="12"/>
      <w:bookmarkEnd w:id="12"/>
      <w:r w:rsidDel="00000000" w:rsidR="00000000" w:rsidRPr="00000000">
        <w:rPr>
          <w:rtl w:val="0"/>
        </w:rPr>
        <w:t xml:space="preserve">Zdroj finančných prostriedkov, Platobné podmienky</w:t>
      </w:r>
    </w:p>
    <w:p w:rsidR="00000000" w:rsidDel="00000000" w:rsidP="00000000" w:rsidRDefault="00000000" w:rsidRPr="00000000" w14:paraId="000000B9">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Predmet zákazky bude financovaný z rozpočtových prostriedkov verejného obstarávateľa vyčlenených na tento účel.</w:t>
      </w:r>
    </w:p>
    <w:p w:rsidR="00000000" w:rsidDel="00000000" w:rsidP="00000000" w:rsidRDefault="00000000" w:rsidRPr="00000000" w14:paraId="000000BA">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Platobné podmienky sú uvedené v Kapitole B.3 Obchodné podmienky poskytovania predmetu zákazky súťažných podkladov.</w:t>
      </w:r>
    </w:p>
    <w:p w:rsidR="00000000" w:rsidDel="00000000" w:rsidP="00000000" w:rsidRDefault="00000000" w:rsidRPr="00000000" w14:paraId="000000BB">
      <w:pPr>
        <w:pStyle w:val="Heading4"/>
        <w:widowControl w:val="1"/>
        <w:numPr>
          <w:ilvl w:val="0"/>
          <w:numId w:val="14"/>
        </w:numPr>
        <w:ind w:left="720" w:hanging="360"/>
        <w:rPr/>
      </w:pPr>
      <w:bookmarkStart w:colFirst="0" w:colLast="0" w:name="_heading=h.lnxbz9" w:id="13"/>
      <w:bookmarkEnd w:id="13"/>
      <w:r w:rsidDel="00000000" w:rsidR="00000000" w:rsidRPr="00000000">
        <w:rPr>
          <w:rtl w:val="0"/>
        </w:rPr>
        <w:t xml:space="preserve">Skupina dodávateľov</w:t>
      </w:r>
    </w:p>
    <w:p w:rsidR="00000000" w:rsidDel="00000000" w:rsidP="00000000" w:rsidRDefault="00000000" w:rsidRPr="00000000" w14:paraId="000000BC">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Verejnej súťaže sa môže zúčastniť aj skupina dodávateľov. </w:t>
      </w:r>
    </w:p>
    <w:p w:rsidR="00000000" w:rsidDel="00000000" w:rsidP="00000000" w:rsidRDefault="00000000" w:rsidRPr="00000000" w14:paraId="000000BD">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nevyžaduje od skupiny dodávateľov, aby táto vytvorila právnu formu na účely účasti vo verejnej súťaži.</w:t>
      </w:r>
    </w:p>
    <w:p w:rsidR="00000000" w:rsidDel="00000000" w:rsidP="00000000" w:rsidRDefault="00000000" w:rsidRPr="00000000" w14:paraId="000000BE">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 účely účasti vo verejnej súťaži verejný obstarávateľ odporúča, aby členovia skupiny dodávateľov splnomocnili vedúceho člena skupiny dodávateľov, ktorý má právnu subjektivitu a spôsobilosť na právne úkony v plnom rozsahu, na uskutočňovanie všetkých právnych úkonov, ktoré bude v súvislosti s účasťou skupiny dodávateľov vo verejnej súťaži potrebné a vhodné vykonať. Návrh textu plnomocenstva je uvedený v Prílohe súťažných podkladov.</w:t>
      </w:r>
    </w:p>
    <w:p w:rsidR="00000000" w:rsidDel="00000000" w:rsidP="00000000" w:rsidRDefault="00000000" w:rsidRPr="00000000" w14:paraId="000000BF">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prípade prijatia ponuky skupiny dodávateľov, verejný obstarávateľ vyžaduje, aby skupina dodávateľov, z dôvodu zabezpečenia garancie dodržania zmluvných podmienok uvedených v zmluve a jej riadneho plnenia, pred podpisom zmluvy uzatvorila a predložila verejnému 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 verejným obstarávateľom v mene skupiny dodávateľov, ktorý člen skupiny dodávateľov sa bude akou časťou podieľať na plnení predmetu zákazky, určenie bankového účtu, na ktorý budú poukazované akékoľvek peňažné platby zo strany verejného obstarávateľa v prospech skupiny dodávateľov ako aj skutočnosť, že všetci členovia skupiny dodávateľov sú zaviazaní zo záväzkov voči verejnému obstarávateľovi spoločne a nerozdielne.</w:t>
      </w:r>
    </w:p>
    <w:p w:rsidR="00000000" w:rsidDel="00000000" w:rsidP="00000000" w:rsidRDefault="00000000" w:rsidRPr="00000000" w14:paraId="000000C0">
      <w:pPr>
        <w:pStyle w:val="Heading3"/>
        <w:widowControl w:val="1"/>
        <w:rPr/>
      </w:pPr>
      <w:bookmarkStart w:colFirst="0" w:colLast="0" w:name="_heading=h.35nkun2" w:id="14"/>
      <w:bookmarkEnd w:id="14"/>
      <w:r w:rsidDel="00000000" w:rsidR="00000000" w:rsidRPr="00000000">
        <w:rPr>
          <w:rtl w:val="0"/>
        </w:rPr>
        <w:t xml:space="preserve">ČASŤ II. KOMUNIKÁCIA A VYSVETĽOVANIE</w:t>
      </w:r>
    </w:p>
    <w:p w:rsidR="00000000" w:rsidDel="00000000" w:rsidP="00000000" w:rsidRDefault="00000000" w:rsidRPr="00000000" w14:paraId="000000C1">
      <w:pPr>
        <w:pStyle w:val="Heading4"/>
        <w:widowControl w:val="1"/>
        <w:numPr>
          <w:ilvl w:val="0"/>
          <w:numId w:val="14"/>
        </w:numPr>
        <w:ind w:left="720" w:hanging="360"/>
        <w:rPr/>
      </w:pPr>
      <w:bookmarkStart w:colFirst="0" w:colLast="0" w:name="_heading=h.1ksv4uv" w:id="15"/>
      <w:bookmarkEnd w:id="15"/>
      <w:r w:rsidDel="00000000" w:rsidR="00000000" w:rsidRPr="00000000">
        <w:rPr>
          <w:rtl w:val="0"/>
        </w:rPr>
        <w:t xml:space="preserve">Spôsob dorozumievania / komunikácia</w:t>
      </w:r>
    </w:p>
    <w:p w:rsidR="00000000" w:rsidDel="00000000" w:rsidP="00000000" w:rsidRDefault="00000000" w:rsidRPr="00000000" w14:paraId="000000C2">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Komunikácia medzi verejným obstarávateľom a záujemcami alebo uchádzačmi sa uskutočňuje spôsobom a prostriedkami, ktoré zabezpečia integritu a zachovanie dôvernosti údajov uvedených v ponuke. Komunikácia sa uskutočňuje v štátnom jazyku, t.j. v slovenskom jazyku a môže sa uskutočňovať aj v českom jazyku.</w:t>
      </w:r>
    </w:p>
    <w:p w:rsidR="00000000" w:rsidDel="00000000" w:rsidP="00000000" w:rsidRDefault="00000000" w:rsidRPr="00000000" w14:paraId="000000C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 súlade s ust. § 20 zákona o verejnom obstarávaní sa bude komunikácia a výmena informácií vo verejnej súťaži uskutočňovať v písomnej forme výhradne prostredníctvom elektronických prostriedkov, spôsobom určeným funkcionalitou systému JOSEPHINE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Moment doručenia informácií odosielaných prostredníctvom funkcionality systému JOSEPHINE je totožný s momentom odoslania týchto informácií do elektronického konta adresáta vytvoreného v systéme JOSEPHINE, t.j. momentom, kedy sa adresát objektívne mohol oboznámiť s obsahom doručovanej informácie.</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rsidR="00000000" w:rsidDel="00000000" w:rsidP="00000000" w:rsidRDefault="00000000" w:rsidRPr="00000000" w14:paraId="000000C6">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 je odosielateľom zásielky záujemca resp. uchádzač, tak po prihlásení do systému JOSEPHINE a k predmetnej zákazke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rsidR="00000000" w:rsidDel="00000000" w:rsidP="00000000" w:rsidRDefault="00000000" w:rsidRPr="00000000" w14:paraId="000000C7">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odporúča záujemcom, ktorí chcú byť informovaní o prípadných aktualizáciách týkajúcich sa verejnej súťaže prostredníctvom notifikačných e-mailov, aby v danej zákazke zaklikli tlačidlo „ZAUJÍMA MA TO“ (v pravej hornej časti obrazovky). Notifikačné e-maily sú taktiež doručované záujemcom, ktorí sú evidovaní na elektronickom liste záujemcov pri danej zákazke.</w:t>
      </w:r>
    </w:p>
    <w:p w:rsidR="00000000" w:rsidDel="00000000" w:rsidP="00000000" w:rsidRDefault="00000000" w:rsidRPr="00000000" w14:paraId="000000C8">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70" w:right="0" w:hanging="57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Všetky dokumenty potrebné na vypracovanie ponuky a na preukázanie splnenia podmienok účasti, vrátane ich doplnení a/alebo zmien,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 výnimkou dokumentácie k IS Register a identifikátor právnických osôb a podnikateľov, analytických výstupov, príručiek, technickej a prevádzkovej dokumentácie, doménových modelov, zdrojových kódov, vrátane prístupu k testovaciemu prostrediu jednotlivých aplikácií (ďalej ako „dokumentácia k Registru a identifikátoru právnických osôb a podnikateľov“ v príslušnom gramatickom tvare), uverejní verejný obstarávateľ v prostredí systému JOSEPHINE a poskytne k týmto dokumentom bezodplatne neobmedzený, úplný a priamy prístup prostredníctvom elektronických prostriedkov. Verejný obstarávateľ zároveň v profile verejného obstarávateľa na webovej stránke Úradu pre verejné obstarávanie uverejní internetovú adresu - odkaz na prostredie systému JOSEPHINE, na ktorej sú dostupné dokumenty potrebné na vypracovanie ponuky a na preukázanie splnenia podmienok účasti, vrátane ich doplnení a/alebo zmien, s výnimkou dokumentácie informačného systému Register a identifikátor právnických osôb a podnikateľov.</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súlade s ust. § 43 ods. 4 zákona o verejnom obstarávaní verejný obstarávateľ sprístupní záujemcom dokumentáciu k Registru a identifikátoru právnických osôb a podnikateľov, ktorá obsahuje dôverné informácie podľa § 22 ods. 4 zákona o verejnom obstarávaní, až po uzatvorení Dohody o ochrane dôverných informácií uzatvorenej podľa § 269 ods. 2 a § 271 zákona č. 513/1991 Zb. Obchodný zákonník v znení neskorších predpisov (ďalej ako „Dohoda o ochrane dôverných informácií“ v príslušnom gramatickom tvare), ktorej znenie tvorí Prílohu č. 16 súťažných podkladov.</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Záujemca doručí verejnému obstarávateľovi Dohodu o ochrane dôverných informácií ako elektronický dokument autorizovaný kvalifikovaným elektronickým podpisom alebo ako zaručene konvertovaný dokument v zmysle ust. § 35 a nasl. zákona č. 305/2013 Z. z. o elektronickej podobe výkonu pôsobnosti orgánov verejnej moci a o zmene a doplnení niektorých zákonov (zákon o e-Governmente) v znení neskorších predpisov, prostredníctvom funkcionality systému JOSEPHINE. V prípade, ak je záujemcom skupina dodávateľov, doručí verejnému obstarávateľovi Dohodu o ochrane dôverných informácií každý člen skupiny dodávateľov.</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bez zbytočného odkladu po doručení Dohody o ochrane dôverných informácií sprístupní záujemcovi dokumentáciu k Registru a identifikátoru právnických osôb a podnikateľov k nahliadnutiu na adrese sídla verejného obstarávateľa. Spolu s doručením Dohody o ochrane dôverných informácií prostredníctvom funkcionality systému JOSEPHINE záujemca navrhne verejnému obstarávateľovi minimálne dva (2) alternatívne termíny v pracovné dni v čase od 08:00 hod. SEČ do 16:00 hod. SEČ, počas ktorých bude mať záujemca záujem o sprístupnenie dokumentácie informačného systému Register a identifikátor právnických osôb a podnikateľov. Verejný obstarávateľ bez zbytočného odkladu potvrdí záujemcovi termín sprístupnenia dokumentácie informačného systému Register a identifikátor právnických osôb a podnikateľov k nahliadnutiu, pričom v odôvodnených prípadoch môže navrhnúť iný ako záujemcom navrhovaný termín.</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Záujemca môže požiadať o sprístupnenie dokumentácie informačného systému Register a identifikátor právnických osôb a podnikateľov k nahliadnutiu aj opakovane, maximálne dva (2) krát, pričom každému zo záujemcov bude umožnený prístup k dokumentácii informačného systému Register a identifikátor právnických osôb a podnikateľov v kumulatívnom trvaní maximálne osem (8) hodín. Maximálny počet osôb zúčastnených na jednotlivom sprístupnení dokumentácie informačného systému Register a identifikátor právnických osôb a podnikateľov  k nahliadnutiu je určený pre každého záujemcu na štyri (4) osoby.</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Záujemca môže byť na sprístupnení dokumentácie informačného systému Register a identifikátor právnických osôb a podnikateľov k nahliadnutiu zastúpený jeho štatutárnym orgánom alebo členom štatutárneho orgánu alebo inou osobou/osobami oprávnenými konať v danej veci za záujemcu. Záujemca (fyzická osoba), štatutárny orgán záujemcu alebo člen štatutárneho orgánu záujemcu sa preukáže preukazom totožnosti a výpisom z obchodného registra, živnostenského registra alebo iného registra ustanoveného osobitným predpisom. Iná osoba/osoby oprávnené konať v danej veci za záujemcu sa preukáže preukazom totožnosti a plnomocenstvom, z ktorého vyplýva právo tejto osobe/osobám zúčastniť sa na sprístupnení dokumentácie informačného systému Register a identifikátor právnických osôb a podnikateľov k nahliadnutiu za záujemcu.</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Počas sprístupnenia dokumentácie informačného systému Register a identifikátor právnických osôb a podnikateľov k nahliadnutiu nebude záujemcovi umožnené vyhotovovanie akýchkoľvek obrazových a/alebo iných záznamov. Záujemcovi bude umožnené vyhotovovanie poznámok, s ktorými bude záujemca povinný nakladať v súlade s podmienkami uvedenými v Dohode o ochrane dôverných informácií.</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Zo sprístupnenia dokumentácie informačného systému Register a identifikátor právnických osôb a podnikateľov k nahliadnutiu bude vyhotovený písomný záznam, ktorý bude súčasťou dokumentácie verejnej súťaže.</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uvádza, že v rámci prípravy a predloženia kvalitných a porovnateľných ponúk, vrátane návrhu riešenia pre požiadavku RFC_001 a RFC_002 v zmysle Kapitoly B.1 Opisu predmetu zákazky súťažných podkladov, považuje za vhodné, aby sa hospodárske subjekty pred samotným preložením ponuky vo verejnej súťaži oboznámili so všetkými okolnosťami dôležitými pre prípravu ponuky, s dokumentáciou informačného systému Register a identifikátor právnických osôb a podnikateľov nevynímajúc. Z uvedeného dôvodu, verejný obstarávateľ odporúča za účelom predloženia ponuky vo verejnej súťaži uzatvorenie Dohody o ochrane dôverných informácií a účasť hospodárskeho subjektu na sprístupnení dokumentácie informačného systému Register a identifikátor právnických osôb a podnikateľov k nahliadnutiu. Verejný obstarávateľ uvádza, že s ohľadom na vhodnosť zohľadniť pri príprave ponuky informácie uvedené v dokumentácii informačného systému Register a identifikátor právnických osôb a podnikateľov, ak ponuka predložená uchádzačom nebude spĺňať požiadavky na predmet zákazky uvedené v súťažných podkladoch, bude to v zmysle ust. § 53 ods. 5 písm. b) zákona o verejnom obstarávaní dôvodom na vylúčenie ponuky uchádzača z verejnej súťaže.</w:t>
      </w:r>
    </w:p>
    <w:p w:rsidR="00000000" w:rsidDel="00000000" w:rsidP="00000000" w:rsidRDefault="00000000" w:rsidRPr="00000000" w14:paraId="000000D1">
      <w:pPr>
        <w:pStyle w:val="Heading4"/>
        <w:widowControl w:val="1"/>
        <w:numPr>
          <w:ilvl w:val="0"/>
          <w:numId w:val="14"/>
        </w:numPr>
        <w:ind w:left="720" w:hanging="360"/>
        <w:rPr/>
      </w:pPr>
      <w:bookmarkStart w:colFirst="0" w:colLast="0" w:name="_heading=h.44sinio" w:id="16"/>
      <w:bookmarkEnd w:id="16"/>
      <w:r w:rsidDel="00000000" w:rsidR="00000000" w:rsidRPr="00000000">
        <w:rPr>
          <w:rtl w:val="0"/>
        </w:rPr>
        <w:t xml:space="preserve">Vysvetľovanie a doplnenie súťažných podkladov</w:t>
      </w:r>
    </w:p>
    <w:p w:rsidR="00000000" w:rsidDel="00000000" w:rsidP="00000000" w:rsidRDefault="00000000" w:rsidRPr="00000000" w14:paraId="000000D2">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prípade potreby objasniť informácie potrebné na vypracovanie ponuky a na preukázanie splnenia podmienok účasti, môže ktorýkoľvek zo záujemcov požiadať o ich vysvetlenie prostredníctvom funkcionality systému JOSEPHINE.</w:t>
      </w:r>
    </w:p>
    <w:p w:rsidR="00000000" w:rsidDel="00000000" w:rsidP="00000000" w:rsidRDefault="00000000" w:rsidRPr="00000000" w14:paraId="000000D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Vysvetlenie informácií potrebných na vypracovanie ponuky a na preukázanie splnenia podmienok účasti verejný obstarávateľ bezodkladne vybaví a preukázateľne oznámi (prostredníctvom príslušnej funkcionality systému JOSEPHINE) súčasne všetkým známym záujemcom, najneskôr však šesť (6) kalendárnych dní pred uplynutím lehoty na predkladanie ponúk za predpokladu, že o vysvetlenie záujemca požiada dostatočne vopred. Vysvetlenie informácií potrebných na vypracovanie ponuky a na preukázanie splnenia podmienok účasti tykajúce sa informácií uvedených v dokumentácii k Registru a identifikátoru právnických osôb a podnikateľov verejný obstarávateľ bezodkladne vybaví a preukázateľne oznámi (prostredníctvom príslušnej funkcionality systému JOSEPHINE) len tým záujemcom, ktorí doručili verejnému obstarávateľovi Dohodu o ochrane dôverných informácií.</w:t>
      </w:r>
    </w:p>
    <w:p w:rsidR="00000000" w:rsidDel="00000000" w:rsidP="00000000" w:rsidRDefault="00000000" w:rsidRPr="00000000" w14:paraId="000000D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Za včas doručenú požiadavku o vysvetlenie sa považuje požiadavka doručená verejnému obstarávateľovi v takej primeranej lehote, aby verejný obstarávateľ, s ohľadom na obsah žiadosti, zabezpečil oznámenie vysvetlení súčasne všetkým známym záujemcom najneskôr šesť (6) kalendárnych dní pred uplynutím lehoty na predkladanie ponúk.</w:t>
      </w:r>
    </w:p>
    <w:p w:rsidR="00000000" w:rsidDel="00000000" w:rsidP="00000000" w:rsidRDefault="00000000" w:rsidRPr="00000000" w14:paraId="000000D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prípade, ak záujemca nepožiada o vysvetlenie informácií potrebných na vypracovanie ponuky a na preukázanie splnenia podmienok účasti dostatočne vopred alebo význam vysvetlenia je z hľadiska prípravy ponuky nepodstatný, verejný obstarávateľ nie je povinný predĺžiť lehotu na predkladanie ponúk.</w:t>
      </w:r>
    </w:p>
    <w:p w:rsidR="00000000" w:rsidDel="00000000" w:rsidP="00000000" w:rsidRDefault="00000000" w:rsidRPr="00000000" w14:paraId="000000D6">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je oprávnený vo výnimočných prípadoch doplniť informácie potrebné na vypracovanie ponuky a na preukázanie splnenia podmienok účasti, pričom takéto doplnenie preukázateľne oznámi (prostredníctvom príslušnej funkcionality systému JOSEPHINE) súčasne všetkým známym záujemcom najneskôr šesť (6) kalendárnych dní pred uplynutím lehoty na predkladanie ponúk. Doplnenie informácií potrebných na vypracovanie ponuky a na preukázanie splnenia podmienok účasti týkajúce sa informácií uvedených v dokumentácii k Registru a identifikátoru právnických osôb a podnikateľov verejný obstarávateľ preukázateľne oznámi (prostredníctvom príslušnej funkcionality systému JOSEPHINE) len tým záujemcom, ktorí doručili verejnému obstarávateľovi Dohodu o ochrane dôverných informácií.</w:t>
      </w:r>
    </w:p>
    <w:p w:rsidR="00000000" w:rsidDel="00000000" w:rsidP="00000000" w:rsidRDefault="00000000" w:rsidRPr="00000000" w14:paraId="000000D7">
      <w:pPr>
        <w:pStyle w:val="Heading4"/>
        <w:widowControl w:val="1"/>
        <w:numPr>
          <w:ilvl w:val="0"/>
          <w:numId w:val="14"/>
        </w:numPr>
        <w:ind w:left="720" w:hanging="360"/>
        <w:rPr/>
      </w:pPr>
      <w:bookmarkStart w:colFirst="0" w:colLast="0" w:name="_heading=h.2jxsxqh" w:id="17"/>
      <w:bookmarkEnd w:id="17"/>
      <w:r w:rsidDel="00000000" w:rsidR="00000000" w:rsidRPr="00000000">
        <w:rPr>
          <w:rtl w:val="0"/>
        </w:rPr>
        <w:t xml:space="preserve">Obhliadka miesta poskytovania predmetu zákazky</w:t>
      </w:r>
    </w:p>
    <w:p w:rsidR="00000000" w:rsidDel="00000000" w:rsidP="00000000" w:rsidRDefault="00000000" w:rsidRPr="00000000" w14:paraId="000000D8">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 ohľadom na charakter predmetu zákazky, obhliadka miesta poskytovania predmetu zákazky nie je potrebná.</w:t>
      </w:r>
    </w:p>
    <w:p w:rsidR="00000000" w:rsidDel="00000000" w:rsidP="00000000" w:rsidRDefault="00000000" w:rsidRPr="00000000" w14:paraId="000000D9">
      <w:pPr>
        <w:pStyle w:val="Heading3"/>
        <w:widowControl w:val="1"/>
        <w:rPr/>
      </w:pPr>
      <w:bookmarkStart w:colFirst="0" w:colLast="0" w:name="_heading=h.z337ya" w:id="18"/>
      <w:bookmarkEnd w:id="18"/>
      <w:r w:rsidDel="00000000" w:rsidR="00000000" w:rsidRPr="00000000">
        <w:rPr>
          <w:rtl w:val="0"/>
        </w:rPr>
        <w:t xml:space="preserve">ČASŤ III. PRÍPRAVA PONUKY, OBSAH PONUKY</w:t>
      </w:r>
    </w:p>
    <w:p w:rsidR="00000000" w:rsidDel="00000000" w:rsidP="00000000" w:rsidRDefault="00000000" w:rsidRPr="00000000" w14:paraId="000000DA">
      <w:pPr>
        <w:pStyle w:val="Heading4"/>
        <w:widowControl w:val="1"/>
        <w:numPr>
          <w:ilvl w:val="0"/>
          <w:numId w:val="14"/>
        </w:numPr>
        <w:ind w:left="720" w:hanging="360"/>
        <w:rPr/>
      </w:pPr>
      <w:bookmarkStart w:colFirst="0" w:colLast="0" w:name="_heading=h.3j2qqm3" w:id="19"/>
      <w:bookmarkEnd w:id="19"/>
      <w:r w:rsidDel="00000000" w:rsidR="00000000" w:rsidRPr="00000000">
        <w:rPr>
          <w:rtl w:val="0"/>
        </w:rPr>
        <w:t xml:space="preserve">Vyhotovenie ponuky</w:t>
      </w:r>
    </w:p>
    <w:p w:rsidR="00000000" w:rsidDel="00000000" w:rsidP="00000000" w:rsidRDefault="00000000" w:rsidRPr="00000000" w14:paraId="000000DB">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Ponuka musí byť vyhotovená a predložená v elektronickej podobe.</w:t>
      </w:r>
    </w:p>
    <w:p w:rsidR="00000000" w:rsidDel="00000000" w:rsidP="00000000" w:rsidRDefault="00000000" w:rsidRPr="00000000" w14:paraId="000000DC">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Vyhotovenie dokladov a dokumentov doručovaných v rámci komunikácie a výmeny informácií v písomnej forme výhradne prostredníctvom elektronických prostriedkov: uchádzač je oprávnený predložiť:</w:t>
      </w: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elektronické dokumenty autorizované kvalifikovaným elektronickým podpisom alebo kvalifikovanou elektronickou pečaťou, ku ktorým je, v prípadoch predpokladaných platnými právnymi predpismi, pripojená kvalifikovaná elektronická časová pečiatka;</w:t>
      </w: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zaručene konvertované dokumenty v zmysle ust. § 35 a nasl. zákona č. 305/2013 Z. z. o elektronickej podobe výkonu pôsobnosti orgánov verejnej moci a o zmene a doplnení niektorých zákonov (zákon o e-Governmente) v znení neskorších predpisov;</w:t>
      </w:r>
    </w:p>
    <w:p w:rsidR="00000000" w:rsidDel="00000000" w:rsidP="00000000" w:rsidRDefault="00000000" w:rsidRPr="00000000" w14:paraId="000000DF">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elektronické dokumenty ako digitálna podoba originálu, alebo úradne osvedčenej kópie originálu dokladov a dokumentov vyhotovených v listinnej podobe, vytvorená pomocou skenera,</w:t>
      </w:r>
    </w:p>
    <w:p w:rsidR="00000000" w:rsidDel="00000000" w:rsidP="00000000" w:rsidRDefault="00000000" w:rsidRPr="00000000" w14:paraId="000000E0">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kópie dokladov vrátane kópií v elektronickej podobe.</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141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 prípade, ak uchádzač zvolí spôsob zloženia zábezpeky formou poskytnutia bankovej záruky za uchádzača alebo formou poistenia záruky, uchádzač je oprávnený predložiť doklad o zložení zábezpeky vo vyhotovení podľa bodu 13.2.1 vyššie, alebo v súlade s ust. § 46 ods. 9 zákona o verejnom obstarávaní ako originál v listinnej podobe,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súlade s pokynmi uvedenými v Kapitole A.1 Pokyny pre uchádzačov, ods. 19., bod 19.3 súťažných podkladov.</w:t>
      </w:r>
    </w:p>
    <w:p w:rsidR="00000000" w:rsidDel="00000000" w:rsidP="00000000" w:rsidRDefault="00000000" w:rsidRPr="00000000" w14:paraId="000000E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Verejný obstarávateľ môže kedykoľvek počas priebehu verejnej súťaže požiadať uchádzača o predloženie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originálu príslušného dokumentu, úradne osvedčenej kópie originálu príslušného dokumentu alebo zaručenej konverzie, ak má pochybnosti o pravosti predloženého dokumentu alebo ak je to potrebné na zabezpečenie riadneho priebehu verejnej súťaže. Uchádzač predloží dokumenty verejnému obstarávateľovi do piatich (5) pracovných dní odo dňa doručenia žiadosti, ak verejný obstarávateľ neurčil dlhšiu lehotu. Ak uchádzač nepredloží dokumenty v určenej lehote, verejný obstarávateľ vylúči uchádzača z verejnej súťaže. Ustanovenia § 40 ods. 4 zákona o verejnom obstarávaní, alebo § 53 ods. 1 a ods. 2 zákona o verejnom obstarávaní týmto nie sú dotknuté.</w:t>
      </w:r>
    </w:p>
    <w:p w:rsidR="00000000" w:rsidDel="00000000" w:rsidP="00000000" w:rsidRDefault="00000000" w:rsidRPr="00000000" w14:paraId="000000E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súlade s ust. § 22 ods. 4 zákona o verejnom obstarávaní verejný obstarávateľ požaduje, aby uchádzač vo svojej ponuke označil, ktoré informácie sú dôvernými informáciami.</w:t>
      </w:r>
    </w:p>
    <w:p w:rsidR="00000000" w:rsidDel="00000000" w:rsidP="00000000" w:rsidRDefault="00000000" w:rsidRPr="00000000" w14:paraId="000000E5">
      <w:pPr>
        <w:pStyle w:val="Heading4"/>
        <w:widowControl w:val="1"/>
        <w:numPr>
          <w:ilvl w:val="0"/>
          <w:numId w:val="14"/>
        </w:numPr>
        <w:ind w:left="720" w:hanging="360"/>
        <w:rPr/>
      </w:pPr>
      <w:bookmarkStart w:colFirst="0" w:colLast="0" w:name="_heading=h.1y810tw" w:id="20"/>
      <w:bookmarkEnd w:id="20"/>
      <w:r w:rsidDel="00000000" w:rsidR="00000000" w:rsidRPr="00000000">
        <w:rPr>
          <w:rtl w:val="0"/>
        </w:rPr>
        <w:t xml:space="preserve">Náklady na vypracovanie ponuky</w:t>
      </w:r>
    </w:p>
    <w:p w:rsidR="00000000" w:rsidDel="00000000" w:rsidP="00000000" w:rsidRDefault="00000000" w:rsidRPr="00000000" w14:paraId="000000E6">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Všetky náklady a výdavky, ktoré vznikajú záujemcovi alebo uchádzačovi v súvislosti s jeho účasťou v tejto verejnej súťaži, znáša záujemca alebo uchádzač v celom rozsahu, bez akýchkoľvek nárokov peňažnej a/alebo nepeňažnej povahy voči verejnému obstarávateľovi, bez ohľadu na výsledok verejnej súťaže.</w:t>
      </w:r>
    </w:p>
    <w:p w:rsidR="00000000" w:rsidDel="00000000" w:rsidP="00000000" w:rsidRDefault="00000000" w:rsidRPr="00000000" w14:paraId="000000E7">
      <w:pPr>
        <w:pStyle w:val="Heading4"/>
        <w:widowControl w:val="1"/>
        <w:numPr>
          <w:ilvl w:val="0"/>
          <w:numId w:val="14"/>
        </w:numPr>
        <w:ind w:left="720" w:hanging="360"/>
        <w:rPr/>
      </w:pPr>
      <w:bookmarkStart w:colFirst="0" w:colLast="0" w:name="_heading=h.4i7ojhp" w:id="21"/>
      <w:bookmarkEnd w:id="21"/>
      <w:r w:rsidDel="00000000" w:rsidR="00000000" w:rsidRPr="00000000">
        <w:rPr>
          <w:rtl w:val="0"/>
        </w:rPr>
        <w:t xml:space="preserve">Jazyk ponuky</w:t>
      </w:r>
    </w:p>
    <w:p w:rsidR="00000000" w:rsidDel="00000000" w:rsidP="00000000" w:rsidRDefault="00000000" w:rsidRPr="00000000" w14:paraId="000000E8">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Celá ponuka, ďalšie doklady a dokumenty predložené v procese zadávania verejnej súťaže sa predkladajú v štátnom jazyku, t.j. v slovenskom jazyku a môžu sa predkladať aj v českom jazyku. Ak je doklad alebo dokument vyhotovený v inom ako štátnom jazyku alebo českom jazyku, predkladá sa spolu s jeho úradným prekladom do štátneho jazyka. Ak sa zistí rozdiel v ich obsahu, rozhodujúci je úradný preklad do štátneho jazyka.</w:t>
      </w:r>
    </w:p>
    <w:p w:rsidR="00000000" w:rsidDel="00000000" w:rsidP="00000000" w:rsidRDefault="00000000" w:rsidRPr="00000000" w14:paraId="000000E9">
      <w:pPr>
        <w:pStyle w:val="Heading4"/>
        <w:widowControl w:val="1"/>
        <w:numPr>
          <w:ilvl w:val="0"/>
          <w:numId w:val="14"/>
        </w:numPr>
        <w:ind w:left="720" w:hanging="360"/>
        <w:rPr/>
      </w:pPr>
      <w:bookmarkStart w:colFirst="0" w:colLast="0" w:name="_heading=h.2xcytpi" w:id="22"/>
      <w:bookmarkEnd w:id="22"/>
      <w:r w:rsidDel="00000000" w:rsidR="00000000" w:rsidRPr="00000000">
        <w:rPr>
          <w:rtl w:val="0"/>
        </w:rPr>
        <w:t xml:space="preserve">Mena a ceny uvádzané v ponuke</w:t>
      </w:r>
    </w:p>
    <w:p w:rsidR="00000000" w:rsidDel="00000000" w:rsidP="00000000" w:rsidRDefault="00000000" w:rsidRPr="00000000" w14:paraId="000000EA">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Ceny uvádzané uchádzačom v ponuke musia byť vypočítané a vyjadrené v mene euro (EUR), zaokrúhlené na dve (2) desatinné miesta.</w:t>
      </w:r>
    </w:p>
    <w:p w:rsidR="00000000" w:rsidDel="00000000" w:rsidP="00000000" w:rsidRDefault="00000000" w:rsidRPr="00000000" w14:paraId="000000EB">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2024 použije uchádzač na prepočet kurz inej meny zverejnený Európskou centrálnou bankou v deň uverejnenia Oznámenia o vyhlásení verejného obstarávania v Úradnom vestníku Európskej únie.</w:t>
      </w:r>
    </w:p>
    <w:p w:rsidR="00000000" w:rsidDel="00000000" w:rsidP="00000000" w:rsidRDefault="00000000" w:rsidRPr="00000000" w14:paraId="000000EC">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Uchádzačom navrhovaná celková cena za poskytovanie predmetu zákazky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podľa predpokladaného čerpania, vypočítaná a vyjadrená v EUR s DPH, zaokrúhlená na dve (2) desatinné miesta musí byť stanovená v súlade s ust. zákona č. 18/1996 Z. z. o cenách v znení neskorších predpisov a v súlade s ust. vyhlášky Ministerstva financií Slovenskej republiky č. 87/1996 Z. z. ktorou sa vykonáva zákon Národnej rady Slovenskej republiky č. 18/1996 Z. z. o cenách v znení neskorších predpisov.</w:t>
      </w:r>
    </w:p>
    <w:p w:rsidR="00000000" w:rsidDel="00000000" w:rsidP="00000000" w:rsidRDefault="00000000" w:rsidRPr="00000000" w14:paraId="000000ED">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Navrhovanú cenu za poskytovanie predmetu zákazky podľa predpokladaného čerpania uvedie uchádzač v zložení tak, ako je to uvedené (požadované) v Prílohe č. 12 súťažných podkladov. Uchádzač vypĺňa odomknuté bunky podfarbené žltou farbou </w:t>
      </w:r>
      <w:r w:rsidDel="00000000" w:rsidR="00000000" w:rsidRPr="00000000">
        <w:rPr>
          <w:rFonts w:ascii="Times New Roman" w:cs="Times New Roman" w:eastAsia="Times New Roman" w:hAnsi="Times New Roman"/>
          <w:b w:val="0"/>
          <w:i w:val="0"/>
          <w:smallCaps w:val="0"/>
          <w:strike w:val="0"/>
          <w:color w:val="ffffcc"/>
          <w:sz w:val="22"/>
          <w:szCs w:val="22"/>
          <w:u w:val="none"/>
          <w:shd w:fill="auto" w:val="clear"/>
          <w:vertAlign w:val="baseline"/>
        </w:rPr>
        <w:drawing>
          <wp:inline distB="0" distT="0" distL="0" distR="0">
            <wp:extent cx="1085911" cy="152398"/>
            <wp:effectExtent b="0" l="0" r="0" t="0"/>
            <wp:docPr id="1643524197"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085911" cy="152398"/>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Za účelom zabezpečenia on-line sprístupnenia ponúk prostredníctvom funkcionality systému JOSEPHINE verejný obstarávateľ požaduje, aby uchádzač v rámci predkladania ponuky vyplnil návrh na plnenie kritérií aj prostredníctvom funkcionality systému JOSEPHINE (pri vkladaní do systému JOSEPHINE označené ako „Celková cena za poskytovanie predmetu zákazky podľa predpokladaného čerpania, vypočítaná a vyjadrená v EUR s DPH, zaokrúhlená na dve (2) desatinné miesta“).</w:t>
      </w:r>
    </w:p>
    <w:p w:rsidR="00000000" w:rsidDel="00000000" w:rsidP="00000000" w:rsidRDefault="00000000" w:rsidRPr="00000000" w14:paraId="000000EE">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 uchádzač nie je platiteľom DPH v Slovenskej republike, na skutočnosť, že nie je platiteľom DPH v Slovenskej republike, upozorní označením „Nie som platiteľom DPH“. DPH bude účtovaná vo výške v zmysle platných právnych predpisov v čase fakturácie.</w:t>
      </w:r>
    </w:p>
    <w:p w:rsidR="00000000" w:rsidDel="00000000" w:rsidP="00000000" w:rsidRDefault="00000000" w:rsidRPr="00000000" w14:paraId="000000EF">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Postup stanovenia ceny za poskytovanie predmetu zákazky podľa predpokladaného čerpania je bližšie špecifikovaný v Kapitole B.2 Spôsob určenia ceny súťažných podkladov.</w:t>
      </w:r>
    </w:p>
    <w:p w:rsidR="00000000" w:rsidDel="00000000" w:rsidP="00000000" w:rsidRDefault="00000000" w:rsidRPr="00000000" w14:paraId="000000F0">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Je výhradnou povinnosťou uchádzača, aby si dôkladne preštudoval Oznámenie o vyhlásení verejného obstarávania, súťažné podklady a ďalšie dokumenty potrebné na vypracovanie ponuky a na preukázanie splnenia podmienok účasti, vrátane ich doplnení a/alebo zmien, poskytnuté verejným obstarávateľom, ktoré môžu ovplyvniť navrhovanú celkovú cenu za poskytovanie predmetu zákazky podľa predpokladaného čerpania a charakter ponuky. Verejný obstarávateľ nebude akceptovať žiaden nárok uchádzača na zmenu ceny za poskytovanie predmetu zákazky podľa predpokladaného čerpania z dôvodu chýb a opomenutia povinností uchádzača pri predkladaní ponuky.</w:t>
      </w:r>
    </w:p>
    <w:p w:rsidR="00000000" w:rsidDel="00000000" w:rsidP="00000000" w:rsidRDefault="00000000" w:rsidRPr="00000000" w14:paraId="000000F1">
      <w:pPr>
        <w:pStyle w:val="Heading4"/>
        <w:widowControl w:val="1"/>
        <w:numPr>
          <w:ilvl w:val="0"/>
          <w:numId w:val="14"/>
        </w:numPr>
        <w:ind w:left="720" w:hanging="360"/>
        <w:rPr/>
      </w:pPr>
      <w:bookmarkStart w:colFirst="0" w:colLast="0" w:name="_heading=h.1ci93xb" w:id="23"/>
      <w:bookmarkEnd w:id="23"/>
      <w:r w:rsidDel="00000000" w:rsidR="00000000" w:rsidRPr="00000000">
        <w:rPr>
          <w:rtl w:val="0"/>
        </w:rPr>
        <w:t xml:space="preserve">Zábezpeka </w:t>
      </w:r>
    </w:p>
    <w:p w:rsidR="00000000" w:rsidDel="00000000" w:rsidP="00000000" w:rsidRDefault="00000000" w:rsidRPr="00000000" w14:paraId="000000F2">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požaduje zabezpečiť viazanosť ponuky zábezpekou. Zábezpeka je stanovená vo výške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150.000,00 EUR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Spôsob zloženia zábezpeky:</w:t>
      </w:r>
    </w:p>
    <w:p w:rsidR="00000000" w:rsidDel="00000000" w:rsidP="00000000" w:rsidRDefault="00000000" w:rsidRPr="00000000" w14:paraId="000000F4">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zložením finančných prostriedkov uchádzačom na bankový účet verejného obstarávateľa, alebo</w:t>
      </w:r>
    </w:p>
    <w:p w:rsidR="00000000" w:rsidDel="00000000" w:rsidP="00000000" w:rsidRDefault="00000000" w:rsidRPr="00000000" w14:paraId="000000F5">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poskytnutím bankovej záruky za uchádzača, alebo</w:t>
      </w:r>
    </w:p>
    <w:p w:rsidR="00000000" w:rsidDel="00000000" w:rsidP="00000000" w:rsidRDefault="00000000" w:rsidRPr="00000000" w14:paraId="000000F6">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poistením záruky.</w:t>
      </w:r>
    </w:p>
    <w:p w:rsidR="00000000" w:rsidDel="00000000" w:rsidP="00000000" w:rsidRDefault="00000000" w:rsidRPr="00000000" w14:paraId="000000F7">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Podmienky zloženia zábezpeky:</w:t>
      </w:r>
    </w:p>
    <w:p w:rsidR="00000000" w:rsidDel="00000000" w:rsidP="00000000" w:rsidRDefault="00000000" w:rsidRPr="00000000" w14:paraId="000000F8">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Zloženie finančných prostriedkov uchádzačom na bankový účet verejného obstarávateľa:</w:t>
      </w:r>
    </w:p>
    <w:p w:rsidR="00000000" w:rsidDel="00000000" w:rsidP="00000000" w:rsidRDefault="00000000" w:rsidRPr="00000000" w14:paraId="000000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2.00000000000003" w:lineRule="auto"/>
        <w:ind w:left="1778"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Finančné prostriedky vo výške podľa Kapitoly A.1 Pokyny pre uchádzačov, ods. 17., bod 17.1 súťažných podkladov musia byť zložené na bankový účet verejného obstarávateľa v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Štátnej pokladnici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vedený vo Všeobecnej úverovej banke, a.s.</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číslo účtu IBAN: SK24 8180 0000 0070 0007 2452, SWIFT: SPSRSKBA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 uvedením nasledovných údajov: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variabilný symbol: IČO uchádzača, informácia pre príjemcu: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názov zákazky – Obchodné meno uchádzača.</w:t>
      </w:r>
      <w:r w:rsidDel="00000000" w:rsidR="00000000" w:rsidRPr="00000000">
        <w:rPr>
          <w:rtl w:val="0"/>
        </w:rPr>
      </w:r>
    </w:p>
    <w:p w:rsidR="00000000" w:rsidDel="00000000" w:rsidP="00000000" w:rsidRDefault="00000000" w:rsidRPr="00000000" w14:paraId="000000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2.00000000000003" w:lineRule="auto"/>
        <w:ind w:left="2268" w:right="0" w:hanging="85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Finančné prostriedky vo výške podľa Kapitoly A.1 Pokyny pre uchádzačov, ods. 17., bod 17.1 súťažných podkladov musia byť pripísané na účte verejného obstarávateľa najneskôr v lehote na predkladanie ponúk podľa Kapitoly A.1 Pokyny pre uchádzačov, ods. 20., bod 20.1 súťažných podkladov.</w:t>
      </w:r>
    </w:p>
    <w:p w:rsidR="00000000" w:rsidDel="00000000" w:rsidP="00000000" w:rsidRDefault="00000000" w:rsidRPr="00000000" w14:paraId="000000FB">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Poskytnutie bankovej záruky za uchádzača:</w:t>
      </w:r>
    </w:p>
    <w:p w:rsidR="00000000" w:rsidDel="00000000" w:rsidP="00000000" w:rsidRDefault="00000000" w:rsidRPr="00000000" w14:paraId="000000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2.00000000000003" w:lineRule="auto"/>
        <w:ind w:left="2268" w:right="0" w:hanging="85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Banková záruka za uchádzača môže byť vystavená bankou so sídlom v Slovenskej republike, pobočkou zahraničnej banky v Slovenskej republike alebo zahraničnou bankou (ďalej ako „banka“).</w:t>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2.00000000000003" w:lineRule="auto"/>
        <w:ind w:left="2268" w:right="0" w:hanging="85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 bankovej záruky / záručnej listiny vystavenej bankou musí vyplývať, že:</w:t>
      </w:r>
    </w:p>
    <w:p w:rsidR="00000000" w:rsidDel="00000000" w:rsidP="00000000" w:rsidRDefault="00000000" w:rsidRPr="00000000" w14:paraId="000000F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2835"/>
        </w:tabs>
        <w:spacing w:after="60" w:before="0" w:line="252.00000000000003" w:lineRule="auto"/>
        <w:ind w:left="283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banka neodvolateľne a bez akýchkoľvek námietok uspokojí veriteľa (verejného obstarávateľa) za dlžníka (uchádzača) do výšky finančných prostriedkov, ktoré verejný obstarávateľ požaduje ako zábezpeku viazanosti ponuky uchádzača, v prípade, ak uchádzač odstúpi od svojej ponuky v lehote viazanosti ponúk, alebo ak uchádzač neposkytne súčinnosť alebo odmietne uzatvoriť zmluvu, ktorá je výsledkom verejnej súťaže podľa § 56 ods. 5 až ods. 9 zákona o verejnom obstarávaní a verejný obstarávateľ písomne banke oznámi svoje nároky z bankovej záruky v lehote platnosti bankovej záruky;</w:t>
      </w:r>
    </w:p>
    <w:p w:rsidR="00000000" w:rsidDel="00000000" w:rsidP="00000000" w:rsidRDefault="00000000" w:rsidRPr="00000000" w14:paraId="000000F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2.00000000000003" w:lineRule="auto"/>
        <w:ind w:left="2835" w:right="0" w:hanging="566.9999999999999"/>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doba platnosti bankovej záruky musí byť v záručnej listine stanovená minimálne do uplynutia lehoty viazanosti ponúk;</w:t>
      </w:r>
    </w:p>
    <w:p w:rsidR="00000000" w:rsidDel="00000000" w:rsidP="00000000" w:rsidRDefault="00000000" w:rsidRPr="00000000" w14:paraId="0000010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2.00000000000003" w:lineRule="auto"/>
        <w:ind w:left="2835" w:right="0" w:hanging="566.9999999999999"/>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prípade predĺženia lehoty viazanosti ponúk, banka na základe žiadosti dlžníka (uchádzača) predĺži platnosť bankovej záruky o predĺženú lehotu viazanosti ponúk.</w:t>
      </w:r>
    </w:p>
    <w:p w:rsidR="00000000" w:rsidDel="00000000" w:rsidP="00000000" w:rsidRDefault="00000000" w:rsidRPr="00000000" w14:paraId="000001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2.00000000000003" w:lineRule="auto"/>
        <w:ind w:left="2268" w:right="0" w:hanging="85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 bankovú záruku vystaví zahraničná banka so sídlom mimo územia Slovenskej republiky, záručná listina musí byť predložená v pôvodnom jazyku a súčasne musí byť úradne preložená do štátneho jazyka, okrem záručnej listiny vyhotovenej v českom jazyku. </w:t>
      </w:r>
    </w:p>
    <w:p w:rsidR="00000000" w:rsidDel="00000000" w:rsidP="00000000" w:rsidRDefault="00000000" w:rsidRPr="00000000" w14:paraId="00000102">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Poistenie záruky:</w:t>
      </w:r>
    </w:p>
    <w:p w:rsidR="00000000" w:rsidDel="00000000" w:rsidP="00000000" w:rsidRDefault="00000000" w:rsidRPr="00000000" w14:paraId="000001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2.00000000000003" w:lineRule="auto"/>
        <w:ind w:left="2268" w:right="0" w:hanging="85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Záruka na základe poistenia záruky môže byť vystavená poisťovňou so sídlom v Slovenskej republike, pobočkou poisťovne v Slovenskej republike alebo zahraničnou poisťovňou (ďalej ako „poisťovňa“).</w:t>
      </w:r>
    </w:p>
    <w:p w:rsidR="00000000" w:rsidDel="00000000" w:rsidP="00000000" w:rsidRDefault="00000000" w:rsidRPr="00000000" w14:paraId="000001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2.00000000000003" w:lineRule="auto"/>
        <w:ind w:left="2268" w:right="0" w:hanging="85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Zo záruky vystavenej poisťovňou na základe poistenia záruky musí vyplývať, že:</w:t>
      </w:r>
    </w:p>
    <w:p w:rsidR="00000000" w:rsidDel="00000000" w:rsidP="00000000" w:rsidRDefault="00000000" w:rsidRPr="00000000" w14:paraId="0000010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2.00000000000003" w:lineRule="auto"/>
        <w:ind w:left="2835" w:right="0" w:hanging="566.9999999999999"/>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poisťovňa neodvolateľne a bez akýchkoľvek námietok uspokojí veriteľa (verejného obstarávateľa) za dlžníka (uchádzača) do výšky finančných prostriedkov, ktoré verejný obstarávateľ požaduje ako zábezpeku viazanosti ponuky uchádzača, v prípade, ak uchádzač odstúpi od svojej ponuky v lehote viazanosti ponúk, alebo ak uchádzač neposkytne súčinnosť alebo odmietne uzatvoriť zmluvu, ktorá je výsledkom verejnej súťaže podľa § 56 ods. 5 až ods. 9 zákona o verejnom obstarávaní a verejný obstarávateľ písomne poisťovni oznámi svoje nároky zo záruky vystavenej poisťovňou na základe poistenia záruky v lehote platnosti záruky vystavenej poisťovňou na základe poistenia záruky;</w:t>
      </w:r>
    </w:p>
    <w:p w:rsidR="00000000" w:rsidDel="00000000" w:rsidP="00000000" w:rsidRDefault="00000000" w:rsidRPr="00000000" w14:paraId="0000010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2.00000000000003" w:lineRule="auto"/>
        <w:ind w:left="2835" w:right="0" w:hanging="566.9999999999999"/>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doba platnosti záruky vystavenej poisťovňou na základe poistenia záruky musí byť v záruke stanovená minimálne do uplynutia lehoty viazanosti ponúk;</w:t>
      </w:r>
    </w:p>
    <w:p w:rsidR="00000000" w:rsidDel="00000000" w:rsidP="00000000" w:rsidRDefault="00000000" w:rsidRPr="00000000" w14:paraId="0000010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2.00000000000003" w:lineRule="auto"/>
        <w:ind w:left="2835" w:right="0" w:hanging="566.9999999999999"/>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prípade predĺženia lehoty viazanosti ponúk, poisťovňa na základe žiadosti dlžníka (uchádzača) predĺži platnosť záruky o predĺženú lehotu viazanosti ponúk.</w:t>
      </w:r>
    </w:p>
    <w:p w:rsidR="00000000" w:rsidDel="00000000" w:rsidP="00000000" w:rsidRDefault="00000000" w:rsidRPr="00000000" w14:paraId="000001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2.00000000000003" w:lineRule="auto"/>
        <w:ind w:left="2268" w:right="0" w:hanging="85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 záruku na základe poistenia záruky vystaví zahraničná poisťovňa so sídlom mimo územia Slovenskej republiky, záruka musí byť predložená v pôvodnom jazyku a súčasne musí byť úradne preložená do štátneho jazyka, okrem záruky vyhotovenej v českom jazyku.</w:t>
      </w:r>
    </w:p>
    <w:p w:rsidR="00000000" w:rsidDel="00000000" w:rsidP="00000000" w:rsidRDefault="00000000" w:rsidRPr="00000000" w14:paraId="00000109">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 uvoľnení alebo vrátení zábezpeky bude verejný obstarávateľ postupovať podľa ust. § 46 ods. 7 zákona o verejnom obstarávaní.</w:t>
      </w:r>
    </w:p>
    <w:p w:rsidR="00000000" w:rsidDel="00000000" w:rsidP="00000000" w:rsidRDefault="00000000" w:rsidRPr="00000000" w14:paraId="0000010A">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Zábezpeka prepadne v prospech verejného obstarávateľa, ak uchádzač v lehote viazanosti ponúk:</w:t>
      </w:r>
    </w:p>
    <w:p w:rsidR="00000000" w:rsidDel="00000000" w:rsidP="00000000" w:rsidRDefault="00000000" w:rsidRPr="00000000" w14:paraId="0000010B">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odstúpi od svojej ponuky, alebo</w:t>
      </w:r>
    </w:p>
    <w:p w:rsidR="00000000" w:rsidDel="00000000" w:rsidP="00000000" w:rsidRDefault="00000000" w:rsidRPr="00000000" w14:paraId="0000010C">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neposkytne súčinnosť alebo odmietne uzatvoriť zmluvu, ktorá je výsledkom verejnej súťaže podľa § 56 ods. 5 až ods. 9 zákona o verejnom obstarávaní.</w:t>
      </w:r>
    </w:p>
    <w:p w:rsidR="00000000" w:rsidDel="00000000" w:rsidP="00000000" w:rsidRDefault="00000000" w:rsidRPr="00000000" w14:paraId="0000010D">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prípade predĺženia lehoty viazanosti ponúk je uchádzač povinný zabezpečiť predĺženie platnosti bankovej záruky / záruky vystavenej poisťovňou na základe poistenia záruky až do uplynutia predĺženej lehoty viazanosti ponúk a doklad o tom bezodkladne doručiť verejnému obstarávateľovi. Lehota viazanosti ponúk v tomto prípade nemôže byť dlhšia ako dvanásť (12) mesiacov od uplynutia lehoty na predkladanie ponúk podľa Kapitoly A.1 Pokyny pre uchádzačov, ods. 20., bod 20.1 súťažných podkladov.</w:t>
      </w:r>
    </w:p>
    <w:p w:rsidR="00000000" w:rsidDel="00000000" w:rsidP="00000000" w:rsidRDefault="00000000" w:rsidRPr="00000000" w14:paraId="0000010E">
      <w:pPr>
        <w:pStyle w:val="Heading4"/>
        <w:widowControl w:val="1"/>
        <w:numPr>
          <w:ilvl w:val="0"/>
          <w:numId w:val="14"/>
        </w:numPr>
        <w:ind w:left="720" w:hanging="360"/>
        <w:rPr/>
      </w:pPr>
      <w:bookmarkStart w:colFirst="0" w:colLast="0" w:name="_heading=h.3whwml4" w:id="24"/>
      <w:bookmarkEnd w:id="24"/>
      <w:r w:rsidDel="00000000" w:rsidR="00000000" w:rsidRPr="00000000">
        <w:rPr>
          <w:rtl w:val="0"/>
        </w:rPr>
        <w:t xml:space="preserve">Obsah ponuky</w:t>
      </w:r>
    </w:p>
    <w:p w:rsidR="00000000" w:rsidDel="00000000" w:rsidP="00000000" w:rsidRDefault="00000000" w:rsidRPr="00000000" w14:paraId="0000010F">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Ponuka musí byť predložená uchádzačom elektronickou formou / elektronickým spôsobom prostredníctvom funkcionality systému JOSEPHINE a musí obsahovať doklady, dokumenty a informácie podľa nižšie uvedených bodov vo forme vyplnených formulárov podľa príloh súťažných podkladov alebo v inej obdobnej forme, pri zachovaní požadovaného obsahu:</w:t>
      </w:r>
    </w:p>
    <w:p w:rsidR="00000000" w:rsidDel="00000000" w:rsidP="00000000" w:rsidRDefault="00000000" w:rsidRPr="00000000" w14:paraId="00000110">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všeobecné informácie o uchádzačovi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rozsahu podľa Prílohy č. 1 súťažných podkladov; v prípade, ak je uchádzačom skupina dodávateľov, predloží všeobecné informácie o uchádzačovi v rozsahu podľa Prílohy č. 1 súťažných podkladov každý člen skupiny dodávateľov;</w:t>
      </w:r>
    </w:p>
    <w:p w:rsidR="00000000" w:rsidDel="00000000" w:rsidP="00000000" w:rsidRDefault="00000000" w:rsidRPr="00000000" w14:paraId="00000111">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prípade, ak uchádzač nevypracoval ponuku sám,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identifikáciu osoby, ktorej služby alebo podklady uchádzač využil pri vypracovaní ponuky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rozsahu podľa Prílohy č. 2 súťažných podkladov;</w:t>
      </w:r>
      <w:r w:rsidDel="00000000" w:rsidR="00000000" w:rsidRPr="00000000">
        <w:rPr>
          <w:rtl w:val="0"/>
        </w:rPr>
      </w:r>
    </w:p>
    <w:p w:rsidR="00000000" w:rsidDel="00000000" w:rsidP="00000000" w:rsidRDefault="00000000" w:rsidRPr="00000000" w14:paraId="00000112">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prípade, ak je uchádzačom skupina dodávateľov,</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čestné vyhlásenie o vytvorení skupiny dodávateľov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rozsahu podľa Prílohy č. 3 súťažných podkladov;</w:t>
      </w:r>
    </w:p>
    <w:p w:rsidR="00000000" w:rsidDel="00000000" w:rsidP="00000000" w:rsidRDefault="00000000" w:rsidRPr="00000000" w14:paraId="00000113">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prípade, ak je uchádzačom skupina dodávateľov,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plnú moc pre jedného z členov skupiny dodávateľov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ktorý bude oprávnený prijímať pokyny za všetkých členov skupiny dodávateľov a bude oprávnený konať v mene všetkých ostatných členov skupiny dodávateľov, v rozsahu podľa Prílohy č. 4 súťažných podkladov;</w:t>
      </w:r>
    </w:p>
    <w:p w:rsidR="00000000" w:rsidDel="00000000" w:rsidP="00000000" w:rsidRDefault="00000000" w:rsidRPr="00000000" w14:paraId="00000114">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doklad o zložení zábezpeky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 prípad zloženia zábezpeky formou poskytnutia bankovej záruky za uchádzača alebo formou poistenia záruky;</w:t>
      </w:r>
    </w:p>
    <w:p w:rsidR="00000000" w:rsidDel="00000000" w:rsidP="00000000" w:rsidRDefault="00000000" w:rsidRPr="00000000" w14:paraId="00000115">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čestné vyhlásenie uchádzača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že sa v celom rozsahu oboznámil s podmienkami verejného obstarávateľa, týkajúcimi sa verejnej súťaže, uvedenými v Oznámení o vyhlásení verejného obstarávania, v súťažných podkladoch a ďalších dokumentoch potrebných na vypracovanie ponuky a na preukázanie splnenia podmienok účasti, vrátane ich doplnení a/alebo zmien, poskytnutých verejným obstarávateľom, s dokumentáciou informačného systému Register a identifikátor právnických osôb a podnikateľov, že v celom rozsahu a bez akýchkoľvek výhrad akceptuje všetky podmienky verejného obstarávateľa</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týkajúce sa verejnej súťaže a v prípade, že ponuka uchádzača bude úspešná a bude prijatá zo strany verejného obstarávateľa, uchádzač sa zaväzuje uzatvoriť zmluvu v súlade s podmienkami uvedenými v Kapitole B.3 Obchodné podmienky poskytovania predmetu zákazky súťažných podkladov a ďalších príslušných častí súťažných podkladov, v rozsahu podľa Prílohy č. 5 súťažných podkladov;</w:t>
      </w:r>
    </w:p>
    <w:p w:rsidR="00000000" w:rsidDel="00000000" w:rsidP="00000000" w:rsidRDefault="00000000" w:rsidRPr="00000000" w14:paraId="00000116">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zoznam dôverných informácií</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zmysle Kapitoly A.1 Pokyny pre uchádzačov, ods. 13., bod 13.4 súťažných podkladov, v rozsahu podľa Prílohy č. 6 súťažných podkladov;</w:t>
      </w:r>
    </w:p>
    <w:p w:rsidR="00000000" w:rsidDel="00000000" w:rsidP="00000000" w:rsidRDefault="00000000" w:rsidRPr="00000000" w14:paraId="00000117">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čestné vyhlásenie uchádzača k spracúvaniu osobných údajov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rozsahu podľa Prílohy č. 7 súťažných podkladov;</w:t>
      </w:r>
    </w:p>
    <w:p w:rsidR="00000000" w:rsidDel="00000000" w:rsidP="00000000" w:rsidRDefault="00000000" w:rsidRPr="00000000" w14:paraId="00000118">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čestné vyhlásenie uchádzača o neprítomnosti konfliktu záujmov uchádzača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rozsahu podľa Prílohy č. 8.1 súťažných podkladov; v prípade, ak uchádzač na preukázanie technickej spôsobilosti alebo odbornej spôsobilosti využíva technické a odborné kapacity inej osoby,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čestné vyhlásenie o neprítomnosti konfliktu záujmov inej osoby, ktorej technické a odborné kapacity uchádzač využíva na preukázanie technickej spôsobilosti alebo odbornej spôsobilosti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rozsahu podľa Prílohy č. 8.2 súťažných podkladov; v prípade, ak uchádzač má v úmysle zadať určitý podiel zákazky subdodávateľom,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čestné vyhlásenie o neprítomnosti konfliktu záujmov subdodávateľa, ktorému má uchádzač v úmysle zadať určitý podiel zákazky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rozsahu podľa Prílohy č. 8.3 súťažných podkladov;</w:t>
      </w:r>
      <w:r w:rsidDel="00000000" w:rsidR="00000000" w:rsidRPr="00000000">
        <w:rPr>
          <w:rtl w:val="0"/>
        </w:rPr>
      </w:r>
    </w:p>
    <w:p w:rsidR="00000000" w:rsidDel="00000000" w:rsidP="00000000" w:rsidRDefault="00000000" w:rsidRPr="00000000" w14:paraId="00000119">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čestné vyhlásenie uchádzača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rozsahu podľa Prílohy č. 9 súťažných podkladov;</w:t>
      </w:r>
    </w:p>
    <w:p w:rsidR="00000000" w:rsidDel="00000000" w:rsidP="00000000" w:rsidRDefault="00000000" w:rsidRPr="00000000" w14:paraId="0000011A">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vyhlásenie uchádzača,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že celý predmet zákazky poskytne vlastnými kapacitami, alebo uvedenie podielu zákazky, ktorý má v úmysle zadať subdodávateľom s uvedením navrhovaných subdodávateľov a predmetov subdodávok, v rozsahu podľa Prílohy č. 10 súťažných podkladov. Navrhovaný subdodávateľ musí spĺňať podmienky účasti týkajúce sa osobného postavenia podľa § 32 zákona o verejnom obstarávaní a nemôžu u neho existovať dôvody na vylúčenie podľa ust. § 40 ods. 6 písm. a) až g), ods. 7 a ods. 8 zákona o verejnom obstarávaní; splnenie podmienky účasti týkajúcej sa osobného postavenia podľa § 32 ods. 1 písm. e) zákona o verejnom obstarávaní preukazuje subdodávateľ len vo vzťahu k tej časti predmetu zákazky, ktorú má subdodávateľ plniť; Vzor čestného vyhlásenia subdodávateľa, ktorému má uchádzač v úmysle zadať určitý podiel zákazky, vo vzťahu k preukázaniu splnenia podmienky účasti týkajúcej sa osobného postavenia podľa § 32 ods. 1 písm. a) zákona o verejnom obstarávaní osobami špecifikovanými v § 32 ods. 7 a ods. 8 zákona o verejnom obstarávaní - doklad podľa § 32 ods. 7 zákona o verejnom obstarávaní - tvorí Prílohu č. 17.3 súťažných podkladov;</w:t>
      </w:r>
    </w:p>
    <w:p w:rsidR="00000000" w:rsidDel="00000000" w:rsidP="00000000" w:rsidRDefault="00000000" w:rsidRPr="00000000" w14:paraId="0000011B">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návrh na plnenie kritérií</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rozsahu podľa Prílohy č. 11 súťažných podkladov, vypracovaný podľa Kapitoly A.3 Kritériá na vyhodnotenie ponúk a spôsob ich uplatnenia súťažných podkladov a Kapitoly B.2 Spôsob určenia ceny súťažných podkladov;</w:t>
      </w:r>
    </w:p>
    <w:p w:rsidR="00000000" w:rsidDel="00000000" w:rsidP="00000000" w:rsidRDefault="00000000" w:rsidRPr="00000000" w14:paraId="0000011C">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ocenený zoznam položiek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rozsahu podľa Prílohy č. 12 súťažných podkladov, vypracovaný podľa Kapitoly B.2 Spôsob určenia ceny súťažných podkladov;</w:t>
      </w:r>
    </w:p>
    <w:p w:rsidR="00000000" w:rsidDel="00000000" w:rsidP="00000000" w:rsidRDefault="00000000" w:rsidRPr="00000000" w14:paraId="0000011D">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doklady preukazujúce splnenie podmienok účasti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uvedené v  Oznámení o vyhlásení verejného obstarávania a v Kapitole A.2 Podmienky účasti súťažných podkladov a v súlade s Prílohou č. 13, prílohou č. 14, prílohou č. 15 a Prílohou č. 17.1-17.3 týchto súťažných podkladov (pozn.: je potrebné predložiť samostatne za uchádzača, navrhovaného subdodávateľa uvedeného v prílohe č. 10 týchto súťažných podkladov, navrhované iné (tretie) osoby prostredníctvom ktorých uchádzač preukazuje podmienky účasti uvedené podľa Prílohy č. 18 týchto súťažných podkladov) alebo vyhlásenia podľa § 32 ods. 5 zákona, ak právo štátu uchádzača alebo záujemcu so sídlom, miestom podnikania alebo obvyklým pobytom mimo územia Slovenskej republiky neupravuje inštitút čestného vyhlásenia),  alebo Jednotný európsky dokument podľa § 39 zákona o verejnom obstarávaní;</w:t>
      </w:r>
    </w:p>
    <w:p w:rsidR="00000000" w:rsidDel="00000000" w:rsidP="00000000" w:rsidRDefault="00000000" w:rsidRPr="00000000" w14:paraId="0000011E">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zoznam iných (tretích) osôb prostredníctvom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ktorých uchádzač preukazuje podmienky účasti uvedené v Oznámení o vyhlásení verejného obstarávania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podľa Prílohy č. 18;</w:t>
      </w:r>
    </w:p>
    <w:p w:rsidR="00000000" w:rsidDel="00000000" w:rsidP="00000000" w:rsidRDefault="00000000" w:rsidRPr="00000000" w14:paraId="0000011F">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vypracovaný návrh riešenia pre požiadavku RFC_001 a RFC_002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zmysle Kapitoly B.1 Opisu predmetu zákazky, súťažných podkladov.</w:t>
      </w:r>
    </w:p>
    <w:p w:rsidR="00000000" w:rsidDel="00000000" w:rsidP="00000000" w:rsidRDefault="00000000" w:rsidRPr="00000000" w14:paraId="00000120">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odporúča uchádzačovi, aby súčasťou ponuky uchádzača bol aj obsah ponuky (index - položkový zoznam dokladov ponuky).</w:t>
      </w:r>
    </w:p>
    <w:p w:rsidR="00000000" w:rsidDel="00000000" w:rsidP="00000000" w:rsidRDefault="00000000" w:rsidRPr="00000000" w14:paraId="00000121">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prípade, ak budú doklady a dokumenty uvedené v Kapitole A.1 Pokyny pre uchádzačov, ods. 18., bod 18.1 súťažných podkladov podpísané inou osobou/osobami ako štatutárnym orgánom uchádzača / členom štatutárneho orgánu uchádzača, ktorému právo konať za uchádzača vyplýva zo zápisu v príslušnom registri, ponuka uchádzača musí zároveň obsahovať plnú moc, z ktorej vyplýva právo osobe/osobám, ktoré podpísali doklady a dokumenty uvedené v Kapitole A.1 Pokyny pre uchádzačov, ods. 18., bod 18.1 súťažných podkladov, konať v danej veci za uchádzača.</w:t>
      </w:r>
    </w:p>
    <w:p w:rsidR="00000000" w:rsidDel="00000000" w:rsidP="00000000" w:rsidRDefault="00000000" w:rsidRPr="00000000" w14:paraId="00000122">
      <w:pPr>
        <w:pStyle w:val="Heading3"/>
        <w:widowControl w:val="1"/>
        <w:rPr/>
      </w:pPr>
      <w:bookmarkStart w:colFirst="0" w:colLast="0" w:name="_heading=h.2bn6wsx" w:id="25"/>
      <w:bookmarkEnd w:id="25"/>
      <w:r w:rsidDel="00000000" w:rsidR="00000000" w:rsidRPr="00000000">
        <w:rPr>
          <w:rtl w:val="0"/>
        </w:rPr>
        <w:t xml:space="preserve">ČASŤ IV. PREDKLADANIE PONÚK</w:t>
      </w:r>
    </w:p>
    <w:p w:rsidR="00000000" w:rsidDel="00000000" w:rsidP="00000000" w:rsidRDefault="00000000" w:rsidRPr="00000000" w14:paraId="00000123">
      <w:pPr>
        <w:pStyle w:val="Heading4"/>
        <w:widowControl w:val="1"/>
        <w:numPr>
          <w:ilvl w:val="0"/>
          <w:numId w:val="14"/>
        </w:numPr>
        <w:ind w:left="720" w:hanging="360"/>
        <w:rPr/>
      </w:pPr>
      <w:bookmarkStart w:colFirst="0" w:colLast="0" w:name="_heading=h.qsh70q" w:id="26"/>
      <w:bookmarkEnd w:id="26"/>
      <w:r w:rsidDel="00000000" w:rsidR="00000000" w:rsidRPr="00000000">
        <w:rPr>
          <w:rtl w:val="0"/>
        </w:rPr>
        <w:t xml:space="preserve">Predloženie ponuky</w:t>
      </w:r>
    </w:p>
    <w:p w:rsidR="00000000" w:rsidDel="00000000" w:rsidP="00000000" w:rsidRDefault="00000000" w:rsidRPr="00000000" w14:paraId="0000012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môže vo verejnej súťaži predložiť iba jednu ponuku. Ak uchádzač v lehote na predkladanie ponúk predloží viac ponúk, verejný obstarávateľ bude prihliadať len na ponuku, ktorá bola predložená ako posledná a na ostatné ponuky bude hľadieť rovnako ako na ponuky, ktoré boli predložené po uplynutí lehoty na predkladanie ponúk.</w:t>
      </w:r>
    </w:p>
    <w:p w:rsidR="00000000" w:rsidDel="00000000" w:rsidP="00000000" w:rsidRDefault="00000000" w:rsidRPr="00000000" w14:paraId="0000012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predloží ponuku elektronickou formou / elektronickým spôsobom prostredníctvom funkcionality systému JOSEPHINE, vyplnením ponukového formulára a vložením požadovaných dokladov a dokumentov, v lehote na predkladanie ponúk podľa Kapitoly A.1 Pokyny pre uchádzačov, ods. 20., bod 20.1 súťažných podkladov. Predkladanie ponúk je umožnené iba autentifikovaným uchádzačom. </w:t>
      </w:r>
    </w:p>
    <w:p w:rsidR="00000000" w:rsidDel="00000000" w:rsidP="00000000" w:rsidRDefault="00000000" w:rsidRPr="00000000" w14:paraId="00000126">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 prípade, ak uchádzač zvolí spôsob zloženia zábezpeky formou poskytnutia bankovej záruky za uchádzača alebo formou poistenia záruky a uchádzač nepredloží doklad o zložení zábezpeky vo vyhotovení podľa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Kapitoly A.1 Pokyny pre uchádzačov, ods. 13., bod 13.2.1 súťažných podkladov</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uchádzač v súlade s ust. § 46 ods. 9 zákona o verejnom obstarávaní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najneskôr do uplynutia lehoty na predkladanie ponúk podľa Kapitoly A.1 Pokyny pre uchádzačov, ods. 20., bod 20.1 súťažných podkladov</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predloží doklad o zložení zábezpeky ako originál v listinnej podobe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samostatnej nepriehľadnej obálke, ktorá musí byť uzatvorená, zabezpečená proti neoprávnenému otvoreniu a označená nasledovnými údajmi:</w:t>
      </w:r>
    </w:p>
    <w:p w:rsidR="00000000" w:rsidDel="00000000" w:rsidP="00000000" w:rsidRDefault="00000000" w:rsidRPr="00000000" w14:paraId="0000012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názov a adresa verejného obstarávateľa;</w:t>
      </w:r>
    </w:p>
    <w:p w:rsidR="00000000" w:rsidDel="00000000" w:rsidP="00000000" w:rsidRDefault="00000000" w:rsidRPr="00000000" w14:paraId="0000012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obchodné meno / názov, sídlo / miesto podnikania uchádzača (v prípade skupiny dodávateľov obchodné meno / názov, sídlo / miesto podnikania za každého člena skupiny dodávateľov),</w:t>
      </w:r>
    </w:p>
    <w:p w:rsidR="00000000" w:rsidDel="00000000" w:rsidP="00000000" w:rsidRDefault="00000000" w:rsidRPr="00000000" w14:paraId="0000012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označenie: „Verejná súťaž - NEOTVÁRAŤ“</w:t>
      </w:r>
    </w:p>
    <w:p w:rsidR="00000000" w:rsidDel="00000000" w:rsidP="00000000" w:rsidRDefault="00000000" w:rsidRPr="00000000" w14:paraId="0000012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heslo súťaže: „Zábezpeka - Služby podpory prevádzky a rozvoja diela Register a identifikátor právnických osôb a podnikateľov“ </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 adresu verejného obstarávateľa: Štatistický úrad Slovenskej republiky, Lamačská cesta 3/C, 840 05 Bratislava 45, Slovenská republika.</w:t>
      </w:r>
    </w:p>
    <w:p w:rsidR="00000000" w:rsidDel="00000000" w:rsidP="00000000" w:rsidRDefault="00000000" w:rsidRPr="00000000" w14:paraId="0000012C">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Za účelom zabezpečenia on-line sprístupnenia ponúk prostredníctvom funkcionality systému JOSEPHINE verejný obstarávateľ požaduje, aby uchádzač v rámci predkladania ponuky vyplnil návrh na plnenie kritérií aj prostredníctvom funkcionality systému JOSEPHINE (pri vkladaní do systému JOSEPHINE označené ako „Celková cena za poskytovanie predmetu zákazky podľa predpokladaného čerpania, vypočítaná a vyjadrená v EUR s DPH, zaokrúhlená na dve (2) desatinné miesta“).</w:t>
      </w:r>
    </w:p>
    <w:p w:rsidR="00000000" w:rsidDel="00000000" w:rsidP="00000000" w:rsidRDefault="00000000" w:rsidRPr="00000000" w14:paraId="0000012D">
      <w:pPr>
        <w:pStyle w:val="Heading4"/>
        <w:widowControl w:val="1"/>
        <w:numPr>
          <w:ilvl w:val="0"/>
          <w:numId w:val="14"/>
        </w:numPr>
        <w:ind w:left="720" w:hanging="360"/>
        <w:rPr/>
      </w:pPr>
      <w:bookmarkStart w:colFirst="0" w:colLast="0" w:name="_heading=h.3as4poj" w:id="27"/>
      <w:bookmarkEnd w:id="27"/>
      <w:r w:rsidDel="00000000" w:rsidR="00000000" w:rsidRPr="00000000">
        <w:rPr>
          <w:rtl w:val="0"/>
        </w:rPr>
        <w:t xml:space="preserve">Lehota na predkladanie ponúk</w:t>
      </w:r>
    </w:p>
    <w:p w:rsidR="00000000" w:rsidDel="00000000" w:rsidP="00000000" w:rsidRDefault="00000000" w:rsidRPr="00000000" w14:paraId="0000012E">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Ponuky sa predkladajú v lehote na predkladanie ponúk. Lehota na predkladanie ponúk je uvedená v Oznámení o vyhlásení verejného obstarávania.</w:t>
      </w:r>
    </w:p>
    <w:p w:rsidR="00000000" w:rsidDel="00000000" w:rsidP="00000000" w:rsidRDefault="00000000" w:rsidRPr="00000000" w14:paraId="0000012F">
      <w:pPr>
        <w:pStyle w:val="Heading4"/>
        <w:widowControl w:val="1"/>
        <w:numPr>
          <w:ilvl w:val="0"/>
          <w:numId w:val="14"/>
        </w:numPr>
        <w:ind w:left="720" w:hanging="360"/>
        <w:rPr/>
      </w:pPr>
      <w:bookmarkStart w:colFirst="0" w:colLast="0" w:name="_heading=h.1pxezwc" w:id="28"/>
      <w:bookmarkEnd w:id="28"/>
      <w:r w:rsidDel="00000000" w:rsidR="00000000" w:rsidRPr="00000000">
        <w:rPr>
          <w:rtl w:val="0"/>
        </w:rPr>
        <w:t xml:space="preserve">Doplnenie, zmena alebo odvolanie (späť vzatie) ponuky, odstúpenie od ponuky</w:t>
      </w:r>
    </w:p>
    <w:p w:rsidR="00000000" w:rsidDel="00000000" w:rsidP="00000000" w:rsidRDefault="00000000" w:rsidRPr="00000000" w14:paraId="00000130">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je oprávnený predloženú ponuku dodatočne meniť, dopĺňať alebo odvolať (vziať späť) len do uplynutia lehoty na predkladanie ponúk uvedenej v oznámení o vyhlásení verejného obstarávania.</w:t>
      </w:r>
    </w:p>
    <w:p w:rsidR="00000000" w:rsidDel="00000000" w:rsidP="00000000" w:rsidRDefault="00000000" w:rsidRPr="00000000" w14:paraId="00000131">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Odstúpenie uchádzača od ponuky v lehote viazanosti ponúk bude mať za následok prepadnutie zábezpeky ponuky v prospech verejného obstarávateľa.</w:t>
      </w:r>
    </w:p>
    <w:p w:rsidR="00000000" w:rsidDel="00000000" w:rsidP="00000000" w:rsidRDefault="00000000" w:rsidRPr="00000000" w14:paraId="00000132">
      <w:pPr>
        <w:pStyle w:val="Heading4"/>
        <w:widowControl w:val="1"/>
        <w:numPr>
          <w:ilvl w:val="0"/>
          <w:numId w:val="14"/>
        </w:numPr>
        <w:ind w:left="720" w:hanging="360"/>
        <w:rPr/>
      </w:pPr>
      <w:bookmarkStart w:colFirst="0" w:colLast="0" w:name="_heading=h.49x2ik5" w:id="29"/>
      <w:bookmarkEnd w:id="29"/>
      <w:r w:rsidDel="00000000" w:rsidR="00000000" w:rsidRPr="00000000">
        <w:rPr>
          <w:rtl w:val="0"/>
        </w:rPr>
        <w:t xml:space="preserve">Lehota viazanosti ponúk</w:t>
      </w:r>
    </w:p>
    <w:p w:rsidR="00000000" w:rsidDel="00000000" w:rsidP="00000000" w:rsidRDefault="00000000" w:rsidRPr="00000000" w14:paraId="0000013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Ponuky zostávajú platné počas lehoty viazanosti ponúk stanovenej do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28.02.2025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3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oznámi uchádzačom predĺženie lehoty viazanosti ponúk, v prípade uplatnenia revíznych postupov alebo ak bude začatá kontrola postupu verejného obstarávateľa pred uzatvorením zmluvy podľa zákona o verejnom obstarávaní. Verejný obstarávateľ je ďalej oprávnený oznámiť uchádzačom predĺženie lehoty viazanosti ponúk v prípade, ak počas trvania verejnej súťaže nastanú iné objektívne skutočnosti, ktoré nebolo možné predvídať a z dôvodu týchto skutočností nebude možné uzatvoriť zmluvu s úspešným uchádzačom v pôvodne stanovenej lehote viazanosti ponúk. Lehota viazanosti ponúk v tomto prípade nemôže byť dlhšia ako dvanásť (12) mesiacov od uplynutia lehoty na predkladanie ponúk podľa Kapitoly A.1 Pokyny pre uchádzačov, ods. 20., bod 20.1 súťažných podkladov.</w:t>
      </w:r>
    </w:p>
    <w:p w:rsidR="00000000" w:rsidDel="00000000" w:rsidP="00000000" w:rsidRDefault="00000000" w:rsidRPr="00000000" w14:paraId="0000013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Uchádzači sú svojou ponukou viazaní do uplynutia verejným obstarávateľom oznámenej predĺženej lehoty viazanosti ponúk.</w:t>
      </w:r>
    </w:p>
    <w:p w:rsidR="00000000" w:rsidDel="00000000" w:rsidP="00000000" w:rsidRDefault="00000000" w:rsidRPr="00000000" w14:paraId="00000136">
      <w:pPr>
        <w:pStyle w:val="Heading3"/>
        <w:widowControl w:val="1"/>
        <w:rPr/>
      </w:pPr>
      <w:bookmarkStart w:colFirst="0" w:colLast="0" w:name="_heading=h.2p2csry" w:id="30"/>
      <w:bookmarkEnd w:id="30"/>
      <w:r w:rsidDel="00000000" w:rsidR="00000000" w:rsidRPr="00000000">
        <w:rPr>
          <w:rtl w:val="0"/>
        </w:rPr>
        <w:t xml:space="preserve">ČASŤ V. OTVÁRANIE A VYHODNOTENIE PONÚK</w:t>
      </w:r>
    </w:p>
    <w:p w:rsidR="00000000" w:rsidDel="00000000" w:rsidP="00000000" w:rsidRDefault="00000000" w:rsidRPr="00000000" w14:paraId="00000137">
      <w:pPr>
        <w:pStyle w:val="Heading4"/>
        <w:widowControl w:val="1"/>
        <w:numPr>
          <w:ilvl w:val="0"/>
          <w:numId w:val="14"/>
        </w:numPr>
        <w:ind w:left="720" w:hanging="360"/>
        <w:rPr/>
      </w:pPr>
      <w:bookmarkStart w:colFirst="0" w:colLast="0" w:name="_heading=h.147n2zr" w:id="31"/>
      <w:bookmarkEnd w:id="31"/>
      <w:r w:rsidDel="00000000" w:rsidR="00000000" w:rsidRPr="00000000">
        <w:rPr>
          <w:rtl w:val="0"/>
        </w:rPr>
        <w:t xml:space="preserve">Otváranie ponúk</w:t>
      </w:r>
    </w:p>
    <w:p w:rsidR="00000000" w:rsidDel="00000000" w:rsidP="00000000" w:rsidRDefault="00000000" w:rsidRPr="00000000" w14:paraId="00000138">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Otváranie ponúk vykoná komisia podľa ust. § 52 zákona o verejnom obstarávaní.</w:t>
      </w:r>
    </w:p>
    <w:p w:rsidR="00000000" w:rsidDel="00000000" w:rsidP="00000000" w:rsidRDefault="00000000" w:rsidRPr="00000000" w14:paraId="00000139">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Termín otvárania ponúk je uvedený v Oznámení o vyhlásení verejného obstarávania.</w:t>
      </w:r>
    </w:p>
    <w:p w:rsidR="00000000" w:rsidDel="00000000" w:rsidP="00000000" w:rsidRDefault="00000000" w:rsidRPr="00000000" w14:paraId="0000013A">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Otváraním ponúk predložených elektronickou formou / elektronickým spôsobom prostredníctvom funkcionality systému JOSEPHINE sa rozumie ich sprístupnenie. Verejný obstarávateľ on-line sprístupní ponuky prostredníctvom funkcionality systému JOSEPHINE, a to všetkým uchádzačom, ktorí predložili ponuku v lehote na predkladanie ponúk.</w:t>
      </w:r>
    </w:p>
    <w:p w:rsidR="00000000" w:rsidDel="00000000" w:rsidP="00000000" w:rsidRDefault="00000000" w:rsidRPr="00000000" w14:paraId="0000013B">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rámci on-line sprístupnenia ponúk prostredníctvom funkcionality systému JOSEPHINE budú všetkým uchádzačom, ktorí predložili ponuku v lehote na predkladanie ponúk, zverejnené údaje podľa § 52 ods. 2 zákona o verejnom obstarávaní. </w:t>
      </w:r>
    </w:p>
    <w:p w:rsidR="00000000" w:rsidDel="00000000" w:rsidP="00000000" w:rsidRDefault="00000000" w:rsidRPr="00000000" w14:paraId="0000013C">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najneskôr do piatich (5) pracovných dní odo dňa otvárania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ponúk zašle všetkým uchádzačom, ktorí predložili ponuku v lehote na predkladanie ponúk, zápisnicu z otvárania ponúk, ktorá bude obsahovať údaje zverejnené podľa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52 ods. 2 zákona o verejnom obstarávaní</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13D">
      <w:pPr>
        <w:pStyle w:val="Heading4"/>
        <w:widowControl w:val="1"/>
        <w:numPr>
          <w:ilvl w:val="0"/>
          <w:numId w:val="14"/>
        </w:numPr>
        <w:ind w:left="720" w:hanging="360"/>
        <w:rPr/>
      </w:pPr>
      <w:bookmarkStart w:colFirst="0" w:colLast="0" w:name="_heading=h.3o7alnk" w:id="32"/>
      <w:bookmarkEnd w:id="32"/>
      <w:r w:rsidDel="00000000" w:rsidR="00000000" w:rsidRPr="00000000">
        <w:rPr>
          <w:rtl w:val="0"/>
        </w:rPr>
        <w:t xml:space="preserve">Vyhodnocovanie ponúk</w:t>
      </w:r>
    </w:p>
    <w:p w:rsidR="00000000" w:rsidDel="00000000" w:rsidP="00000000" w:rsidRDefault="00000000" w:rsidRPr="00000000" w14:paraId="0000013E">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súlade s ust. § 66 ods. 7 písm. b) zákona o verejnom obstarávaní, verejný obstarávateľ (prostredníctvom zriadenej komisie) vyhodnotí ponuky z hľadiska splnenia požiadaviek na predmet zákazky podľa § 53 zákona o verejnom obstarávaní a vyhodnotí splnenie podmienok účasti podľa § 40 zákona o verejnom obstarávaní po vyhodnotení ponúk na základe kritérií na vyhodnotenie ponúk, a to u uchádzača, ktorý sa po vyhodnotení ponúk na základe kritérií na vyhodnotenie ponúk umiestnil na prvom mieste v poradí. Ak dôjde k vylúčeniu ponuky uchádzača, alebo ak dôjde k vylúčeniu uchádzača, vyhodnotí sa následne ponuka z hľadiska splnenia požiadaviek na predmet zákazky a splnenie podmienok účasti uchádzačom u ďalšieho uchádzača v poradí tak, aby uchádzač umiestnený na prvom mieste v novo zostavenom poradí spĺňal požiadavky na predmet zákazky a podmienky účasti za predpokladu, že existuje dostatočný počet uchádzačov.</w:t>
      </w:r>
    </w:p>
    <w:p w:rsidR="00000000" w:rsidDel="00000000" w:rsidP="00000000" w:rsidRDefault="00000000" w:rsidRPr="00000000" w14:paraId="0000013F">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Vyhodnocovanie ponúk komisiou je neverejné. Komisia po vyhodnotení ponúk na základe kritérií na vyhodnotenie ponúk posúdi zloženie zábezpeky, vyhodnotí ponuky z hľadiska splnenia požiadaviek verejného obstarávateľa na predmet zákazky a v prípade pochybností overí správnosť informácií a dôkazov, ktoré poskytli uchádzači.</w:t>
      </w:r>
    </w:p>
    <w:p w:rsidR="00000000" w:rsidDel="00000000" w:rsidP="00000000" w:rsidRDefault="00000000" w:rsidRPr="00000000" w14:paraId="00000140">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Komisia vyhodnocuje ponuky podľa kritérií určených v Oznámení o vyhlásení verejného obstarávania a v súťažných podkladoch, ktoré sú nediskriminačné a podporujú spravodlivú hospodársku súťaž.</w:t>
      </w:r>
    </w:p>
    <w:p w:rsidR="00000000" w:rsidDel="00000000" w:rsidP="00000000" w:rsidRDefault="00000000" w:rsidRPr="00000000" w14:paraId="00000141">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alebo oprava položkového rozpočtu (cenovej tabuľky / výkazu výmer), ak celková cena ponuky (cenový návrh na plnenie kritéria na vyhodnotenie ponúk)  zostane zachovaná a ak oprava položkového rozpočtu (cenovej tabuľky / výkazu výmer) nemá vplyv na iné kritérium na vyhodnotenie ponúk.</w:t>
      </w:r>
    </w:p>
    <w:p w:rsidR="00000000" w:rsidDel="00000000" w:rsidP="00000000" w:rsidRDefault="00000000" w:rsidRPr="00000000" w14:paraId="00000142">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 sa pri určitej zákazke javí ponuka ako mimoriadne nízka, komisia písomne požiada uchádzača o vysvetlenie týkajúce sa tej časti ponuky, ktoré sú pre jej cenu podstatné.</w:t>
      </w:r>
    </w:p>
    <w:p w:rsidR="00000000" w:rsidDel="00000000" w:rsidP="00000000" w:rsidRDefault="00000000" w:rsidRPr="00000000" w14:paraId="0000014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je povinný doručiť písomné vysvetlenie svojej ponuky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do dvoch (2) pracovných dní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odo dňa odoslania žiadosti o vysvetlenie, ak komisia neurčila dlhšiu lehotu.</w:t>
      </w:r>
    </w:p>
    <w:p w:rsidR="00000000" w:rsidDel="00000000" w:rsidP="00000000" w:rsidRDefault="00000000" w:rsidRPr="00000000" w14:paraId="0000014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vylúči z verejnej súťaže ponuku uchádzača, ak budú naplnené skutočnosti podľa § 53 ods. 5 zákona o verejnom obstarávaní.</w:t>
      </w:r>
    </w:p>
    <w:p w:rsidR="00000000" w:rsidDel="00000000" w:rsidP="00000000" w:rsidRDefault="00000000" w:rsidRPr="00000000" w14:paraId="0000014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môže vylúčiť z verejnej súťaže ponuku uchádzača, ak má uchádzač sídlo v treťom štáte, s ktorým nemá Slovenská republika alebo Európska únia uzatvorenú medzinárodnú zmluvu zaručujúcu rovnaký a účinný prístup k verejnému obstarávaniu v tomto treťom štáte pre hospodárske subjekty so sídlom v Slovenskej republike. Verejný obstarávateľ vylúči z verejnej súťaže ponuku uchádzača, ak má uchádzač sídlo v treťom štáte, alebo ak ide o zákazku, o ktorých to ustanoví vláda Slovenskej republiky nariadením.</w:t>
      </w:r>
    </w:p>
    <w:p w:rsidR="00000000" w:rsidDel="00000000" w:rsidP="00000000" w:rsidRDefault="00000000" w:rsidRPr="00000000" w14:paraId="00000146">
      <w:pPr>
        <w:pStyle w:val="Heading4"/>
        <w:widowControl w:val="1"/>
        <w:numPr>
          <w:ilvl w:val="0"/>
          <w:numId w:val="14"/>
        </w:numPr>
        <w:ind w:left="720" w:hanging="360"/>
        <w:rPr/>
      </w:pPr>
      <w:bookmarkStart w:colFirst="0" w:colLast="0" w:name="_heading=h.23ckvvd" w:id="33"/>
      <w:bookmarkEnd w:id="33"/>
      <w:r w:rsidDel="00000000" w:rsidR="00000000" w:rsidRPr="00000000">
        <w:rPr>
          <w:rtl w:val="0"/>
        </w:rPr>
        <w:t xml:space="preserve">Vyhodnotenie splnenia podmienok účasti</w:t>
      </w:r>
    </w:p>
    <w:p w:rsidR="00000000" w:rsidDel="00000000" w:rsidP="00000000" w:rsidRDefault="00000000" w:rsidRPr="00000000" w14:paraId="00000147">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(prostredníctvom zriadenej komisie) po vyhodnotení ponúk na základe kritérií na vyhodnotenie ponúk a po vyhodnotení ponuky uchádzača, ktorý sa po vyhodnotení ponúk na základe kritérií na vyhodnotenie ponúk umiestnil na prvom mieste v poradí, z hľadiska splnenia požiadaviek na predmet zákazky, vyhodnotí splnenie podmienok účasti týmto uchádzačom. Ak dôjde k vylúčeniu uchádzača, vyhodnotí sa následne splnenie podmienok účasti, po vyhodnotení ponuky z hľadiska splnenia požiadaviek na predmet zákazky ďalšieho uchádzača v poradí tak, aby uchádzač umiestnený na prvom mieste v novo zostavenom poradí spĺňal podmienky účasti za predpokladu, že existuje dostatočný počet uchádzačov.</w:t>
      </w:r>
    </w:p>
    <w:p w:rsidR="00000000" w:rsidDel="00000000" w:rsidP="00000000" w:rsidRDefault="00000000" w:rsidRPr="00000000" w14:paraId="00000148">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posudzuje splnenie podmienok účasti vo verejnej súťaži v súlade s Oznámením o vyhlásení verejného obstarávania a s Kapitolou A.2 Podmienky účasti súťažných podkladov.</w:t>
      </w:r>
    </w:p>
    <w:p w:rsidR="00000000" w:rsidDel="00000000" w:rsidP="00000000" w:rsidRDefault="00000000" w:rsidRPr="00000000" w14:paraId="00000149">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písomne požiada uchádzača o vysvetlenie alebo doplnenie predložených dokladov, ak z predložených dokladov nemožno posúdiť ich platnosť alebo splnenie podmienky účasti. Verejný obstarávateľ môže v súvislosti s dôvodom na vylúčenie podľa § 40 ods. 6 zákona o verejnom obstávaní požiadať uchádzača o vysvetlenie. Ak verejný obstarávateľ neurčí dlhšiu lehotu, uchádzač doručí vysvetlenie alebo doplnenie predložených dokladov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do dvoch (2) pracovných dní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odo dňa odoslania žiadosti.</w:t>
      </w:r>
    </w:p>
    <w:p w:rsidR="00000000" w:rsidDel="00000000" w:rsidP="00000000" w:rsidRDefault="00000000" w:rsidRPr="00000000" w14:paraId="0000014A">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w:t>
      </w:r>
    </w:p>
    <w:p w:rsidR="00000000" w:rsidDel="00000000" w:rsidP="00000000" w:rsidRDefault="00000000" w:rsidRPr="00000000" w14:paraId="0000014B">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 vyhodnotení splnenia podmienok účasti, ktoré sa týkajú technickej spôsobilosti alebo odbornej spôsobilosti podľa § 34 ods. 1 písm. a) zákona o verejnom obstarávaní zohľadní referencie uchádzačov uvedené v evidencii referencií podľa § 12 zákona o verejnom obstarávaní, ak takéto referencie ku dňu predloženia ponuky existujú a uchádzač ich v ponuke identifikoval;</w:t>
      </w:r>
    </w:p>
    <w:p w:rsidR="00000000" w:rsidDel="00000000" w:rsidP="00000000" w:rsidRDefault="00000000" w:rsidRPr="00000000" w14:paraId="0000014C">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 vyhodnotení splnenia podmienok účasti, ktoré sa týkajú technickej spôsobilosti alebo odbornej spôsobilosti podľa § 34 ods. 1 písm. g) zákona o verejnom obstarávaní písomne požiada uchádzača o nahradenie osôb určených na plnenie zmluvy alebo riadiacich zamestnancov, ak nespĺňajú predmetnú podmienku účasti. Ak obstarávateľ neurčí dlhšiu lehotu, uchádzač je tak povinný urobiť do piatich (5) pracovných dní odo dňa doručenia žiadosti;</w:t>
      </w:r>
    </w:p>
    <w:p w:rsidR="00000000" w:rsidDel="00000000" w:rsidP="00000000" w:rsidRDefault="00000000" w:rsidRPr="00000000" w14:paraId="0000014D">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písomne požiada uchádzača o nahradenie inej osoby, prostredníctvom ktorej preukazuje technickú spôsobilosť alebo odbornú spôsobilosť, ak existujú dôvody na jej vylúčenie. Ak verejný obstarávateľ neurčí dlhšiu lehotu, uchádzač je tak povinný urobiť do piatich (5) pracovných dní odo dňa doručenia žiadosti;</w:t>
      </w:r>
    </w:p>
    <w:p w:rsidR="00000000" w:rsidDel="00000000" w:rsidP="00000000" w:rsidRDefault="00000000" w:rsidRPr="00000000" w14:paraId="0000014E">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môže písomne požiadať uchádzača o nahradenie inej osoby, prostredníctvom ktorej preukazuje technickú spôsobilosť alebo odbornú spôsobilosť, ak existujú dôvody na jej vylúčenie podľa § 40 ods. 8 zákona o verejnom obstarávaní. Ak verejný obstarávateľ neurčí dlhšiu lehotu, uchádzač je tak povinný urobiť do piatich (5) pracovných dní odo dňa doručenia žiadosti;</w:t>
      </w:r>
    </w:p>
    <w:p w:rsidR="00000000" w:rsidDel="00000000" w:rsidP="00000000" w:rsidRDefault="00000000" w:rsidRPr="00000000" w14:paraId="0000014F">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môže písomne požiadať uchádzača o nahradenie inej osoby, prostredníctvom ktorej preukazuje technickú spôsobilosť alebo odbornú spôsobilosť, ak má táto iná osoba sídlo v treťom štáte, s ktorým nemá Slovenská republika alebo Európska únia uzatvorenú medzinárodnú zmluvu zaručujúcu rovnaký a účinný prístup k verejnému obstarávaniu v tomto treťom štáte pre hospodárske subjekty so sídlom v Slovenskej republike; písomne požiada uchádzača o nahradenie inej osoby, prostredníctvom ktorej preukazuje technickú spôsobilosť alebo odbornú spôsobilosť, ak má táto iná osoba sídlo v treťom štáte, alebo ak ide o zákazku, o ktorých to ustanoví vláda Slovenskej republiky nariadením. Ak verejný obstarávateľ neurčí dlhšiu lehotu, uchádzač je tak povinný urobiť do piatich (5) pracovných dní odo dňa doručenia žiadosti.</w:t>
      </w:r>
    </w:p>
    <w:p w:rsidR="00000000" w:rsidDel="00000000" w:rsidP="00000000" w:rsidRDefault="00000000" w:rsidRPr="00000000" w14:paraId="00000150">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vylúči z verejnej súťaže uchádzača, ak budú naplnené skutočnosti podľa § 40 ods. 6 alebo ods. 7 zákona o verejnom obstarávaní. Verejný obstarávateľ môže vylúčiť z verejnej súťaže uchádzača, ak budú naplnené skutočnosti podľa § 40 ods. 8 zákona o verejnom obstarávaní.</w:t>
      </w:r>
    </w:p>
    <w:p w:rsidR="00000000" w:rsidDel="00000000" w:rsidP="00000000" w:rsidRDefault="00000000" w:rsidRPr="00000000" w14:paraId="00000151">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je v zmysle § 39 zákona o verejnom obstarávaní oprávnený predbežne nahradiť doklady na preukázanie splnenia podmienok účasti Jednotným európskym dokumentom. Bližšie informácie k spôsobu vypĺňania Jednotného európskeho dokumentu sú dostupné na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stránke Úradu pre verejné obstarávanie (</w:t>
      </w:r>
      <w:hyperlink r:id="rId17">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https://www.uvo.gov.sk/jednotny-europsky-dokument-pre-verejne-obstaravanie</w:t>
        </w:r>
      </w:hyperlink>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152">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v Jednotnom európskom dokumente uvedie všetky relevantné informácie podľa požiadaviek verejného obstarávateľa, orgány a subjekty, ktoré vydávajú doklady na preukázanie splnenia podmienok účasti. Ak sú požadované doklady pre verejného obstarávateľa priamo a bezodplatne prístupné v elektronických databázach, uchádzač v Jednotnom európskom dokumente uvedie aj informácie potrebné na prístup do týchto elektronických databáz, najmä internetovú adresu elektronickej databázy, akékoľvek identifikačné údaje a súhlasy potrebné na prístup do tejto databázy.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Verejný obstarávateľ neumožňuje vyplniť iba α globálny údaj pre všetky podmienky účasti.</w:t>
      </w:r>
    </w:p>
    <w:p w:rsidR="00000000" w:rsidDel="00000000" w:rsidP="00000000" w:rsidRDefault="00000000" w:rsidRPr="00000000" w14:paraId="0000015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 uchádzač predbežne nahradí doklady na preukázanie splnenia podmienok účasti Jednotným európskym dokumentom, verejný obstarávateľ môže na zabezpečenie riadneho priebehu verejnej súťaže kedykoľvek v priebehu verejnej súťaže písomne požiadať uchádzača o predloženie dokladu alebo dokladov nahradených Jednotným európskym dokumentom. Uchádzač doručí doklady verejnému obstarávateľovi do piatich (5) pracovných dní odo dňa doručenia žiadosti, ak verejný obstarávateľ neurčil dlhšiu lehotu.</w:t>
      </w:r>
    </w:p>
    <w:p w:rsidR="00000000" w:rsidDel="00000000" w:rsidP="00000000" w:rsidRDefault="00000000" w:rsidRPr="00000000" w14:paraId="0000015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 uchádzač preukazuje technickú spôsobilosť alebo odbornú spôsobilosť prostredníctvom inej osoby, Jednotný európsky dokument obsahuje informácie aj o tejto osobe (časť II. oddiel C: Informácie o využívaní kapacity iných subjektov).</w:t>
      </w:r>
    </w:p>
    <w:p w:rsidR="00000000" w:rsidDel="00000000" w:rsidP="00000000" w:rsidRDefault="00000000" w:rsidRPr="00000000" w14:paraId="00000155">
      <w:pPr>
        <w:pStyle w:val="Heading3"/>
        <w:widowControl w:val="1"/>
        <w:rPr/>
      </w:pPr>
      <w:bookmarkStart w:colFirst="0" w:colLast="0" w:name="_heading=h.ihv636" w:id="34"/>
      <w:bookmarkEnd w:id="34"/>
      <w:r w:rsidDel="00000000" w:rsidR="00000000" w:rsidRPr="00000000">
        <w:rPr>
          <w:rtl w:val="0"/>
        </w:rPr>
        <w:t xml:space="preserve">ČASŤ VI. PRIJATIE PONUKY A UZATVORENIE ZMLUVY</w:t>
      </w:r>
    </w:p>
    <w:p w:rsidR="00000000" w:rsidDel="00000000" w:rsidP="00000000" w:rsidRDefault="00000000" w:rsidRPr="00000000" w14:paraId="00000156">
      <w:pPr>
        <w:pStyle w:val="Heading4"/>
        <w:widowControl w:val="1"/>
        <w:numPr>
          <w:ilvl w:val="0"/>
          <w:numId w:val="14"/>
        </w:numPr>
        <w:ind w:left="720" w:hanging="360"/>
        <w:rPr/>
      </w:pPr>
      <w:bookmarkStart w:colFirst="0" w:colLast="0" w:name="_heading=h.32hioqz" w:id="35"/>
      <w:bookmarkEnd w:id="35"/>
      <w:r w:rsidDel="00000000" w:rsidR="00000000" w:rsidRPr="00000000">
        <w:rPr>
          <w:rtl w:val="0"/>
        </w:rPr>
        <w:t xml:space="preserve">Postup po vyhodnotení ponúk</w:t>
      </w:r>
    </w:p>
    <w:p w:rsidR="00000000" w:rsidDel="00000000" w:rsidP="00000000" w:rsidRDefault="00000000" w:rsidRPr="00000000" w14:paraId="00000157">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po vyhodnotení ponúk, po skončení postupu podľa § 55 ods. 1 zákona o verejnom obstarávaní a po odoslaní všetkých oznámení o vylúčení uchádzača bezodkladne písomne oznámi všetkým dotknutým uchádzačom výsledok vyhodnotenia ponúk vrátane poradia uchádzačov v súlade s ust. § 55 ods. 2 a ods. 3 zákona o verejnom obstarávaní a uverejní informáciu o výsledku vyhodnotenia ponúk a poradie uchádzačov v profile verejného obstarávateľa na webovej stránke Úradu pre verejné obstarávanie.</w:t>
      </w:r>
    </w:p>
    <w:p w:rsidR="00000000" w:rsidDel="00000000" w:rsidP="00000000" w:rsidRDefault="00000000" w:rsidRPr="00000000" w14:paraId="00000158">
      <w:pPr>
        <w:pStyle w:val="Heading4"/>
        <w:widowControl w:val="1"/>
        <w:numPr>
          <w:ilvl w:val="0"/>
          <w:numId w:val="14"/>
        </w:numPr>
        <w:ind w:left="720" w:hanging="360"/>
        <w:rPr/>
      </w:pPr>
      <w:bookmarkStart w:colFirst="0" w:colLast="0" w:name="_heading=h.1hmsyys" w:id="36"/>
      <w:bookmarkEnd w:id="36"/>
      <w:r w:rsidDel="00000000" w:rsidR="00000000" w:rsidRPr="00000000">
        <w:rPr>
          <w:rtl w:val="0"/>
        </w:rPr>
        <w:t xml:space="preserve">Poskytnutie súčinnosti, Uzatvorenie zmluvy</w:t>
      </w:r>
    </w:p>
    <w:p w:rsidR="00000000" w:rsidDel="00000000" w:rsidP="00000000" w:rsidRDefault="00000000" w:rsidRPr="00000000" w14:paraId="00000159">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uzatvorí s jediným úspešným uchádzačom Zmluvu o poskytovaní služieb podpory prevádzky, údržby a rozvoja informačných systémov podľa § 269 ods. 2 zákona č. 513/1991 Zb. Obchodný zákonník v znení neskorších predpisov,. Uzatvorená zmluva nesmie byť v rozpore so súťažnými podkladmi a s ponukou predloženou úspešným uchádzačom.</w:t>
      </w:r>
    </w:p>
    <w:p w:rsidR="00000000" w:rsidDel="00000000" w:rsidP="00000000" w:rsidRDefault="00000000" w:rsidRPr="00000000" w14:paraId="0000015A">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zmysle ust. § 11 zákona o verejnom obstarávaní, verejný obstarávateľ nesmie uzatvoriť zmluvu s:</w:t>
      </w:r>
    </w:p>
    <w:p w:rsidR="00000000" w:rsidDel="00000000" w:rsidP="00000000" w:rsidRDefault="00000000" w:rsidRPr="00000000" w14:paraId="0000015B">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uchádzačom, ktorý má povinnosť zapisovať sa do registra partnerov verejného sektora podľa ust. zákona č. 315/2016 Z. z. o registri partnerov verejného sektora a o zmene a doplnení niektorých zákonov v znení neskorších predpisov (ďalej ako „zákon o registri partnerov verejného sektora“ v príslušnom gramatickom tvare) a nie je zapísaný v registri partnerov verejného sektora;</w:t>
      </w:r>
    </w:p>
    <w:p w:rsidR="00000000" w:rsidDel="00000000" w:rsidP="00000000" w:rsidRDefault="00000000" w:rsidRPr="00000000" w14:paraId="0000015C">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uchádzačom, ktorého subdodávateľ a subdodávateľ podľa zákona o registri partnerov verejného sektora má povinnosť zapisovať sa do registra partnerov verejného sektora podľa ust. zákona o registri partnerov verejného sektora a nie je zapísaný v registri partnerov verejného sektora;</w:t>
      </w:r>
    </w:p>
    <w:p w:rsidR="00000000" w:rsidDel="00000000" w:rsidP="00000000" w:rsidRDefault="00000000" w:rsidRPr="00000000" w14:paraId="0000015D">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uchádzačom, ktorý má povinnosť zapisovať sa do registra partnerov verejného sektora podľa ust. zákona o registri partnerov verejného sektora a ktorého konečným užívateľom výhod zapísaným v registri partnerov verejného sektora je osoba uvedená v ust. § 11 ods. 1 písm. c) zákona o verejnom obstarávaní;</w:t>
      </w:r>
    </w:p>
    <w:p w:rsidR="00000000" w:rsidDel="00000000" w:rsidP="00000000" w:rsidRDefault="00000000" w:rsidRPr="00000000" w14:paraId="0000015E">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uchádzačom, ktorého subdodávateľ a subdodávateľ podľa zákona o registri partnerov verejného sektora má povinnosť zapisovať sa do registra partnerov verejného sektora podľa ust. zákona o registri partnerov verejného sektora a ktorého konečným užívateľom výhod zapísaným v registri partnerov verejného sektora je osoba uvedená v ust. § 11 ods. 1 písm. c) zákona o verejnom obstarávaní.</w:t>
      </w:r>
    </w:p>
    <w:p w:rsidR="00000000" w:rsidDel="00000000" w:rsidP="00000000" w:rsidRDefault="00000000" w:rsidRPr="00000000" w14:paraId="0000015F">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ďalej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patriacich do rozsahu pôsobnosti smerníc o verejnom obstarávaní, mimo určených výnimiek, nasledujúcim osobám, subjektom alebo orgánom alebo pokračovanie v ich plnení s nasledujúcimi osobami, subjektmi a orgánmi:</w:t>
      </w:r>
    </w:p>
    <w:p w:rsidR="00000000" w:rsidDel="00000000" w:rsidP="00000000" w:rsidRDefault="00000000" w:rsidRPr="00000000" w14:paraId="0000016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ruský štátny príslušník, fyzická osoba s pobytom v Rusku alebo právnická osoba, subjekt alebo orgán usadení v Rusku,</w:t>
      </w:r>
    </w:p>
    <w:p w:rsidR="00000000" w:rsidDel="00000000" w:rsidP="00000000" w:rsidRDefault="00000000" w:rsidRPr="00000000" w14:paraId="0000016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právnická osoba, subjekt alebo orgán, ktoré z viac ako 50 % priamo alebo nepriamo vlastní subjekt uvedený v písmene a) vyššie, alebo</w:t>
      </w:r>
    </w:p>
    <w:p w:rsidR="00000000" w:rsidDel="00000000" w:rsidP="00000000" w:rsidRDefault="00000000" w:rsidRPr="00000000" w14:paraId="00000162">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právnická alebo fyzická osoba, subjekt alebo orgán, ktoré konajú v mene alebo na základe pokynov subjektu uvedeného v písmene a) alebo b) vyššie,</w:t>
      </w:r>
    </w:p>
    <w:p w:rsidR="00000000" w:rsidDel="00000000" w:rsidP="00000000" w:rsidRDefault="00000000" w:rsidRPr="00000000" w14:paraId="00000163">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vrátane subdodávateľov, dodávateľov alebo subjektov, ktorých kapacity sa využívajú v zmysle smerníc o verejnom obstarávaní, ak na nich pripadá viac ako 10 % hodnoty zákazky.</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41mghml" w:id="37"/>
      <w:bookmarkEnd w:id="37"/>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zmysle uvedeného, verejný obstarávateľ neuzatvorí zmluvu s uchádzačom, ktorý bude osobou, subjektom alebo orgánom uvedeným v písm. a) až c) vyššie, alebo ktorého subdodávateľ alebo osoba, ktorej finančné zdroje alebo technické a odborné kapacity uchádzač využíva na preukázanie splnenia podmienok účasti a na ktorého/ktorú pripadá viac ako 10 % hodnoty zákazky, bude osobou, subjektom alebo orgánom uvedeným v písm. a) až c) vyššie. Verejný obstarávateľ požaduje, aby uchádzač obsahom ponuky predložil čestné vyhlásenie uchádzača v rozsahu podľa Prílohy č. 9 súťažných podkladov. V prípade akýchkoľvek pochybností si verejný obstarávateľ vyhradzuje právo vyžiadať si dodatočné informácie, vysvetlenie, doklady a/alebo dokumenty.</w:t>
      </w:r>
    </w:p>
    <w:p w:rsidR="00000000" w:rsidDel="00000000" w:rsidP="00000000" w:rsidRDefault="00000000" w:rsidRPr="00000000" w14:paraId="0000016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uzatvorí zmluvu s úspešným uchádzačom najskôr jedenásty (11.) deň odo dňa odoslania informácie o výsledku vyhodnotenia ponúk podľa § 55 zákona o verejnom obstarávaní, ak neboli doručené námietky podľa § 170 zákona o verejnom obstarávaní.</w:t>
      </w:r>
    </w:p>
    <w:p w:rsidR="00000000" w:rsidDel="00000000" w:rsidP="00000000" w:rsidRDefault="00000000" w:rsidRPr="00000000" w14:paraId="00000166">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prípade, ak boli doručené námietky podľa § 170 zákona o verejnom obstarávaní, verejný obstarávateľ pri uzatváraní zmluvy postupuje podľa § 56 ods. 3 zákona o verejnom obstarávaní.</w:t>
      </w:r>
    </w:p>
    <w:p w:rsidR="00000000" w:rsidDel="00000000" w:rsidP="00000000" w:rsidRDefault="00000000" w:rsidRPr="00000000" w14:paraId="00000167">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Úspešný uchádzač je povinný poskytnúť verejnému obstarávateľovi riadnu súčinnosť potrebnú na uzatvorenie zmluvy tak, aby mohla byť uzatvorená do desať (10) pracovných dní odo dňa uplynutia lehoty podľa § 56 ods. 2 až ods. 7 zákona o verejnom obstarávaní, ak bol na jej uzatvorenie písomne vyzvaný. Verejný obstarávateľ je oprávnený pred písomným vyzvaním na uzatvorenie zmluvy uskutočniť s úspešným uchádzačom rokovanie o znížení zmluvnej ceny.</w:t>
      </w:r>
    </w:p>
    <w:p w:rsidR="00000000" w:rsidDel="00000000" w:rsidP="00000000" w:rsidRDefault="00000000" w:rsidRPr="00000000" w14:paraId="00000168">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Povinnosti úspešného uchádzača v rámci poskytnutia riadnej súčinnosti potrebnej na uzatvorenie zmluvy: úspešný uchádzač na základe výzvy verejného obstarávateľa na poskytnutie riadnej súčinnosti potrebnej na uzatvorenie zmluvy, najneskôr v lehote do desať (10) pracovných dní:</w:t>
      </w:r>
    </w:p>
    <w:p w:rsidR="00000000" w:rsidDel="00000000" w:rsidP="00000000" w:rsidRDefault="00000000" w:rsidRPr="00000000" w14:paraId="00000169">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 je úspešným uchádzačom skupina dodávateľov, predloží verejnému obstarávateľovi originál, alebo úradne osvedčenú kópiu originálu zmluvy podľa Kapitoly A.1 Pokyny pre uchádzačov, ods. 9., bod 9.4 súťažných podkladov;</w:t>
      </w:r>
    </w:p>
    <w:p w:rsidR="00000000" w:rsidDel="00000000" w:rsidP="00000000" w:rsidRDefault="00000000" w:rsidRPr="00000000" w14:paraId="0000016A">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 úspešný uchádzač, jeho subdodávateľ a subdodávateľ podľa zákona o registri partnerov verejného sektora majú povinnosť zapisovať sa do registra partnerov verejného sektora podľa ust. zákona o registri partnerov verejného sektora, sú povinní byť zapísaní v registri partnerov verejného sektora; </w:t>
      </w:r>
    </w:p>
    <w:p w:rsidR="00000000" w:rsidDel="00000000" w:rsidP="00000000" w:rsidRDefault="00000000" w:rsidRPr="00000000" w14:paraId="0000016B">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predloží verejnému obstarávateľovi čestné vyhlásenie úspešného uchádzača, obsahom ktorého úspešný uchádzač vyhlási, že neexistuje prekážka na uzatvorenie zmluvy podľa § 11 ods. 1 písm. c) a d) zákona o verejnom obstarávaní a síce, že ak úspešný uchádzač má povinnosť zapisovať sa do registra partnerov verejného sektora podľa ust. zákona o registri partnerov verejného sektora, konečným užívateľom výhod úspešného uchádzača zapísaným v registri partnerov verejného sektora nie je osoba uvedená v ust. § 11 ods. 1 písm. c) zákona o verejnom obstarávaní a konečným užívateľom výhod subdodávateľa a subdodávateľa podľa zákona o registri partnerov verejného sektora, ktorí majú povinnosť zapisovať sa do registra partnerov verejného sektora podľa ust. zákona o registri partnerov verejného sektora, zapísaným v registri partnerov verejného sektora nie je osoba uvedená v ust. § 11 ods. 1 písm. c) zákona o verejnom obstarávaní;</w:t>
      </w:r>
    </w:p>
    <w:p w:rsidR="00000000" w:rsidDel="00000000" w:rsidP="00000000" w:rsidRDefault="00000000" w:rsidRPr="00000000" w14:paraId="0000016C">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predloží verejnému obstarávateľovi údaje a informácie potrebné pre prípravu konečnej podoby zmluvy, vrátane jej príloh;</w:t>
      </w:r>
    </w:p>
    <w:p w:rsidR="00000000" w:rsidDel="00000000" w:rsidP="00000000" w:rsidRDefault="00000000" w:rsidRPr="00000000" w14:paraId="0000016D">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predloží verejnému obstarávateľovi potrebný počet rovnopisov zmluvy podpísanej osobou oprávnenou konať za úspešného uchádzača;</w:t>
      </w:r>
    </w:p>
    <w:p w:rsidR="00000000" w:rsidDel="00000000" w:rsidP="00000000" w:rsidRDefault="00000000" w:rsidRPr="00000000" w14:paraId="0000016E">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 zmluva bola podpísaná inou osobou/osobami ako štatutárnym orgánom úspešného uchádzača / členom štatutárneho orgánu úspešného uchádzača, ktorému právo konať za úspešného uchádzača vyplýva zo zápisu v príslušnom registri, predloží verejnému obstarávateľovi originál, alebo úradne osvedčenú kópiu originálu plnej moci, z ktorej vyplýva právo osobe/osobám, ktoré podpísali zmluvu, konať v danej veci za úspešného uchádzača.</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Nesplnenie uvedených povinností bude považované za neposkytnutie riadnej súčinnosti potrebnej na uzatvorenie zmluvy.</w:t>
      </w:r>
    </w:p>
    <w:p w:rsidR="00000000" w:rsidDel="00000000" w:rsidP="00000000" w:rsidRDefault="00000000" w:rsidRPr="00000000" w14:paraId="00000170">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 úspešný uchádzač odmietne uzatvoriť zmluvu alebo ak do desať (10) pracovných dní odo dňa, keď bol na jej uzatvorenie písomne vyzvaný neposkytne riadnu súčinnosť potrebnú na uzatvorenie zmluvy, verejný obstarávateľ môže uzatvoriť zmluvu s uchádzačom, ktorý sa umiestnil na nasledujúcom mieste v poradí. Verejný obstarávateľ je povinný bezodkladne písomne informovať úspešného uchádzača o tom, že s ním nebude uzatvorená zmluva spolu s uvedením dôvodov. Ak neboli doručené námietky podľa § 170 ods. 4 zákona o verejnom obstarávaní, verejný obstarávateľ môže uzatvoriť zmluvu s uchádzačom, ktorý sa umiestnil na nasledujúcom mieste v poradí, a to najskôr jedenásty (11.) deň odo dňa odoslania informácie podľa predchádzajúcej vety. Povinnosti verejného obstarávateľa podľa § 55 a § 56 zákona o verejnom obstarávaní tým nie sú dotknuté.</w:t>
      </w:r>
    </w:p>
    <w:p w:rsidR="00000000" w:rsidDel="00000000" w:rsidP="00000000" w:rsidRDefault="00000000" w:rsidRPr="00000000" w14:paraId="00000171">
      <w:pPr>
        <w:pStyle w:val="Heading3"/>
        <w:widowControl w:val="1"/>
        <w:rPr/>
      </w:pPr>
      <w:bookmarkStart w:colFirst="0" w:colLast="0" w:name="_heading=h.2grqrue" w:id="38"/>
      <w:bookmarkEnd w:id="38"/>
      <w:r w:rsidDel="00000000" w:rsidR="00000000" w:rsidRPr="00000000">
        <w:rPr>
          <w:rtl w:val="0"/>
        </w:rPr>
        <w:t xml:space="preserve">ČASŤ VII. ĎALŠIE INFORMÁCIE</w:t>
      </w:r>
    </w:p>
    <w:p w:rsidR="00000000" w:rsidDel="00000000" w:rsidP="00000000" w:rsidRDefault="00000000" w:rsidRPr="00000000" w14:paraId="00000172">
      <w:pPr>
        <w:pStyle w:val="Heading4"/>
        <w:widowControl w:val="1"/>
        <w:numPr>
          <w:ilvl w:val="0"/>
          <w:numId w:val="14"/>
        </w:numPr>
        <w:ind w:left="720" w:hanging="360"/>
        <w:rPr/>
      </w:pPr>
      <w:bookmarkStart w:colFirst="0" w:colLast="0" w:name="_heading=h.vx1227" w:id="39"/>
      <w:bookmarkEnd w:id="39"/>
      <w:r w:rsidDel="00000000" w:rsidR="00000000" w:rsidRPr="00000000">
        <w:rPr>
          <w:rtl w:val="0"/>
        </w:rPr>
        <w:t xml:space="preserve">Zrušenie verejného obstarávania</w:t>
      </w:r>
    </w:p>
    <w:p w:rsidR="00000000" w:rsidDel="00000000" w:rsidP="00000000" w:rsidRDefault="00000000" w:rsidRPr="00000000" w14:paraId="0000017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zruší verejnú súťaž, ak bude naplnená niektorá z podmienok podľa ust. § 57 ods. 1 zákona o verejnom obstarávaní.</w:t>
      </w:r>
    </w:p>
    <w:p w:rsidR="00000000" w:rsidDel="00000000" w:rsidP="00000000" w:rsidRDefault="00000000" w:rsidRPr="00000000" w14:paraId="0000017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môže zrušiť verejnú súťaž aj vtedy, ak bude naplnená niektorá z podmienok podľa ust. § 57 ods. 2 zákona o verejnom obstarávaní.</w:t>
      </w:r>
    </w:p>
    <w:p w:rsidR="00000000" w:rsidDel="00000000" w:rsidP="00000000" w:rsidRDefault="00000000" w:rsidRPr="00000000" w14:paraId="0000017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bezodkladne upovedomí všetkých uchádzačov alebo záujemcov o zrušení verejnej súťaže s uvedením dôvodu a oznámi postup, ktorý použije pri zadávaní zákazky na pôvodný predmet zákazky.</w:t>
      </w:r>
    </w:p>
    <w:p w:rsidR="00000000" w:rsidDel="00000000" w:rsidP="00000000" w:rsidRDefault="00000000" w:rsidRPr="00000000" w14:paraId="00000176">
      <w:pPr>
        <w:pStyle w:val="Heading4"/>
        <w:widowControl w:val="1"/>
        <w:numPr>
          <w:ilvl w:val="0"/>
          <w:numId w:val="14"/>
        </w:numPr>
        <w:ind w:left="720" w:hanging="360"/>
        <w:rPr/>
      </w:pPr>
      <w:bookmarkStart w:colFirst="0" w:colLast="0" w:name="_heading=h.3fwokq0" w:id="40"/>
      <w:bookmarkEnd w:id="40"/>
      <w:r w:rsidDel="00000000" w:rsidR="00000000" w:rsidRPr="00000000">
        <w:rPr>
          <w:rtl w:val="0"/>
        </w:rPr>
        <w:t xml:space="preserve">Dôvernosť procesu verejného obstarávania</w:t>
      </w:r>
    </w:p>
    <w:p w:rsidR="00000000" w:rsidDel="00000000" w:rsidP="00000000" w:rsidRDefault="00000000" w:rsidRPr="00000000" w14:paraId="00000177">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rsidR="00000000" w:rsidDel="00000000" w:rsidP="00000000" w:rsidRDefault="00000000" w:rsidRPr="00000000" w14:paraId="00000178">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rsidR="00000000" w:rsidDel="00000000" w:rsidP="00000000" w:rsidRDefault="00000000" w:rsidRPr="00000000" w14:paraId="00000179">
      <w:pPr>
        <w:pStyle w:val="Heading4"/>
        <w:widowControl w:val="1"/>
        <w:numPr>
          <w:ilvl w:val="0"/>
          <w:numId w:val="14"/>
        </w:numPr>
        <w:ind w:left="720" w:hanging="360"/>
        <w:rPr/>
      </w:pPr>
      <w:bookmarkStart w:colFirst="0" w:colLast="0" w:name="_heading=h.1v1yuxt" w:id="41"/>
      <w:bookmarkEnd w:id="41"/>
      <w:r w:rsidDel="00000000" w:rsidR="00000000" w:rsidRPr="00000000">
        <w:rPr>
          <w:rtl w:val="0"/>
        </w:rPr>
        <w:t xml:space="preserve">Využitie subdodávateľov</w:t>
      </w:r>
    </w:p>
    <w:p w:rsidR="00000000" w:rsidDel="00000000" w:rsidP="00000000" w:rsidRDefault="00000000" w:rsidRPr="00000000" w14:paraId="0000017A">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vyžaduje, aby</w:t>
      </w:r>
    </w:p>
    <w:p w:rsidR="00000000" w:rsidDel="00000000" w:rsidP="00000000" w:rsidRDefault="00000000" w:rsidRPr="00000000" w14:paraId="0000017B">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v ponuke uviedol podiel zákazky, ktorý má v úmysle zadať subdodávateľom, navrhovaných subdodávateľov a predmet subdodávok,</w:t>
      </w:r>
    </w:p>
    <w:p w:rsidR="00000000" w:rsidDel="00000000" w:rsidP="00000000" w:rsidRDefault="00000000" w:rsidRPr="00000000" w14:paraId="0000017C">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navrhovaný subdodávateľ spĺňal podmienky účasti týkajúce sa osobného postavenia podľa § 32 zákona o verejnom obstarávaní a neexistovali u neho dôvody na vylúčenie podľa § 40 ods. 6 písm. a) až g), ods. 7 a ods. 8 zákona o verejnom obstarávaní; splnenie podmienky účasti týkajúcej sa osobného postavenia podľa § 32 ods. 1 písm. e) zákona o verejnom obstarávaní preukazuje subdodávateľ len vo vzťahu k tej časti predmetu zákazky, ktorú má subdodávateľ plniť.</w:t>
      </w:r>
    </w:p>
    <w:p w:rsidR="00000000" w:rsidDel="00000000" w:rsidP="00000000" w:rsidRDefault="00000000" w:rsidRPr="00000000" w14:paraId="0000017D">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Splnenie podmienok účasti týkajúcich sa osobného postavenia podľa § 32 zákona o verejnom obstarávaní preukáže uchádzač predložením dokladov subdodávateľa podľa § 32 zákona o verejnom obstarávaní, alebo predložením dokladov subdodávateľa podľa § 32, najmä podľa § 32 ods. 7 zákona o verejnom obstarávaní v kombinácii s preukázaním splnenia podmienok účasti týkajúcich sa osobného postavenia podľa § 152 ods. 1 alebo § 152 ods. 3 zákona o verejnom obstarávaní; vzor čestného vyhlásenia subdodávateľa, ktorému má uchádzač v úmysle zadať určitý podiel zákazky, vo vzťahu k preukázaniu splnenia podmienky účasti týkajúcej sa osobného postavenia podľa § 32 ods. 1 písm. a) zákona o verejnom obstarávaní osobami špecifikovanými v § 32 ods. 7 a ods. 8 zákona o verejnom obstarávaní - doklad podľa § 32 ods. 7 zákona o verejnom obstarávaní - tvorí Prílohu č. 17.3 súťažných podkladov </w:t>
      </w:r>
    </w:p>
    <w:p w:rsidR="00000000" w:rsidDel="00000000" w:rsidP="00000000" w:rsidRDefault="00000000" w:rsidRPr="00000000" w14:paraId="0000017E">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 navrhovaný subdodávateľ nespĺňa podmienky účasti podľa Kapitoly A.1 Pokyny pre uchádzačov, ods. 30., bod 30.1.2 súťažných podkladov, verejný obstarávateľ písomne požiada uchádzača o jeho nahradenie. Verejný obstarávateľ môže písomne požiadať uchádzača o nahradenie subdodávateľa, ktorý má sídlo v treťom štáte, s ktorým nemá Slovenská republika alebo Európska únia uzatvorenú medzinárodnú zmluvu zaručujúcu rovnaký a účinný prístup k verejnému obstarávaniu v tomto treťom štáte pre hospodárske subjekty so sídlom v Slovenskej republike; verejný obstarávateľ písomne požiada uchádzača o nahradenie subdodávateľa, ak má subdodávateľ sídlo v treťom štáte, alebo ak ide o zákazku, o ktorých to ustanoví vláda Slovenskej republiky nariadením.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 152 ods. 1 alebo § 152 ods. 3 zákona o verejnom obstarávaní do piatich (5) pracovných dní odo dňa doručenia žiadosti podľa prvej vety alebo druhej vety, ak verejný obstarávateľ neurčil dlhšiu lehotu.</w:t>
      </w:r>
    </w:p>
    <w:p w:rsidR="00000000" w:rsidDel="00000000" w:rsidP="00000000" w:rsidRDefault="00000000" w:rsidRPr="00000000" w14:paraId="0000017F">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požaduje, aby úspešný uchádzač v zmluve, najneskôr v čase jej uzatvorenia uviedol údaje o všetkých známych subdodávateľoch, údaje o osobe oprávnenej konať za subdodávateľa v rozsahu meno a priezvisko, adresa pobytu, dátum narodenia.</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Osobné údaje osoby oprávnenej konať za subdodávateľa budú pre prípad zverejnenia zmluvy v Centrálnom registri zmlúv vedenom Úradom vlády Slovenskej republiky anonymizované.</w:t>
      </w:r>
    </w:p>
    <w:p w:rsidR="00000000" w:rsidDel="00000000" w:rsidP="00000000" w:rsidRDefault="00000000" w:rsidRPr="00000000" w14:paraId="00000181">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prípade zmeny subdodávateľa počas trvania zmluvy, ktorá je výsledkom tejto verejnej súťaže, je postup uvedený v návrhu zmluvných podmienok.</w:t>
      </w:r>
    </w:p>
    <w:p w:rsidR="00000000" w:rsidDel="00000000" w:rsidP="00000000" w:rsidRDefault="00000000" w:rsidRPr="00000000" w14:paraId="00000182">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Každý subdodávateľ, ktorý má povinnosť podľa zákona o registri partnerov verejného sektora zapisovať sa do registra partnerov verejného sektora, je povinný byť zapísaný v registri partnerov verejného sektora.</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1">
      <w:pPr>
        <w:pStyle w:val="Heading2"/>
        <w:widowControl w:val="1"/>
        <w:rPr/>
      </w:pPr>
      <w:bookmarkStart w:colFirst="0" w:colLast="0" w:name="_heading=h.4f1mdlm" w:id="42"/>
      <w:bookmarkEnd w:id="42"/>
      <w:r w:rsidDel="00000000" w:rsidR="00000000" w:rsidRPr="00000000">
        <w:rPr>
          <w:rtl w:val="0"/>
        </w:rPr>
        <w:t xml:space="preserve">KAPITOLA A.2 PODMIENKY ÚČASTI</w:t>
      </w:r>
    </w:p>
    <w:p w:rsidR="00000000" w:rsidDel="00000000" w:rsidP="00000000" w:rsidRDefault="00000000" w:rsidRPr="00000000" w14:paraId="000001A2">
      <w:pPr>
        <w:pStyle w:val="Heading4"/>
        <w:widowControl w:val="1"/>
        <w:numPr>
          <w:ilvl w:val="0"/>
          <w:numId w:val="12"/>
        </w:numPr>
        <w:ind w:left="567" w:hanging="567"/>
        <w:rPr/>
      </w:pPr>
      <w:bookmarkStart w:colFirst="0" w:colLast="0" w:name="_heading=h.2u6wntf" w:id="43"/>
      <w:bookmarkEnd w:id="43"/>
      <w:r w:rsidDel="00000000" w:rsidR="00000000" w:rsidRPr="00000000">
        <w:rPr>
          <w:rtl w:val="0"/>
        </w:rPr>
        <w:t xml:space="preserve">Osobné postavenie</w:t>
      </w:r>
    </w:p>
    <w:p w:rsidR="00000000" w:rsidDel="00000000" w:rsidP="00000000" w:rsidRDefault="00000000" w:rsidRPr="00000000" w14:paraId="000001A3">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o verejnom obstarávaní v kombinácii s preukázaním splnenia podmienok účasti týkajúcich sa osobného postavenia podľa § 152 ods. 1 (zápis do zoznamu hospodárskych subjektov) alebo § 152 ods. 3 zákona o verejnom obstarávaní. Vzor čestné vyhláseni</w:t>
      </w:r>
      <w:r w:rsidDel="00000000" w:rsidR="00000000" w:rsidRPr="00000000">
        <w:rPr>
          <w:sz w:val="22"/>
          <w:szCs w:val="22"/>
          <w:rtl w:val="0"/>
        </w:rPr>
        <w:t xml:space="preserve">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uchádzača vo vzťahu k preukázaniu splnenia podmienky účasti týkajúcej sa osobného postavenia podľa § 32 ods. 1 písm. a) zákona o verejnom obstarávaní osobami špecifikovanými v § 32 ods. 7 a ods. 8 zákona o verejnom obstarávaní - doklad podľa § 32 ods. 7 zákona o verejnom obstarávaní - tvorí Prílohu č. 17.1 súťažných podkladov.</w:t>
      </w:r>
    </w:p>
    <w:p w:rsidR="00000000" w:rsidDel="00000000" w:rsidP="00000000" w:rsidRDefault="00000000" w:rsidRPr="00000000" w14:paraId="000001A4">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Zápis do zoznamu hospodárskych subjektov je účinný voči obstarávateľovi a údaje v ňom uvedené nie je potrebné v postupoch verejného obstarávania overovať.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rsidR="00000000" w:rsidDel="00000000" w:rsidP="00000000" w:rsidRDefault="00000000" w:rsidRPr="00000000" w14:paraId="000001A5">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uvádza, že verejný obstarávateľ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rsidR="00000000" w:rsidDel="00000000" w:rsidP="00000000" w:rsidRDefault="00000000" w:rsidRPr="00000000" w14:paraId="000001A6">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rsidR="00000000" w:rsidDel="00000000" w:rsidP="00000000" w:rsidRDefault="00000000" w:rsidRPr="00000000" w14:paraId="000001A7">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môže predbežne nahradiť doklady určené verejným obstarávateľom na preukázanie splnenia podmienok účasti jednotným európskym dokumentom v zmysle § 39 zákona o verejnom obstarávaní.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Verejný obstarávateľ neumožňuje vyplniť iba α globálny údaj pre všetky podmienky účasti.</w:t>
      </w:r>
    </w:p>
    <w:p w:rsidR="00000000" w:rsidDel="00000000" w:rsidP="00000000" w:rsidRDefault="00000000" w:rsidRPr="00000000" w14:paraId="000001A8">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Skupina dodávateľov preukazuje splnenie podmienok účasti vo verejnej súťaži týkajúcich sa osobného postavenia za každého člena skupiny dodávateľov osobitne. Oprávnenie poskytovať predmet zákazky preukazuje člen skupiny dodávateľov len vo vzťahu k tej časti predmetu zákazky, ktorú má zabezpečiť.</w:t>
      </w:r>
    </w:p>
    <w:p w:rsidR="00000000" w:rsidDel="00000000" w:rsidP="00000000" w:rsidRDefault="00000000" w:rsidRPr="00000000" w14:paraId="000001A9">
      <w:pPr>
        <w:pStyle w:val="Heading4"/>
        <w:widowControl w:val="1"/>
        <w:numPr>
          <w:ilvl w:val="0"/>
          <w:numId w:val="12"/>
        </w:numPr>
        <w:ind w:left="567" w:hanging="567"/>
        <w:rPr/>
      </w:pPr>
      <w:bookmarkStart w:colFirst="0" w:colLast="0" w:name="_heading=h.19c6y18" w:id="44"/>
      <w:bookmarkEnd w:id="44"/>
      <w:r w:rsidDel="00000000" w:rsidR="00000000" w:rsidRPr="00000000">
        <w:rPr>
          <w:rtl w:val="0"/>
        </w:rPr>
        <w:t xml:space="preserve">Technická spôsobilosť alebo odborná spôsobilosť</w:t>
      </w:r>
    </w:p>
    <w:p w:rsidR="00000000" w:rsidDel="00000000" w:rsidP="00000000" w:rsidRDefault="00000000" w:rsidRPr="00000000" w14:paraId="000001AA">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v ponuke predloží nasledovné doklady, ktorými preukazuje svoju technickú spôsobilosť alebo odbornú spôsobilosť vo verejnej súťaži:</w:t>
      </w:r>
    </w:p>
    <w:p w:rsidR="00000000" w:rsidDel="00000000" w:rsidP="00000000" w:rsidRDefault="00000000" w:rsidRPr="00000000" w14:paraId="000001AB">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podľa § 34 ods. 1 písm. a) zákona o verejnom obstarávaní: zoznam poskytnutých služieb za predchádzajúce tri (3) roky od vyhlásenia verejného obstarávania s uvedením cien, lehôt dodania a odberateľov; dokladom je referencia, ak odberateľom bol verejný obstarávateľ alebo obstarávateľ podľa zákona o verejnom obstarávaní;</w:t>
      </w:r>
    </w:p>
    <w:p w:rsidR="00000000" w:rsidDel="00000000" w:rsidP="00000000" w:rsidRDefault="00000000" w:rsidRPr="00000000" w14:paraId="000001AC">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podľa § 34 ods. 1 písm. d) zákona o verejnom obstarávaní v nadväznosti na § 35 zákona o verejnom obstarávaní: opis technického vybavenia, študijných a výskumných zariadení a opatrení použitých uchádzačom na zabezpečenie kvality;</w:t>
      </w:r>
    </w:p>
    <w:p w:rsidR="00000000" w:rsidDel="00000000" w:rsidP="00000000" w:rsidRDefault="00000000" w:rsidRPr="00000000" w14:paraId="000001AD">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podľa § 34 ods. 1 písm. g) zákona o verejnom obstarávaní: údaje o vzdelaní a odbornej praxi alebo o odbornej kvalifikácii osôb určených na plnenie zmluvy alebo riadiacich zamestnancov.</w:t>
      </w:r>
    </w:p>
    <w:p w:rsidR="00000000" w:rsidDel="00000000" w:rsidP="00000000" w:rsidRDefault="00000000" w:rsidRPr="00000000" w14:paraId="000001AE">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Všeobecné informácie k podmienkam účasti týkajúcim sa technickej spôsobilosti alebo odbornej spôsobilosti:</w:t>
      </w:r>
    </w:p>
    <w:p w:rsidR="00000000" w:rsidDel="00000000" w:rsidP="00000000" w:rsidRDefault="00000000" w:rsidRPr="00000000" w14:paraId="000001AF">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môže predbežne nahradiť doklady určené verejným obstarávateľom na preukázanie splnenia podmienok účasti jednotným európskym dokumentom v zmysle § 39 zákona o verejnom obstarávaní.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Verejný obstarávateľ neumožňuje vyplniť iba α globálny údaj pre všetky podmienky účasti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B0">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môže na preukázanie technickej spôsobilosti alebo odbornej spôsobilosti využiť technické a odborné kapacity inej osoby v zmysle a za podmienok uvedených v ust. § 34 ods. 3 zákona o verejnom obstarávaní; vzor čestného vyhlásenia inej osoby podľa § 34 ods. 3 zákona o verejnom obstarávaní, vo vzťahu k preukázaniu splnenia podmienky účasti týkajúcej sa osobného postavenia podľa § 32 ods. 1 písm. a) zákona o verejnom obstarávaní osobami špecifikovanými v § 32 ods. 7 a ods. 8 zákona o verejnom obstarávaní - doklad podľa § 32 ods. 7 zákona o verejnom obstarávaní - tvorí Prílohu č. 17.2 súťažných podkladov.</w:t>
      </w:r>
    </w:p>
    <w:p w:rsidR="00000000" w:rsidDel="00000000" w:rsidP="00000000" w:rsidRDefault="00000000" w:rsidRPr="00000000" w14:paraId="000001B1">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Skupina dodávateľov preukazuje splnenie podmienok účasti vo verejnom obstarávaní týkajúcich sa technickej spôsobilosti alebo odbornej spôsobilosti spoločne.</w:t>
      </w:r>
    </w:p>
    <w:p w:rsidR="00000000" w:rsidDel="00000000" w:rsidP="00000000" w:rsidRDefault="00000000" w:rsidRPr="00000000" w14:paraId="000001B2">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2024 použije uchádzač na prepočet kurz inej meny zverejnený Európskou centrálnou bankou v deň uverejnenia Oznámenia o vyhlásení verejného obstarávania v Úradnom vestníku Európskej únie.</w:t>
      </w:r>
    </w:p>
    <w:p w:rsidR="00000000" w:rsidDel="00000000" w:rsidP="00000000" w:rsidRDefault="00000000" w:rsidRPr="00000000" w14:paraId="000001B3">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Minimálna požadovaná úroveň štandardov k podmienke účasti podľa § 34 ods. 1 písm. a) zákona o verejnom obstarávaní:</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predloží zoznam poskytnutých služieb rovnakého alebo podobného charakteru ako je predmet zákazky s uvedením cien, lehôt dodania a odberateľov; dokladom je referencia, ak odberateľom uchádzača bol verejný obstarávateľ alebo obstarávateľ podľa zákona o verejnom obstarávaní.</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Zoznamom poskytnutých služieb uchádzač preukáže poskytnutie služieb rovnakého alebo obdobného charakteru ako je predmet zákazky (obdobným predmetom zákazky sa rozumie poskytovanie služieb podpory prevádzky informačného systému v režime 24x7x365 a služieb rozvoja informačného systému). </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musí predloženým zoznamom poskytnutých služieb (resp. referenciami) preukázať, že počas predchádzajúcich troch (3) rokov od vyhlásenia verejného obstarávania:</w:t>
      </w:r>
    </w:p>
    <w:p w:rsidR="00000000" w:rsidDel="00000000" w:rsidP="00000000" w:rsidRDefault="00000000" w:rsidRPr="00000000" w14:paraId="000001B8">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poskytol služby rovnakého alebo podobného charakteru ako je predmet zákazky, ktorých finančný objem bol spolu za sledované obdobie kumulatívne v minimálnej výške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1.500.000,00 EUR bez DPH</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141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zároveň</w:t>
      </w:r>
    </w:p>
    <w:p w:rsidR="00000000" w:rsidDel="00000000" w:rsidP="00000000" w:rsidRDefault="00000000" w:rsidRPr="00000000" w14:paraId="000001BA">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poskytol pre jedného (1) odberateľa, na základe jedného (1) zmluvného vzťahu služby rovnakého alebo podobného charakteru ako je predmet zákazky, ktorých finančný objem bol spolu za sledované obdobie v minimálnej výške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1.000.000,00 EUR bez DPH</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141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zároveň</w:t>
      </w:r>
    </w:p>
    <w:p w:rsidR="00000000" w:rsidDel="00000000" w:rsidP="00000000" w:rsidRDefault="00000000" w:rsidRPr="00000000" w14:paraId="000001BC">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3tbugp1" w:id="45"/>
      <w:bookmarkEnd w:id="45"/>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poskytol služby podpory prevádzky informačného systému / informačných systémov v nepretržitom režime (dvadsaťštyri (24) hodín denne), a to kumulatívne najmenej v trvaní dvanásť (12) mesiacov počas predchádzajúcich troch (3) rokov od vyhlásenia verejného obstarávania; a zároveň</w:t>
      </w:r>
    </w:p>
    <w:p w:rsidR="00000000" w:rsidDel="00000000" w:rsidP="00000000" w:rsidRDefault="00000000" w:rsidRPr="00000000" w14:paraId="000001BD">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poskytol služby podpory prevádzky informačného systému / informačných systémov referenčného registra podľa § 49 a nasl. zákona č. 305/2013 Z. z. o elektronickej podobe výkonu pôsobnosti orgánov verejnej moci a o zmene a doplnení niektorých zákonov (zákon o e-Governmente), a to kumulatívne najmenej v trvaní dvanásť (12) mesiacov počas predchádzajúcich troch (3) rokov od vyhlásenia verejného obstarávania.</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Splnenie minimálnej požadovanej úrovne štandardov podľa bodov 2.3.1 až 2.3.4 vyššie je uchádzač oprávnený preukázať aj len jedinou zmluvou (referenciou).</w:t>
      </w:r>
    </w:p>
    <w:p w:rsidR="00000000" w:rsidDel="00000000" w:rsidP="00000000" w:rsidRDefault="00000000" w:rsidRPr="00000000" w14:paraId="000001BF">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Zoznam poskytnutých služieb musí obsahovať:</w:t>
      </w:r>
    </w:p>
    <w:p w:rsidR="00000000" w:rsidDel="00000000" w:rsidP="00000000" w:rsidRDefault="00000000" w:rsidRPr="00000000" w14:paraId="000001C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0" w:line="252.00000000000003" w:lineRule="auto"/>
        <w:ind w:left="1134" w:right="0" w:hanging="567"/>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identifikáciu odberateľa,</w:t>
      </w:r>
    </w:p>
    <w:p w:rsidR="00000000" w:rsidDel="00000000" w:rsidP="00000000" w:rsidRDefault="00000000" w:rsidRPr="00000000" w14:paraId="000001C1">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0" w:line="252.00000000000003"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názov a stručný opis predmetu zmluvy, z ktorého bude možné posúdiť splnenie podmienky účasti, s dôrazom na charakter poskytovaných služieb (poskytovanie služieb rovnakého alebo podobného charakteru ako je predmet zákazky) a opis charakteristiky informačného systému,</w:t>
      </w:r>
    </w:p>
    <w:p w:rsidR="00000000" w:rsidDel="00000000" w:rsidP="00000000" w:rsidRDefault="00000000" w:rsidRPr="00000000" w14:paraId="000001C2">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0" w:line="252.00000000000003" w:lineRule="auto"/>
        <w:ind w:left="1134" w:right="0" w:hanging="567"/>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cenu poskytnutých služieb v EUR bez DPH,</w:t>
      </w:r>
    </w:p>
    <w:p w:rsidR="00000000" w:rsidDel="00000000" w:rsidP="00000000" w:rsidRDefault="00000000" w:rsidRPr="00000000" w14:paraId="000001C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0" w:line="252.00000000000003" w:lineRule="auto"/>
        <w:ind w:left="1134" w:right="0" w:hanging="567"/>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obdobie poskytovania služieb,</w:t>
      </w:r>
    </w:p>
    <w:p w:rsidR="00000000" w:rsidDel="00000000" w:rsidP="00000000" w:rsidRDefault="00000000" w:rsidRPr="00000000" w14:paraId="000001C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0" w:line="252.00000000000003" w:lineRule="auto"/>
        <w:ind w:left="1134" w:right="0" w:hanging="567"/>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meno a kontakt na osobu odberateľa, u ktorej si bude možné uvedené údaje overiť.</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zohľadní referencie uchádzačov uvedené v evidencii referencií podľa § 12 zákona o verejnom obstarávaní, ak takéto referencie ku dňu predloženia ponuky existujú a uchádzač ich v ponuke identifikoval.</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prípade poskytovania služieb v dlhšom časovom období ako sa požaduje, uchádzač alikvotne vyčísli ceny poskytnutých služieb za sledované obdobie. V prípade, ak uchádzač poskytoval služby ako člen združenia alebo ako subdodávateľ, vyčísli a započíta iba ceny služieb poskytnutých ním samotným.</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 odstránenie akýchkoľvek pochybností verejný obstarávateľ k obdobiu predchádzajúcich troch (3) rokov od vyhlásenia verejného obstarávania uvádza, že postup zadávania nadlimitnej zákazky sa považuje za vyhlásený dňom uverejnenia Oznámenia o vyhlásení verejného obstarávania v Úradnom vestníku Európskej únie. V zmysle ust. § 21 ods. 1 zákona o verejnom obstarávaní, lehota určená podľa rokov sa končí uplynutím toho dňa, ktorý sa svojím označením zhoduje s dňom, keď došlo ku skutočnosti určujúcej začiatok lehoty, a ak taký deň v mesiaci nie je, končí sa lehota posledným dňom mesiaca.</w:t>
      </w:r>
    </w:p>
    <w:p w:rsidR="00000000" w:rsidDel="00000000" w:rsidP="00000000" w:rsidRDefault="00000000" w:rsidRPr="00000000" w14:paraId="000001C8">
      <w:pPr>
        <w:keepNext w:val="1"/>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Minimálna požadovaná úroveň štandardov k podmienke účasti podľa § 34 ods. 1 písm. d) zákona o verejnom obstarávaní v nadväznosti na § 35 zákona o verejnom obstarávaní:</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predloží:</w:t>
      </w:r>
    </w:p>
    <w:p w:rsidR="00000000" w:rsidDel="00000000" w:rsidP="00000000" w:rsidRDefault="00000000" w:rsidRPr="00000000" w14:paraId="000001CA">
      <w:pPr>
        <w:keepNext w:val="1"/>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o zavedení systému manažérstva kvality vydaný nezávislou inštitúciou (osobou akreditovanou v súlade s ust. § 2 písm. c) zákona č. 505/2009 Z. z. o akreditácii orgánov posudzovania zhody a o zmene a doplnení niektorých zákonov v znení neskorších predpisov), ktorým sa potvrdzuje splnenie noriem zabezpečenia kvality vyplývajúcich z normy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 ISO 9001:2015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oblasti informačno-komunikačných technológií, alebo ekvivalentný certifikát.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rsidR="00000000" w:rsidDel="00000000" w:rsidP="00000000" w:rsidRDefault="00000000" w:rsidRPr="00000000" w14:paraId="000001CB">
      <w:pPr>
        <w:keepNext w:val="1"/>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o zavedení systému manažérstva služieb vydaný nezávislou inštitúciou (osobou akreditovanou v súlade s ust. § 2 písm. c) zákona č. 505/2009 Z. z. o akreditácii orgánov posudzovania zhody a o zmene a doplnení niektorých zákonov v znení neskorších predpisov), ktorým sa potvrdzuje splnenie požiadaviek na systém manažérstva služieb vyplývajúcich z normy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ISO/IEC 20000-1:2018</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oblasti riadenia IT služieb, alebo ekvivalentný certifikát. Verejný obstarávateľ uzná ako rovnocenný certifikát systému manažérstva služieb vydaný príslušným orgánom členského štátu. Ak uchádzač objektívne nemal možnosť získať príslušný certifikát v určených lehotách, verejný obstarávateľ prijme aj iné dôkazy o rovnocenných opatreniach na zabezpečenie systému manažérstva služieb predložené uchádzačom, ktorými preukáže, že ním navrhované opatrenia na zabezpečenie systému manažérstva služieb sú v súlade s požadovanými slovenskými technickými normami na systém manažérstva služieb;</w:t>
      </w:r>
    </w:p>
    <w:p w:rsidR="00000000" w:rsidDel="00000000" w:rsidP="00000000" w:rsidRDefault="00000000" w:rsidRPr="00000000" w14:paraId="000001CC">
      <w:pPr>
        <w:keepNext w:val="1"/>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o zavedení systému systematického prístupu v oblasti business continuity managementu vydaný nezávislou inštitúciou (osobou akreditovanou v súlade s ust. § 2 písm. c) zákona č. 505/2009 Z. z. o akreditácii orgánov posudzovania zhody a o zmene a doplnení niektorých zákonov v znení neskorších predpisov), ktorým sa potvrdzuje splnenie požiadaviek na systém manažérstva služieb vyplývajúcich z normy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ISO/IEC 22301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oblasti riadenia IT služieb, alebo ekvivalentný certifikát. Verejný obstarávateľ uzná ako rovnocenný certifikát systému manažérstva služieb vydaný príslušným orgánom členského štátu. Ak uchádzač objektívne nemal možnosť získať príslušný certifikát v určených lehotách, verejný obstarávateľ prijme aj iné dôkazy o rovnocenných opatreniach na zabezpečenie systému manažérstva služieb predložené uchádzačom, ktorými preukáže, že ním navrhované opatrenia na zabezpečenie systému manažérstva služieb sú v súlade s požadovanými slovenskými technickými normami na systém manažérstva služieb;</w:t>
      </w:r>
    </w:p>
    <w:p w:rsidR="00000000" w:rsidDel="00000000" w:rsidP="00000000" w:rsidRDefault="00000000" w:rsidRPr="00000000" w14:paraId="000001CD">
      <w:pPr>
        <w:keepNext w:val="1"/>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o zavedení systému systematického prístupu v oblasti riadenia kvality softvéru vydaný nezávislou inštitúciou (osobou akreditovanou v súlade s ust. § 2 písm. c) zákona č. 505/2009 Z. z. o akreditácii orgánov posudzovania zhody a o zmene a doplnení niektorých zákonov v znení neskorších predpisov), ktorým sa potvrdzuje splnenie požiadaviek na systém manažérstva služieb vyplývajúcich z normy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ISO/IEC 25000</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oblasti riadenia kvality softvéru, alebo ekvivalentný certifikát. Verejný obstarávateľ uzná ako rovnocenný certifikát systému manažérstva služieb vydaný príslušným orgánom členského štátu. Ak uchádzač objektívne nemal možnosť získať príslušný certifikát v určených lehotách, verejný obstarávateľ prijme aj iné dôkazy o rovnocenných opatreniach na zabezpečenie systému manažérstva služieb predložené uchádzačom, ktorými preukáže, že ním navrhované opatrenia na zabezpečenie systému manažérstva služieb sú v súlade s požadovanými slovenskými technickými normami na systém manažérstva služieb;</w:t>
      </w:r>
    </w:p>
    <w:p w:rsidR="00000000" w:rsidDel="00000000" w:rsidP="00000000" w:rsidRDefault="00000000" w:rsidRPr="00000000" w14:paraId="000001CE">
      <w:pPr>
        <w:keepNext w:val="1"/>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6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o zavedení systému riadenia informačnej bezpečnosti vydaný nezávislou inštitúciou (osobou akreditovanou v súlade s ust. § 2 písm. c) zákona č. 505/2009 Z. z. o akreditácii orgánov posudzovania zhody a o zmene a doplnení niektorých zákonov v znení neskorších predpisov), ktorým sa potvrdzuje splnenie požiadaviek na systém riadenia informačnej bezpečnosti vyplývajúcich z normy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ISO/IEC 27001:2013</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oblasti informačno-komunikačných technológií, alebo ekvivalentný certifikát. Verejný obstarávateľ uzná ako rovnocenný certifikát systému riadenia informačnej bezpečnosti vydaný príslušným orgánom členského štátu. Ak uchádzač objektívne nemal možnosť získať príslušný certifikát v určených lehotách, verejný obstarávateľ prijme aj iné dôkazy o rovnocenných opatreniach na zabezpečenie systému riadenia informačnej bezpečnosti predložené uchádzačom, ktorými preukáže, že ním navrhované opatrenia na zabezpečenie systému riadenia informačnej bezpečnosti sú v súlade s požadovanými slovenskými technickými normami na systém riadenia informačnej bezpečnosti.</w:t>
      </w:r>
    </w:p>
    <w:p w:rsidR="00000000" w:rsidDel="00000000" w:rsidP="00000000" w:rsidRDefault="00000000" w:rsidRPr="00000000" w14:paraId="000001CF">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Minimálna požadovaná úroveň štandardov k podmienke účasti podľa § 34 ods. 1 písm. g) zákona o verejnom obstarávaní:</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predloží údaje o vzdelaní a odbornej praxi alebo o odbornej kvalifikácii osôb určených na plnenie zmluvy alebo riadiacich zamestnancov (kľúčových odborníkov) v rozsahu:</w:t>
      </w:r>
    </w:p>
    <w:p w:rsidR="00000000" w:rsidDel="00000000" w:rsidP="00000000" w:rsidRDefault="00000000" w:rsidRPr="00000000" w14:paraId="000001D1">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28h4qwu" w:id="46"/>
      <w:bookmarkEnd w:id="46"/>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kľúčový odborník -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Projektový manažér / Manažér prevádzky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 1 osoba), ktorý musí spĺňať nasledovné minimálne požiadavky odbornej praxe a odbornej kvalifikácie:</w:t>
      </w:r>
    </w:p>
    <w:p w:rsidR="00000000" w:rsidDel="00000000" w:rsidP="00000000" w:rsidRDefault="00000000" w:rsidRPr="00000000" w14:paraId="000001D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šesťdesiat (60) mesiacov odbornej praxe v oblasti riadenia IT procesov a poskytovania podpory prevádzky informačných systémov; túto požiadavku uchádzač preukáže predložením profesijného životopisu, alebo ekvivalentného dokladu;</w:t>
      </w:r>
    </w:p>
    <w:p w:rsidR="00000000" w:rsidDel="00000000" w:rsidP="00000000" w:rsidRDefault="00000000" w:rsidRPr="00000000" w14:paraId="000001D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tri (3) profesionálne praktické skúsenosti v oblasti riadenia IT procesov a poskytovania podpory prevádzky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1D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jedna (1) profesionálna praktická skúsenosť v oblasti riadenia IT procesov a poskytovania podpory prevádzky informačných systémov referenčného registra podľa § 49 a nasl. zákona č. 305/2013 Z. z. o elektronickej podobe výkonu pôsobnosti orgánov verejnej moci a o zmene a doplnení niektorých zákonov (zákon o e-Governmente);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1D5">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pre oblasť riadenia a správy služieb informačných a komunikačných technológií ITIL (Information Technology Infrastructure Library) na úrovni ITIL v4 Foundation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1D6">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pre oblasť projektového manažmentu (min. úrovne PRINCE 2 Practitioner, alebo IPMA B, alebo PMI, alebo PMP alebo obdobný certifikát) na odbornú spôsobilosť pre riadenie projektov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1D7">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pre Archimate 3 Foundation,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1D8">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kľúčový odborník -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Architekt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(min. 1 osoba), ktorý musí spĺňať nasledovné minimálne požiadavky odbornej praxe a odbornej kvalifikácie:</w:t>
      </w:r>
    </w:p>
    <w:p w:rsidR="00000000" w:rsidDel="00000000" w:rsidP="00000000" w:rsidRDefault="00000000" w:rsidRPr="00000000" w14:paraId="000001D9">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šesťdesiat (60) mesiacov odbornej praxe v oblasti tvorby alebo rozvoja a riadenia architektúry informačných systémov; túto požiadavku uchádzač preukáže predložením profesijného životopisu, alebo ekvivalentného dokladu;</w:t>
      </w:r>
    </w:p>
    <w:p w:rsidR="00000000" w:rsidDel="00000000" w:rsidP="00000000" w:rsidRDefault="00000000" w:rsidRPr="00000000" w14:paraId="000001DA">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tri (3) profesionálne praktické skúsenosti v oblasti tvorby alebo rozvoja a riadenia architektúry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1DB">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jedna (1) profesionálna praktická skúsenosť v oblasti tvorby alebo rozvoja a riadenia architektúry informačných systémov referenčného registra podľa § 49 a nasl. zákona č. 305/2013 Z. z. o elektronickej podobe výkonu pôsobnosti orgánov verejnej moci a o zmene a doplnení niektorých zákonov (zákon o e-Governmente);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1DC">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pre Togaf 9 certified,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1DD">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pre Certified SOA professional,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1DE">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pre Archimate 3 Foundation,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198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kľúčový odborník -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IT analytik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 1 osoba), ktorý musí spĺňať nasledovné minimálne požiadavky odbornej praxe a odbornej kvalifikácie:</w:t>
      </w:r>
    </w:p>
    <w:p w:rsidR="00000000" w:rsidDel="00000000" w:rsidP="00000000" w:rsidRDefault="00000000" w:rsidRPr="00000000" w14:paraId="000001E1">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šesťdesiat (60) mesiacov odbornej praxe v oblasti analýzy informačných systémov; túto požiadavku uchádzač preukáže predložením profesijného životopisu, alebo ekvivalentného dokladu;</w:t>
      </w:r>
    </w:p>
    <w:p w:rsidR="00000000" w:rsidDel="00000000" w:rsidP="00000000" w:rsidRDefault="00000000" w:rsidRPr="00000000" w14:paraId="000001E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tri (3) profesionálne praktické skúsenosti v oblasti  analýzy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1E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jedna (1) profesionálna praktická skúsenosť v oblasti analýzy informačných systémov referenčného registra podľa § 49 a nasl. zákona č. 305/2013 Z. z. o elektronickej podobe výkonu pôsobnosti orgánov verejnej moci a o zmene a doplnení niektorých zákonov (zákon o e-Governmente);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1E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pre OCUP 2 Intermediate,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1E5">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CPRE,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1E6">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pre OCEP2 Fundamental,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141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kľúčový odborník -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Databázový špecialista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(min. 1 osoba), ktorý musí spĺňať nasledovné minimálne požiadavky odbornej praxe a odbornej kvalifikácie:</w:t>
      </w:r>
    </w:p>
    <w:p w:rsidR="00000000" w:rsidDel="00000000" w:rsidP="00000000" w:rsidRDefault="00000000" w:rsidRPr="00000000" w14:paraId="000001E9">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šesťdesiat (60) mesiacov odbornej praxe v oblasti návrhu, implementácie a údržby databázových riešení v rámci informačných systémov; túto požiadavku uchádzač preukáže predložením profesijného životopisu, alebo ekvivalentného dokladu;</w:t>
      </w:r>
    </w:p>
    <w:p w:rsidR="00000000" w:rsidDel="00000000" w:rsidP="00000000" w:rsidRDefault="00000000" w:rsidRPr="00000000" w14:paraId="000001EA">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dvadsaťštyri (24) mesiacov odbornej praxe v oblasti zabezpečovania validácie a ochrany dát; túto požiadavku uchádzač preukáže predložením profesijného životopisu, alebo ekvivalentného dokladu;</w:t>
      </w:r>
    </w:p>
    <w:p w:rsidR="00000000" w:rsidDel="00000000" w:rsidP="00000000" w:rsidRDefault="00000000" w:rsidRPr="00000000" w14:paraId="000001EB">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tri (3) profesionálne praktické skúsenosti v oblasti návrhu, implementácie a údržby databázových riešení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rámci informačných systémov, kde hodnota implementovaného databázového riešenia bola v minimálnej výške 500.000 EUR bez DPH;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1EC">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jedna (1) profesionálna praktická skúsenosť v oblasti návrhu, implementácie a údržby databázových riešení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rámci informačných systémov referenčného registra podľa § 49 a nasl. zákona č. 305/2013 Z. z. o elektronickej podobe výkonu pôsobnosti orgánov verejnej moci a o zmene a doplnení niektorých zákonov (zákon o e-Governmente);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1ED">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pre oblasť implementácie relačných databázových systémov na úrovni Professional (napr. PostgreSQL Professional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1EE">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kľúčový odborník -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IT programátor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 1 osoba), ktorý musí spĺňať nasledovné minimálne požiadavky odbornej praxe a odbornej kvalifikácie:</w:t>
      </w:r>
    </w:p>
    <w:p w:rsidR="00000000" w:rsidDel="00000000" w:rsidP="00000000" w:rsidRDefault="00000000" w:rsidRPr="00000000" w14:paraId="000001EF">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šesťdesiat (60) mesiacov odbornej praxe v oblasti programovania informačných systémov; túto požiadavku uchádzač preukáže predložením profesijného životopisu, alebo ekvivalentného dokladu;</w:t>
      </w:r>
    </w:p>
    <w:p w:rsidR="00000000" w:rsidDel="00000000" w:rsidP="00000000" w:rsidRDefault="00000000" w:rsidRPr="00000000" w14:paraId="000001F0">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tri (3) profesionálne praktické skúsenosti v oblasti programovania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1F1">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jedna (1) profesionálna praktická skúsenosť v oblasti programovania informačných systémov referenčného registra podľa § 49 a nasl. zákona č. 305/2013 Z. z. o elektronickej podobe výkonu pôsobnosti orgánov verejnej moci a o zmene a doplnení niektorých zákonov (zákon o e-Governmente);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1F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Oracle Certified Professional: Java SE 11 Developer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198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kľúčový odborník -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Špecialista na bezpečnosť</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(min. 1 osoba), ktorý musí spĺňať nasledovné minimálne požiadavky odbornej praxe a odbornej kvalifikácie:</w:t>
      </w:r>
    </w:p>
    <w:p w:rsidR="00000000" w:rsidDel="00000000" w:rsidP="00000000" w:rsidRDefault="00000000" w:rsidRPr="00000000" w14:paraId="000001F5">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šesťdesiat (60) mesiacov odbornej praxe v oblasti kyber bezpečnosti informačných systémov; túto požiadavku uchádzač preukáže predložením profesijného životopisu, alebo ekvivalentného dokladu;</w:t>
      </w:r>
    </w:p>
    <w:p w:rsidR="00000000" w:rsidDel="00000000" w:rsidP="00000000" w:rsidRDefault="00000000" w:rsidRPr="00000000" w14:paraId="000001F6">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tri (3) profesionálne praktické skúsenosti v oblasti kyber bezpečnosti informačných systémov v súlade s bezpečnostnými štandardami podľa zákona č. 69/2018 Z. z. o kybernetickej bezpečnosti a o zmene a doplnení niektorých zákonov v znení neskorších predpisov, alebo ekvivalent v krajine uchádzača,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1F7">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jedna (1) profesionálna praktická skúsenosť v oblasti kyber bezpečnosti informačných systémov referenčného registra podľa § 49 a nasl. zákona č. 305/2013 Z. z. o elektronickej podobe výkonu pôsobnosti orgánov verejnej moci a o zmene a doplnení niektorých zákonov (zákon o e-Governmente);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1F8">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RESILIA Practitioner alebo ekvivalent daného certifikátu vydaný akreditovanou (certifikovanou) autoritou (napr. CISSP (Certified Information System Security Professional) alebo Certified Cyber Resilience</w:t>
        <w:br w:type="textWrapping"/>
        <w:t xml:space="preserve">Professional (CCRP) alebo CISA (Certified Information Systems Auditor));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1F9">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pre OCUP 2 Foundation,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198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kľúčový odborník -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Tester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 1 osoba), ktorý musí spĺňať nasledovné minimálne požiadavky odbornej praxe a odbornej kvalifikácie:</w:t>
      </w:r>
    </w:p>
    <w:p w:rsidR="00000000" w:rsidDel="00000000" w:rsidP="00000000" w:rsidRDefault="00000000" w:rsidRPr="00000000" w14:paraId="000001FC">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šesťdesiat (60) mesiacov odbornej praxe v oblasti testovania informačných systémov; túto požiadavku uchádzač preukáže predložením profesijného životopisu, alebo ekvivalentného dokladu;</w:t>
      </w:r>
    </w:p>
    <w:p w:rsidR="00000000" w:rsidDel="00000000" w:rsidP="00000000" w:rsidRDefault="00000000" w:rsidRPr="00000000" w14:paraId="000001FD">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tri (3) profesionálne praktické skúsenosti v oblasti testovania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1FE">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jedna (1) profesionálna praktická skúsenosť v oblasti testovania informačných systémov referenčného registra podľa § 49 a nasl. zákona č. 305/2013 Z. z. o elektronickej podobe výkonu pôsobnosti orgánov verejnej moci a o zmene a doplnení niektorých zákonov (zákon o e-Governmente);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1FF">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ISTQB úrovne Advanced alebo ekvivalent daného certifikátu vydaný medzinárodne uznávanou akreditačnou a certifikačnou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198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0" w:line="252.00000000000003" w:lineRule="auto"/>
        <w:ind w:left="1713"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kľúčový odborník -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Špecialista pre infraštruktúru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 1 osoba), ktorý musí spĺňať nasledovné minimálne požiadavky odbornej praxe a odbornej kvalifikácie:</w:t>
      </w:r>
    </w:p>
    <w:p w:rsidR="00000000" w:rsidDel="00000000" w:rsidP="00000000" w:rsidRDefault="00000000" w:rsidRPr="00000000" w14:paraId="0000020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šesťdesiat (60) mesiacov odbornej praxe v oblasti návrhu infraštruktúry informačných systémov; túto požiadavku uchádzač preukáže predložením profesijného životopisu, alebo ekvivalentného dokladu;</w:t>
      </w:r>
    </w:p>
    <w:p w:rsidR="00000000" w:rsidDel="00000000" w:rsidP="00000000" w:rsidRDefault="00000000" w:rsidRPr="00000000" w14:paraId="0000020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tri (3) profesionálne praktické skúsenosti v oblasti návrhu infraštruktúry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20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jedna (1) profesionálna praktická skúsenosť v oblasti návrhu infraštruktúry informačných systémov referenčného registra podľa § 49 a nasl. zákona č. 305/2013 Z. z. o elektronickej podobe výkonu pôsobnosti orgánov verejnej moci a o zmene a doplnení niektorých zákonov (zákon o e-Governmente);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205">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Containerization Architect alebo ekvivalent daného certifikátu vydaný medzinárodne uznávanou akreditačnou a certifikačnou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206">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pre Certified SOA,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198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kľúčový odborník -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Systémový administrátor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 1 osoba), ktorý musí spĺňať nasledovné minimálne požiadavky odbornej praxe a odbornej kvalifikácie:</w:t>
      </w:r>
    </w:p>
    <w:p w:rsidR="00000000" w:rsidDel="00000000" w:rsidP="00000000" w:rsidRDefault="00000000" w:rsidRPr="00000000" w14:paraId="00000209">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šesťdesiat (60) mesiacov odbornej praxe v oblasti správy informačných systémov; túto požiadavku uchádzač preukáže predložením profesijného životopisu, alebo ekvivalentného dokladu;</w:t>
      </w:r>
    </w:p>
    <w:p w:rsidR="00000000" w:rsidDel="00000000" w:rsidP="00000000" w:rsidRDefault="00000000" w:rsidRPr="00000000" w14:paraId="0000020A">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tri (3) profesionálne praktické skúsenosti v oblasti správy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20B">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minimálne jedna (1) profesionálna praktická skúsenosť v oblasti správy informačných systémov referenčného registra podľa § 49 a nasl. zákona č. 305/2013 Z. z. o elektronickej podobe výkonu pôsobnosti orgánov verejnej moci a o zmene a doplnení niektorých zákonov (zákon o e-Governmente); túto požiadavku uchádzač preukáže predložením profesijného životopisu, alebo ekvivalentného dokladu, alebo predložením zoznamu praktických skúseností v rozsahu podľa Prílohy č. 15 súťažných podkladov;</w:t>
      </w:r>
    </w:p>
    <w:p w:rsidR="00000000" w:rsidDel="00000000" w:rsidP="00000000" w:rsidRDefault="00000000" w:rsidRPr="00000000" w14:paraId="0000020C">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Enterprise Administrator Expert alebo ekvivalent daného certifikátu vydaný medzinárodne uznávanou akreditačnou a certifikačnou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20D">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985" w:right="0" w:hanging="566.999999999999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platný certifikát v oblasti správy a administrácie linuxových operačných systémov napr. SCA (SUSE Certified Administrator),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predloží zoznam kľúčových odborníkov v rozsahu podľa Prílohy č. 14 súťažných podkladov a pri každej osobe podľa bodov 2.5.1 až 2.5.9 uchádzač predloží (podľa požiadaviek uvedených pri jednotlivých osobách):</w:t>
      </w:r>
    </w:p>
    <w:p w:rsidR="00000000" w:rsidDel="00000000" w:rsidP="00000000" w:rsidRDefault="00000000" w:rsidRPr="00000000" w14:paraId="00000210">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podpísaný profesijný životopis alebo ekvivalentný doklad, v ktorom bude uvedené:</w:t>
      </w:r>
    </w:p>
    <w:p w:rsidR="00000000" w:rsidDel="00000000" w:rsidP="00000000" w:rsidRDefault="00000000" w:rsidRPr="00000000" w14:paraId="00000211">
      <w:pPr>
        <w:keepNext w:val="0"/>
        <w:keepLines w:val="0"/>
        <w:pageBreakBefore w:val="0"/>
        <w:widowControl w:val="1"/>
        <w:numPr>
          <w:ilvl w:val="1"/>
          <w:numId w:val="30"/>
        </w:numPr>
        <w:pBdr>
          <w:top w:space="0" w:sz="0" w:val="nil"/>
          <w:left w:space="0" w:sz="0" w:val="nil"/>
          <w:bottom w:space="0" w:sz="0" w:val="nil"/>
          <w:right w:space="0" w:sz="0" w:val="nil"/>
          <w:between w:space="0" w:sz="0" w:val="nil"/>
        </w:pBdr>
        <w:shd w:fill="auto" w:val="clear"/>
        <w:spacing w:after="60" w:before="0" w:line="252.00000000000003" w:lineRule="auto"/>
        <w:ind w:left="1701" w:right="0" w:hanging="283.000000000000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základné identifikačné údaje, </w:t>
      </w:r>
    </w:p>
    <w:p w:rsidR="00000000" w:rsidDel="00000000" w:rsidP="00000000" w:rsidRDefault="00000000" w:rsidRPr="00000000" w14:paraId="00000212">
      <w:pPr>
        <w:keepNext w:val="0"/>
        <w:keepLines w:val="0"/>
        <w:pageBreakBefore w:val="0"/>
        <w:widowControl w:val="1"/>
        <w:numPr>
          <w:ilvl w:val="1"/>
          <w:numId w:val="30"/>
        </w:numPr>
        <w:pBdr>
          <w:top w:space="0" w:sz="0" w:val="nil"/>
          <w:left w:space="0" w:sz="0" w:val="nil"/>
          <w:bottom w:space="0" w:sz="0" w:val="nil"/>
          <w:right w:space="0" w:sz="0" w:val="nil"/>
          <w:between w:space="0" w:sz="0" w:val="nil"/>
        </w:pBdr>
        <w:shd w:fill="auto" w:val="clear"/>
        <w:spacing w:after="60" w:before="0" w:line="252.00000000000003" w:lineRule="auto"/>
        <w:ind w:left="1701" w:right="0" w:hanging="283.000000000000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mesiac a rok (od - do) zamestnania, zamestnávateľ, </w:t>
      </w:r>
    </w:p>
    <w:p w:rsidR="00000000" w:rsidDel="00000000" w:rsidP="00000000" w:rsidRDefault="00000000" w:rsidRPr="00000000" w14:paraId="00000213">
      <w:pPr>
        <w:keepNext w:val="0"/>
        <w:keepLines w:val="0"/>
        <w:pageBreakBefore w:val="0"/>
        <w:widowControl w:val="1"/>
        <w:numPr>
          <w:ilvl w:val="1"/>
          <w:numId w:val="30"/>
        </w:numPr>
        <w:pBdr>
          <w:top w:space="0" w:sz="0" w:val="nil"/>
          <w:left w:space="0" w:sz="0" w:val="nil"/>
          <w:bottom w:space="0" w:sz="0" w:val="nil"/>
          <w:right w:space="0" w:sz="0" w:val="nil"/>
          <w:between w:space="0" w:sz="0" w:val="nil"/>
        </w:pBdr>
        <w:shd w:fill="auto" w:val="clear"/>
        <w:spacing w:after="60" w:before="0" w:line="252.00000000000003" w:lineRule="auto"/>
        <w:ind w:left="1701" w:right="0" w:hanging="283.000000000000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prehľad profesijnej praxe, z ktorej bude explicitne vyplývať splnenie minimálnych požiadaviek odbornej praxe kľúčového odborníka,</w:t>
      </w:r>
    </w:p>
    <w:p w:rsidR="00000000" w:rsidDel="00000000" w:rsidP="00000000" w:rsidRDefault="00000000" w:rsidRPr="00000000" w14:paraId="00000214">
      <w:pPr>
        <w:keepNext w:val="0"/>
        <w:keepLines w:val="0"/>
        <w:pageBreakBefore w:val="0"/>
        <w:widowControl w:val="1"/>
        <w:numPr>
          <w:ilvl w:val="1"/>
          <w:numId w:val="30"/>
        </w:numPr>
        <w:pBdr>
          <w:top w:space="0" w:sz="0" w:val="nil"/>
          <w:left w:space="0" w:sz="0" w:val="nil"/>
          <w:bottom w:space="0" w:sz="0" w:val="nil"/>
          <w:right w:space="0" w:sz="0" w:val="nil"/>
          <w:between w:space="0" w:sz="0" w:val="nil"/>
        </w:pBdr>
        <w:shd w:fill="auto" w:val="clear"/>
        <w:spacing w:after="60" w:before="0" w:line="252.00000000000003" w:lineRule="auto"/>
        <w:ind w:left="1701" w:right="0" w:hanging="283.000000000000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dátum a vlastnoručný podpis kľúčového odborníka;</w:t>
      </w:r>
    </w:p>
    <w:p w:rsidR="00000000" w:rsidDel="00000000" w:rsidP="00000000" w:rsidRDefault="00000000" w:rsidRPr="00000000" w14:paraId="00000215">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požadovaný platný certifikát preukazujúci odbornú kvalifikáciu;</w:t>
      </w:r>
    </w:p>
    <w:p w:rsidR="00000000" w:rsidDel="00000000" w:rsidP="00000000" w:rsidRDefault="00000000" w:rsidRPr="00000000" w14:paraId="00000216">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60" w:before="0" w:line="252.00000000000003" w:lineRule="auto"/>
        <w:ind w:left="1418" w:right="0" w:hanging="85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zoznam praktických skúseností v rozsahu podľa Prílohy č. 15 súťažných podkladov, ak preukázanie požadovanej odbornej praxe nevyplýva z predloženého profesijného životopisu.</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uvádza, že pre každú pozíciu požaduje samostatného kľúčového odborníka.</w:t>
      </w:r>
    </w:p>
    <w:p w:rsidR="00000000" w:rsidDel="00000000" w:rsidP="00000000" w:rsidRDefault="00000000" w:rsidRPr="00000000" w14:paraId="00000218">
      <w:pPr>
        <w:spacing w:after="60" w:before="60" w:line="252.00000000000003" w:lineRule="auto"/>
        <w:jc w:val="both"/>
        <w:rPr>
          <w:b w:val="1"/>
          <w:sz w:val="2"/>
          <w:szCs w:val="2"/>
        </w:rPr>
      </w:pPr>
      <w:r w:rsidDel="00000000" w:rsidR="00000000" w:rsidRPr="00000000">
        <w:br w:type="page"/>
      </w:r>
      <w:r w:rsidDel="00000000" w:rsidR="00000000" w:rsidRPr="00000000">
        <w:rPr>
          <w:rtl w:val="0"/>
        </w:rPr>
      </w:r>
    </w:p>
    <w:p w:rsidR="00000000" w:rsidDel="00000000" w:rsidP="00000000" w:rsidRDefault="00000000" w:rsidRPr="00000000" w14:paraId="00000219">
      <w:pPr>
        <w:pStyle w:val="Heading2"/>
        <w:widowControl w:val="1"/>
        <w:rPr/>
      </w:pPr>
      <w:bookmarkStart w:colFirst="0" w:colLast="0" w:name="_heading=h.nmf14n" w:id="47"/>
      <w:bookmarkEnd w:id="47"/>
      <w:r w:rsidDel="00000000" w:rsidR="00000000" w:rsidRPr="00000000">
        <w:rPr>
          <w:rtl w:val="0"/>
        </w:rPr>
        <w:t xml:space="preserve">KAPITOLA A.3 KRITÉRIA NA VYHODNOTENIE PONÚK A SPÔSOB ICH UPLATNENIA</w:t>
      </w:r>
    </w:p>
    <w:p w:rsidR="00000000" w:rsidDel="00000000" w:rsidP="00000000" w:rsidRDefault="00000000" w:rsidRPr="00000000" w14:paraId="000002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bookmarkStart w:colFirst="0" w:colLast="0" w:name="_heading=h.37m2jsg" w:id="48"/>
      <w:bookmarkEnd w:id="48"/>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Jediným kritériom na vyhodnotenie ponúk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je najnižšia cena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t.j.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najnižšia celková cena za poskytovanie predmetu zákazky podľa predpokladaného čerpania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vypočítaná a vyjadrená</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v EUR s DPH</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zaokrúhlená na dve (2) desatinné miesta.</w:t>
      </w:r>
    </w:p>
    <w:p w:rsidR="00000000" w:rsidDel="00000000" w:rsidP="00000000" w:rsidRDefault="00000000" w:rsidRPr="00000000" w14:paraId="000002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Celkovú cenu za poskytovanie predmetu zákazky podľa predpokladaného čerpania, vypočítanú a vyjadrenú v EUR s DPH, zaokrúhlenú na dve (2) desatinné miesta uchádzač uvedie do príslušného formulára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Návrh na plnenie kritérií</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ktorý tvorí Prílohu č. 11 súťažných podkladov. Za účelom zabezpečenia on-line sprístupnenia ponúk prostredníctvom funkcionality systému JOSEPHINE verejný obstarávateľ požaduje, aby uchádzač v rámci predkladania ponuky vyplnil návrh na plnenie kritérií aj prostredníctvom funkcionality systému JOSEPHINE (pri vkladaní do systému JOSEPHINE označené ako „Celková cena za poskytovanie predmetu zákazky podľa predpokladaného čerpania, vypočítaná a vyjadrená v EUR s DPH, zaokrúhlená na dve (2) desatinné miesta“).</w:t>
      </w:r>
    </w:p>
    <w:p w:rsidR="00000000" w:rsidDel="00000000" w:rsidP="00000000" w:rsidRDefault="00000000" w:rsidRPr="00000000" w14:paraId="000002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 je povinný zahrnúť do celkovej ceny za poskytovanie predmetu zákazky podľa predpokladaného čerpania, vypočítanej a vyjadrenej v EUR s DPH, zaokrúhlenej na dve (2) desatinné miesta všetky náklady a poplatky súvisiace s poskytovaním predmetu zákazky v zmysle požiadaviek uvedených v súťažných podkladoch. Postup stanovenia ceny je bližšie špecifikovaný v Kapitole B.2 Spôsob určenia ceny súťažných podkladov.</w:t>
      </w:r>
    </w:p>
    <w:p w:rsidR="00000000" w:rsidDel="00000000" w:rsidP="00000000" w:rsidRDefault="00000000" w:rsidRPr="00000000" w14:paraId="000002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Komisia vyhodnocuje ponuky v súlade s ust. § 53 zákona o verejnom obstarávaní.</w:t>
      </w:r>
    </w:p>
    <w:p w:rsidR="00000000" w:rsidDel="00000000" w:rsidP="00000000" w:rsidRDefault="00000000" w:rsidRPr="00000000" w14:paraId="000002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Úspešný bude ten uchádzač, ktorý ponúkne najnižšiu celkovú cenu za poskytovanie predmetu zákazky podľa predpokladaného čerpania, vypočítanú a vyjadrenú v EUR s DPH, zaokrúhlenú na dve (2) desatinné miesta. Poradie ostatných uchádzačov sa zostaví podľa výšky ponukovej ceny vzostupne (od najnižšej po najvyššiu ponukovú cenu) od 2 po x, kde x je počet uchádzačov.</w:t>
      </w:r>
    </w:p>
    <w:p w:rsidR="00000000" w:rsidDel="00000000" w:rsidP="00000000" w:rsidRDefault="00000000" w:rsidRPr="00000000" w14:paraId="0000021F">
      <w:pPr>
        <w:spacing w:after="60" w:before="60" w:line="252.00000000000003" w:lineRule="auto"/>
        <w:jc w:val="both"/>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20">
      <w:pPr>
        <w:pStyle w:val="Heading2"/>
        <w:widowControl w:val="1"/>
        <w:rPr/>
      </w:pPr>
      <w:bookmarkStart w:colFirst="0" w:colLast="0" w:name="_heading=h.1mrcu09" w:id="49"/>
      <w:bookmarkEnd w:id="49"/>
      <w:r w:rsidDel="00000000" w:rsidR="00000000" w:rsidRPr="00000000">
        <w:rPr>
          <w:rtl w:val="0"/>
        </w:rPr>
        <w:t xml:space="preserve">KAPITOLA B.1 OPIS PREDMETU ZÁKAZKY</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Predmetom zákazky s názvom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Služby podpory prevádzky a rozvoja diela Register a identifikátor právnických osôb a podnikateľov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je poskytovanie</w:t>
      </w:r>
    </w:p>
    <w:p w:rsidR="00000000" w:rsidDel="00000000" w:rsidP="00000000" w:rsidRDefault="00000000" w:rsidRPr="00000000" w14:paraId="0000022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60" w:before="60" w:line="252.00000000000003" w:lineRule="auto"/>
        <w:ind w:left="28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46r0co2" w:id="50"/>
      <w:bookmarkEnd w:id="5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služieb údržby, podpory prevádzky a rozvoja diela Register a identifikátor právnických osôb a podnikateľov podľa ods. (IV) Kapitoly B.1 Opis predmetu zákazky súťažných podkladov, a</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podrobnejšie popísaných v ods. (III) Kapitoly B.1 Opis predmetu zákazky súťažných podkladov, s použitím skratiek podľa ods. (I) Kapitoly B.1 Opis predmetu zákazky súťažných podkladov a v rozsahu legislatívnych požiadaviek podľa ods. (II) Kapitoly B.1 Opis predmetu zákazky súťažných podkladov.</w:t>
      </w:r>
    </w:p>
    <w:p w:rsidR="00000000" w:rsidDel="00000000" w:rsidP="00000000" w:rsidRDefault="00000000" w:rsidRPr="00000000" w14:paraId="0000022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240" w:line="252.00000000000003" w:lineRule="auto"/>
        <w:ind w:left="567" w:right="0" w:hanging="567"/>
        <w:jc w:val="both"/>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Zoznam skratiek</w:t>
      </w:r>
    </w:p>
    <w:tbl>
      <w:tblPr>
        <w:tblStyle w:val="Table2"/>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88"/>
        <w:tblGridChange w:id="0">
          <w:tblGrid>
            <w:gridCol w:w="2972"/>
            <w:gridCol w:w="6088"/>
          </w:tblGrid>
        </w:tblGridChange>
      </w:tblGrid>
      <w:tr>
        <w:trPr>
          <w:cantSplit w:val="0"/>
          <w:tblHeader w:val="0"/>
        </w:trPr>
        <w:tc>
          <w:tcPr>
            <w:shd w:fill="d9d9d9" w:val="clear"/>
            <w:vAlign w:val="center"/>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Skratka / Značka</w:t>
            </w:r>
          </w:p>
        </w:tc>
        <w:tc>
          <w:tcPr>
            <w:shd w:fill="d9d9d9" w:val="clear"/>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Vysvetlenie</w:t>
            </w:r>
          </w:p>
        </w:tc>
      </w:tr>
      <w:tr>
        <w:trPr>
          <w:cantSplit w:val="0"/>
          <w:tblHeader w:val="0"/>
        </w:trPr>
        <w:tc>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API</w:t>
            </w:r>
          </w:p>
        </w:tc>
        <w:tc>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Application Platform Interface, Rozhranie aplikačnej platformy</w:t>
            </w:r>
          </w:p>
        </w:tc>
      </w:tr>
      <w:tr>
        <w:trPr>
          <w:cantSplit w:val="0"/>
          <w:tblHeader w:val="0"/>
        </w:trPr>
        <w:tc>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eGOV</w:t>
            </w:r>
          </w:p>
        </w:tc>
        <w:tc>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eGovernement</w:t>
            </w:r>
          </w:p>
        </w:tc>
      </w:tr>
      <w:tr>
        <w:trPr>
          <w:cantSplit w:val="0"/>
          <w:tblHeader w:val="0"/>
        </w:trPr>
        <w:tc>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EUR, €</w:t>
            </w:r>
          </w:p>
        </w:tc>
        <w:tc>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Mena EURO</w:t>
            </w:r>
          </w:p>
        </w:tc>
      </w:tr>
      <w:tr>
        <w:trPr>
          <w:cantSplit w:val="0"/>
          <w:tblHeader w:val="0"/>
        </w:trPr>
        <w:tc>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w:t>
            </w:r>
          </w:p>
        </w:tc>
        <w:tc>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Fyzická osoba</w:t>
            </w:r>
          </w:p>
        </w:tc>
      </w:tr>
      <w:tr>
        <w:trPr>
          <w:cantSplit w:val="0"/>
          <w:tblHeader w:val="0"/>
        </w:trPr>
        <w:tc>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FSJ</w:t>
            </w:r>
          </w:p>
        </w:tc>
        <w:tc>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Finančná spravodajská jednotka</w:t>
            </w:r>
          </w:p>
        </w:tc>
      </w:tr>
      <w:tr>
        <w:trPr>
          <w:cantSplit w:val="0"/>
          <w:tblHeader w:val="0"/>
        </w:trPr>
        <w:tc>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GDPR</w:t>
            </w:r>
          </w:p>
        </w:tc>
        <w:tc>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General Data Protection Regulation, NARIADENIE EURÓPSKEHO PARLAMENTU A RADY (EÚ) 2016/679 z 27. apríla 2016 o ochrane fyzických osôb pri spracúvaní osobných údajov a o voľnom pohybe takýchto údajov</w:t>
            </w:r>
          </w:p>
        </w:tc>
      </w:tr>
      <w:tr>
        <w:trPr>
          <w:cantSplit w:val="0"/>
          <w:tblHeader w:val="0"/>
        </w:trPr>
        <w:tc>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GR</w:t>
            </w:r>
          </w:p>
        </w:tc>
        <w:tc>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Generický register</w:t>
            </w:r>
          </w:p>
        </w:tc>
      </w:tr>
      <w:tr>
        <w:trPr>
          <w:cantSplit w:val="0"/>
          <w:tblHeader w:val="0"/>
        </w:trPr>
        <w:tc>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IFO</w:t>
            </w:r>
          </w:p>
        </w:tc>
        <w:tc>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Identifikátor fyzickej osoby</w:t>
            </w:r>
          </w:p>
        </w:tc>
      </w:tr>
      <w:tr>
        <w:trPr>
          <w:cantSplit w:val="0"/>
          <w:tblHeader w:val="0"/>
        </w:trPr>
        <w:tc>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IKT</w:t>
            </w:r>
          </w:p>
        </w:tc>
        <w:tc>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Informačné komunikačné technológie</w:t>
            </w:r>
          </w:p>
        </w:tc>
      </w:tr>
      <w:tr>
        <w:trPr>
          <w:cantSplit w:val="0"/>
          <w:tblHeader w:val="0"/>
        </w:trPr>
        <w:tc>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IPO, IČO</w:t>
            </w:r>
          </w:p>
        </w:tc>
        <w:tc>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Identifikačné číslo organizácie </w:t>
            </w:r>
          </w:p>
        </w:tc>
      </w:tr>
      <w:tr>
        <w:trPr>
          <w:cantSplit w:val="0"/>
          <w:tblHeader w:val="0"/>
        </w:trPr>
        <w:tc>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IS</w:t>
            </w:r>
          </w:p>
        </w:tc>
        <w:tc>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Informačný systém</w:t>
            </w:r>
          </w:p>
        </w:tc>
      </w:tr>
      <w:tr>
        <w:trPr>
          <w:cantSplit w:val="0"/>
          <w:tblHeader w:val="0"/>
        </w:trPr>
        <w:tc>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IS CSRÚ</w:t>
            </w:r>
          </w:p>
        </w:tc>
        <w:tc>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Informačný systém Centrálnej správy referenčných údajov</w:t>
            </w:r>
          </w:p>
        </w:tc>
      </w:tr>
      <w:tr>
        <w:trPr>
          <w:cantSplit w:val="0"/>
          <w:tblHeader w:val="0"/>
        </w:trPr>
        <w:tc>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ISVS</w:t>
            </w:r>
          </w:p>
        </w:tc>
        <w:tc>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Informačný systém verejnej správy</w:t>
            </w:r>
          </w:p>
        </w:tc>
      </w:tr>
      <w:tr>
        <w:trPr>
          <w:cantSplit w:val="0"/>
          <w:tblHeader w:val="0"/>
        </w:trPr>
        <w:tc>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KÚV</w:t>
            </w:r>
          </w:p>
        </w:tc>
        <w:tc>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Konečný užívateľ výhod</w:t>
            </w:r>
          </w:p>
        </w:tc>
      </w:tr>
      <w:tr>
        <w:trPr>
          <w:cantSplit w:val="0"/>
          <w:tblHeader w:val="0"/>
        </w:trPr>
        <w:tc>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OJ</w:t>
            </w:r>
          </w:p>
        </w:tc>
        <w:tc>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Organizačná jednotka, Organizačná zložka</w:t>
            </w:r>
          </w:p>
        </w:tc>
      </w:tr>
      <w:tr>
        <w:trPr>
          <w:cantSplit w:val="0"/>
          <w:tblHeader w:val="0"/>
        </w:trPr>
        <w:tc>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OVM</w:t>
            </w:r>
          </w:p>
        </w:tc>
        <w:tc>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Orgány verejnej moci</w:t>
            </w:r>
          </w:p>
        </w:tc>
      </w:tr>
      <w:tr>
        <w:trPr>
          <w:cantSplit w:val="0"/>
          <w:tblHeader w:val="0"/>
        </w:trPr>
        <w:tc>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PO</w:t>
            </w:r>
          </w:p>
        </w:tc>
        <w:tc>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Právnická osoba</w:t>
            </w:r>
          </w:p>
        </w:tc>
      </w:tr>
      <w:tr>
        <w:trPr>
          <w:cantSplit w:val="0"/>
          <w:tblHeader w:val="0"/>
        </w:trPr>
        <w:tc>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RA</w:t>
            </w:r>
          </w:p>
        </w:tc>
        <w:tc>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Register adries</w:t>
            </w:r>
          </w:p>
        </w:tc>
      </w:tr>
      <w:tr>
        <w:trPr>
          <w:cantSplit w:val="0"/>
          <w:tblHeader w:val="0"/>
        </w:trPr>
        <w:tc>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REGIS</w:t>
            </w:r>
          </w:p>
        </w:tc>
        <w:tc>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Register organizácií</w:t>
            </w:r>
          </w:p>
        </w:tc>
      </w:tr>
      <w:tr>
        <w:trPr>
          <w:cantSplit w:val="0"/>
          <w:tblHeader w:val="0"/>
        </w:trPr>
        <w:tc>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RFO</w:t>
            </w:r>
          </w:p>
        </w:tc>
        <w:tc>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Register fyzických osôb</w:t>
            </w:r>
          </w:p>
        </w:tc>
      </w:tr>
      <w:tr>
        <w:trPr>
          <w:cantSplit w:val="0"/>
          <w:tblHeader w:val="0"/>
        </w:trPr>
        <w:tc>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RPO</w:t>
            </w:r>
          </w:p>
        </w:tc>
        <w:tc>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Register právnických osôb</w:t>
            </w:r>
          </w:p>
        </w:tc>
      </w:tr>
      <w:tr>
        <w:trPr>
          <w:cantSplit w:val="0"/>
          <w:tblHeader w:val="0"/>
        </w:trPr>
        <w:tc>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SLA</w:t>
            </w:r>
          </w:p>
        </w:tc>
        <w:tc>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Service level agreement</w:t>
            </w:r>
          </w:p>
        </w:tc>
      </w:tr>
      <w:tr>
        <w:trPr>
          <w:cantSplit w:val="0"/>
          <w:tblHeader w:val="0"/>
        </w:trPr>
        <w:tc>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ŠÚ SR</w:t>
            </w:r>
          </w:p>
        </w:tc>
        <w:tc>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Štatistický úrad Slovenskej republiky</w:t>
            </w:r>
          </w:p>
        </w:tc>
      </w:tr>
      <w:tr>
        <w:trPr>
          <w:cantSplit w:val="0"/>
          <w:tblHeader w:val="0"/>
        </w:trPr>
        <w:tc>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ÚPVS</w:t>
            </w:r>
          </w:p>
        </w:tc>
        <w:tc>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Ústredný portál verejnej správy</w:t>
            </w:r>
          </w:p>
        </w:tc>
      </w:tr>
      <w:tr>
        <w:trPr>
          <w:cantSplit w:val="0"/>
          <w:tblHeader w:val="0"/>
        </w:trPr>
        <w:tc>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VS</w:t>
            </w:r>
          </w:p>
        </w:tc>
        <w:tc>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Verejná správa</w:t>
            </w:r>
          </w:p>
        </w:tc>
      </w:tr>
      <w:tr>
        <w:trPr>
          <w:cantSplit w:val="0"/>
          <w:tblHeader w:val="0"/>
        </w:trPr>
        <w:tc>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Zdrojový register</w:t>
            </w:r>
          </w:p>
        </w:tc>
        <w:tc>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Register alebo evidencia do ktorej sa zapisujú príslušné subjekty na účely vzniku právnickej osoby alebo vzniku oprávnenia na podnikanie. Zdrojový register je aj konkrétny register generického registra.</w:t>
            </w:r>
          </w:p>
        </w:tc>
      </w:tr>
    </w:tbl>
    <w:p w:rsidR="00000000" w:rsidDel="00000000" w:rsidP="00000000" w:rsidRDefault="00000000" w:rsidRPr="00000000" w14:paraId="0000025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240" w:line="252.00000000000003" w:lineRule="auto"/>
        <w:ind w:left="567" w:right="0" w:hanging="567"/>
        <w:jc w:val="both"/>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Legislatívne požiadavky</w:t>
      </w:r>
    </w:p>
    <w:p w:rsidR="00000000" w:rsidDel="00000000" w:rsidP="00000000" w:rsidRDefault="00000000" w:rsidRPr="00000000" w14:paraId="0000025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Zákon č. 272/2015 Z. z. o registri právnických osôb, podnikateľov a orgánov verejnej moci a o zmene a doplnení niektorých zákonov</w:t>
      </w:r>
    </w:p>
    <w:p w:rsidR="00000000" w:rsidDel="00000000" w:rsidP="00000000" w:rsidRDefault="00000000" w:rsidRPr="00000000" w14:paraId="0000025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Zákon č. 297/2008 Z. z. o ochrane pred legalizáciou príjmov z trestnej činnosti a o ochrane pred financovaním terorizmu a o zmene a doplnení niektorých zákonov</w:t>
      </w:r>
    </w:p>
    <w:p w:rsidR="00000000" w:rsidDel="00000000" w:rsidP="00000000" w:rsidRDefault="00000000" w:rsidRPr="00000000" w14:paraId="0000025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Zákon č. 305/2013 Z. z. o elektronickej podobe výkonu pôsobnosti orgánov verejnej moci a o zmene a doplnení niektorých zákonov (zákon o e-Governmente) v znení neskorších predpisov</w:t>
      </w:r>
    </w:p>
    <w:p w:rsidR="00000000" w:rsidDel="00000000" w:rsidP="00000000" w:rsidRDefault="00000000" w:rsidRPr="00000000" w14:paraId="0000025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Zákon č. 18/2018 Z. z. o ochrane osobných údajov a o zmene a doplnení niektorých zákonov</w:t>
      </w:r>
    </w:p>
    <w:p w:rsidR="00000000" w:rsidDel="00000000" w:rsidP="00000000" w:rsidRDefault="00000000" w:rsidRPr="00000000" w14:paraId="0000026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Zákon č. 211/2000 Z. z. o slobodnom prístupe k informáciám a o zmene a doplnení niektorých zákonov (zákon o slobode informácií) v znení neskorších predpisov</w:t>
      </w:r>
    </w:p>
    <w:p w:rsidR="00000000" w:rsidDel="00000000" w:rsidP="00000000" w:rsidRDefault="00000000" w:rsidRPr="00000000" w14:paraId="0000026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Zákon č. 95/2019 Z. z. o informačných technológiách vo verejnej správe a o zmene a doplnení niektorých zákonov</w:t>
      </w:r>
    </w:p>
    <w:p w:rsidR="00000000" w:rsidDel="00000000" w:rsidP="00000000" w:rsidRDefault="00000000" w:rsidRPr="00000000" w14:paraId="0000026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Nariadenie Európskeho parlamentu a Rady (EÚ) 2016/679</w:t>
      </w:r>
    </w:p>
    <w:p w:rsidR="00000000" w:rsidDel="00000000" w:rsidP="00000000" w:rsidRDefault="00000000" w:rsidRPr="00000000" w14:paraId="0000026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zákon č. 540/2001 Z. z. o štátnej štatistike v znení neskorších predpisov </w:t>
      </w:r>
    </w:p>
    <w:p w:rsidR="00000000" w:rsidDel="00000000" w:rsidP="00000000" w:rsidRDefault="00000000" w:rsidRPr="00000000" w14:paraId="0000026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zákon č. 69/2018 Z. z. o kybernetickej bezpečnosti a o zmene a doplnení niektorých zákonov v znení neskorších predpisov</w:t>
      </w:r>
    </w:p>
    <w:p w:rsidR="00000000" w:rsidDel="00000000" w:rsidP="00000000" w:rsidRDefault="00000000" w:rsidRPr="00000000" w14:paraId="0000026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vyhláška Úradu podpredsedu vlády Slovenskej republiky pre investície a informatizáciu č. 78/2020 Z. z. štandardoch pre informačné technológie verejnej správy v znení neskorších predpisov</w:t>
      </w:r>
    </w:p>
    <w:p w:rsidR="00000000" w:rsidDel="00000000" w:rsidP="00000000" w:rsidRDefault="00000000" w:rsidRPr="00000000" w14:paraId="0000026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vyhláška Úradu podpredsedu vlády Slovenskej republiky pre investície a informatizáciu </w:t>
        <w:br w:type="textWrapping"/>
        <w:t xml:space="preserve">č. 179/2020 Z. z., ktorou sa ustanovuje spôsob kategorizácie a obsah bezpečnostných opatrení informačných technológii verejnej správy</w:t>
      </w:r>
    </w:p>
    <w:p w:rsidR="00000000" w:rsidDel="00000000" w:rsidP="00000000" w:rsidRDefault="00000000" w:rsidRPr="00000000" w14:paraId="0000026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Vyhláška č. 401/2023 Z. z. - Vyhláška Ministerstva investícií, regionálneho rozvoja a informatizácie Slovenskej republiky o riadení o riadení projektov a zmenových požiadaviek v prevádzke informačných technológií verejnej správy</w:t>
      </w:r>
    </w:p>
    <w:p w:rsidR="00000000" w:rsidDel="00000000" w:rsidP="00000000" w:rsidRDefault="00000000" w:rsidRPr="00000000" w14:paraId="0000026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240" w:line="252.00000000000003" w:lineRule="auto"/>
        <w:ind w:left="1080" w:right="0" w:hanging="720"/>
        <w:jc w:val="both"/>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Popis IS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RPO</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Informačný systém Register a identifikátor právnických osôb a podnikateľov sa skladá z 3 základných modulov:</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141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tab/>
        <w:t xml:space="preserve">Jadro RPO,</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141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tab/>
        <w:t xml:space="preserve">Generický register RPO,</w:t>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141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tab/>
        <w:t xml:space="preserve">Generátor IPO.</w:t>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Autentifikácia služieb</w:t>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Elektronické služby IS RPO sa delia z pohľadu spôsobu ich dostupnosti na </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113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služby používateľského rozhrania,</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113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služby aplikačného rozhrania.</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Služby používateľského rozhrania určené pre občana a podnikateľa sú poskytované vo forme formulárov dostupných z prostredia portálu ÚPVS. </w:t>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Služby používateľského rozhrania</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113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Poskytnutie IPO podľa vyhľadávacích kritérií a </w:t>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113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Poskytnutie referenčných údajov jedného IPO </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sú poskytované bez autorizácie konzumenta a bez potreby úhrady správneho poplatku. </w:t>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Tieto služby sú pre širokú verejnosť dostupné aj prostredníctvom otvoreného REST API rozhrania.</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Služba používateľského rozhrania Podanie žiadosti o výpis je poskytovaná autorizovaným spôsobom. Ako mechanizmus autentifikácie občana alebo podnikateľa  je podporované riešenie založené na eID karte. </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Služby aplikačného rozhrania určené na integráciu IS RPO s ostatnými súčasťami IS VS v rámci procesov eGovernmentu sú poskytované vo forme webových servisov dostupných prostredníctvom integračného rozhrania ŠÚ SR. Vstupy aj výstupy služieb aplikačného rozhrania sú realizované vo forme XML.</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Všetky elektronické služby IS RPO aplikačného rozhrania sú poskytované autorizovaným spôsobom. Ako mechanizmus autentifikácie IS VS požadujúceho elektronickú službu IS RPO je podporované riešenie založené na BasicAuth + SSL.</w:t>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Služby sú realizované ako webservices/SOAP a sú prístupné výlučne cez HTTPS protokol.</w:t>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90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87"/>
        <w:gridCol w:w="2971"/>
        <w:tblGridChange w:id="0">
          <w:tblGrid>
            <w:gridCol w:w="6087"/>
            <w:gridCol w:w="2971"/>
          </w:tblGrid>
        </w:tblGridChange>
      </w:tblGrid>
      <w:tr>
        <w:trPr>
          <w:cantSplit w:val="0"/>
          <w:tblHeader w:val="0"/>
        </w:trPr>
        <w:tc>
          <w:tcPr>
            <w:shd w:fill="d9d9d9" w:val="clear"/>
            <w:vAlign w:val="center"/>
          </w:tcPr>
          <w:p w:rsidR="00000000" w:rsidDel="00000000" w:rsidP="00000000" w:rsidRDefault="00000000" w:rsidRPr="00000000" w14:paraId="0000027D">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Názov informačného systému</w:t>
            </w:r>
          </w:p>
        </w:tc>
        <w:tc>
          <w:tcPr>
            <w:shd w:fill="d9d9d9" w:val="clear"/>
          </w:tcPr>
          <w:p w:rsidR="00000000" w:rsidDel="00000000" w:rsidP="00000000" w:rsidRDefault="00000000" w:rsidRPr="00000000" w14:paraId="0000027E">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Kód v MetaIS</w:t>
            </w:r>
          </w:p>
        </w:tc>
      </w:tr>
      <w:tr>
        <w:trPr>
          <w:cantSplit w:val="0"/>
          <w:tblHeader w:val="0"/>
        </w:trPr>
        <w:tc>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Register právnických osôb, podnikateľov a orgánov verejnej moci</w:t>
            </w:r>
          </w:p>
        </w:tc>
        <w:tc>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isvs_420</w:t>
            </w:r>
          </w:p>
        </w:tc>
      </w:tr>
      <w:tr>
        <w:trPr>
          <w:cantSplit w:val="0"/>
          <w:tblHeader w:val="0"/>
        </w:trPr>
        <w:tc>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https://metais.vicepremier.gov.sk/detail/ISVS/36337485-ab51-4eee-9405-c95b9a4153d8/cimaster?tab=basicForm</w:t>
            </w:r>
            <w:r w:rsidDel="00000000" w:rsidR="00000000" w:rsidRPr="00000000">
              <w:rPr>
                <w:rtl w:val="0"/>
              </w:rPr>
            </w:r>
          </w:p>
        </w:tc>
        <w:tc>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Rok uvedenia do prevádzky: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2017</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Stručný popis: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register právnických osôb, podnikateľov a orgánov verejnej moci (RPO) predstavuje referenčný register v súlade s Národnou koncepciou informatizácie verejnej samosprávy (NKIVS), ako samostatný systém, ktorý obsahuje jednotný a dátovo konzistentný zdroj údajov všetkých právnych subjektov, ktoré prichádzajú do styku s verejnou správou. Prostredníctvom IS RPO je možné získať komplexné údaje o konkrétnom právnom subjekte z viacerých zdrojových registrov a na ich základe vykonávať proaktívne služby v rôznych životných situáciách právneho subjektu. Právne subjekty evidované v RPO sú jednoznačne identifikované prostredníctvom identifikačného čísla organizácie, ktorého generovanie zostáva zodpovednosťou Štatistického úradu SR. Štatistický úrad SR generuje identifikátor v súlade s existujúcimi pravidlami a pre subjekty s právnou subjektivitou to bude IČO, pričom organizácie bez právnej subjektivity budú identifikované rozšíreným identifikátorom IČO na 12 miest..</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6">
      <w:pPr>
        <w:keepNext w:val="1"/>
        <w:keepLines w:val="1"/>
        <w:widowControl w:val="0"/>
        <w:spacing w:before="40" w:line="276" w:lineRule="auto"/>
        <w:jc w:val="both"/>
        <w:rPr>
          <w:rFonts w:ascii="Calibri" w:cs="Calibri" w:eastAsia="Calibri" w:hAnsi="Calibri"/>
          <w:color w:val="2e74b5"/>
          <w:sz w:val="26"/>
          <w:szCs w:val="26"/>
        </w:rPr>
      </w:pPr>
      <w:bookmarkStart w:colFirst="0" w:colLast="0" w:name="_heading=h.2lwamvv" w:id="51"/>
      <w:bookmarkEnd w:id="51"/>
      <w:r w:rsidDel="00000000" w:rsidR="00000000" w:rsidRPr="00000000">
        <w:rPr>
          <w:rFonts w:ascii="Calibri" w:cs="Calibri" w:eastAsia="Calibri" w:hAnsi="Calibri"/>
          <w:color w:val="2e74b5"/>
          <w:sz w:val="26"/>
          <w:szCs w:val="26"/>
          <w:rtl w:val="0"/>
        </w:rPr>
        <w:t xml:space="preserve">Jadro RPO</w:t>
      </w:r>
    </w:p>
    <w:p w:rsidR="00000000" w:rsidDel="00000000" w:rsidP="00000000" w:rsidRDefault="00000000" w:rsidRPr="00000000" w14:paraId="00000287">
      <w:pPr>
        <w:widowControl w:val="0"/>
        <w:spacing w:after="200" w:line="276" w:lineRule="auto"/>
        <w:jc w:val="both"/>
        <w:rPr>
          <w:sz w:val="22"/>
          <w:szCs w:val="22"/>
        </w:rPr>
      </w:pPr>
      <w:r w:rsidDel="00000000" w:rsidR="00000000" w:rsidRPr="00000000">
        <w:rPr>
          <w:sz w:val="22"/>
          <w:szCs w:val="22"/>
          <w:rtl w:val="0"/>
        </w:rPr>
        <w:t xml:space="preserve">Modul Jadro RPO predstavuje centrálnu databázu údajov o právnických osobách,  fyzických osobách podnikateľoch a orgánoch verejnej moci. Nad modulom sa realizujú služby na rôznych úrovniach oprávnení:</w:t>
      </w:r>
    </w:p>
    <w:p w:rsidR="00000000" w:rsidDel="00000000" w:rsidP="00000000" w:rsidRDefault="00000000" w:rsidRPr="00000000" w14:paraId="00000288">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Administrátor RPO</w:t>
      </w:r>
    </w:p>
    <w:p w:rsidR="00000000" w:rsidDel="00000000" w:rsidP="00000000" w:rsidRDefault="00000000" w:rsidRPr="00000000" w14:paraId="00000289">
      <w:pPr>
        <w:widowControl w:val="0"/>
        <w:spacing w:after="200" w:line="276" w:lineRule="auto"/>
        <w:jc w:val="both"/>
        <w:rPr>
          <w:sz w:val="22"/>
          <w:szCs w:val="22"/>
        </w:rPr>
      </w:pPr>
      <w:r w:rsidDel="00000000" w:rsidR="00000000" w:rsidRPr="00000000">
        <w:rPr>
          <w:sz w:val="22"/>
          <w:szCs w:val="22"/>
          <w:rtl w:val="0"/>
        </w:rPr>
        <w:t xml:space="preserve">Administrátor informačného systému Register a identifikátor právnických osôb a podnikateľov  má oprávnenie na prezeranie logov. </w:t>
      </w:r>
    </w:p>
    <w:p w:rsidR="00000000" w:rsidDel="00000000" w:rsidP="00000000" w:rsidRDefault="00000000" w:rsidRPr="00000000" w14:paraId="0000028A">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Administrátor kvality RPO</w:t>
      </w:r>
    </w:p>
    <w:p w:rsidR="00000000" w:rsidDel="00000000" w:rsidP="00000000" w:rsidRDefault="00000000" w:rsidRPr="00000000" w14:paraId="0000028B">
      <w:pPr>
        <w:widowControl w:val="0"/>
        <w:spacing w:after="200" w:line="276" w:lineRule="auto"/>
        <w:jc w:val="both"/>
        <w:rPr>
          <w:sz w:val="22"/>
          <w:szCs w:val="22"/>
        </w:rPr>
      </w:pPr>
      <w:r w:rsidDel="00000000" w:rsidR="00000000" w:rsidRPr="00000000">
        <w:rPr>
          <w:sz w:val="22"/>
          <w:szCs w:val="22"/>
          <w:rtl w:val="0"/>
        </w:rPr>
        <w:t xml:space="preserve">Administrátor kvality údajov Registra právnických osôb a podnikateľov má oprávnenie na manažment kontrol kvality údajov. </w:t>
      </w:r>
    </w:p>
    <w:p w:rsidR="00000000" w:rsidDel="00000000" w:rsidP="00000000" w:rsidRDefault="00000000" w:rsidRPr="00000000" w14:paraId="0000028C">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IS zdrojového registra</w:t>
      </w:r>
    </w:p>
    <w:p w:rsidR="00000000" w:rsidDel="00000000" w:rsidP="00000000" w:rsidRDefault="00000000" w:rsidRPr="00000000" w14:paraId="0000028D">
      <w:pPr>
        <w:widowControl w:val="0"/>
        <w:spacing w:after="200" w:line="276" w:lineRule="auto"/>
        <w:jc w:val="both"/>
        <w:rPr>
          <w:sz w:val="22"/>
          <w:szCs w:val="22"/>
        </w:rPr>
      </w:pPr>
      <w:r w:rsidDel="00000000" w:rsidR="00000000" w:rsidRPr="00000000">
        <w:rPr>
          <w:sz w:val="22"/>
          <w:szCs w:val="22"/>
          <w:rtl w:val="0"/>
        </w:rPr>
        <w:t xml:space="preserve">Informačný systém zdrojového registra s prideleným oprávnením na zápis údajov do databázy RPO príp. na výmaz údajov.</w:t>
      </w:r>
    </w:p>
    <w:p w:rsidR="00000000" w:rsidDel="00000000" w:rsidP="00000000" w:rsidRDefault="00000000" w:rsidRPr="00000000" w14:paraId="0000028E">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ISVS</w:t>
      </w:r>
    </w:p>
    <w:p w:rsidR="00000000" w:rsidDel="00000000" w:rsidP="00000000" w:rsidRDefault="00000000" w:rsidRPr="00000000" w14:paraId="0000028F">
      <w:pPr>
        <w:widowControl w:val="0"/>
        <w:spacing w:after="200" w:line="276" w:lineRule="auto"/>
        <w:jc w:val="both"/>
        <w:rPr>
          <w:sz w:val="22"/>
          <w:szCs w:val="22"/>
        </w:rPr>
      </w:pPr>
      <w:r w:rsidDel="00000000" w:rsidR="00000000" w:rsidRPr="00000000">
        <w:rPr>
          <w:sz w:val="22"/>
          <w:szCs w:val="22"/>
          <w:rtl w:val="0"/>
        </w:rPr>
        <w:t xml:space="preserve">Informačný systém verejnej správy s prideleným oprávnením na poskytovanie údajov z RPO  a/alebo preberanie synchronizačných dávok. </w:t>
      </w:r>
    </w:p>
    <w:p w:rsidR="00000000" w:rsidDel="00000000" w:rsidP="00000000" w:rsidRDefault="00000000" w:rsidRPr="00000000" w14:paraId="00000290">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Oprávnený používateľ</w:t>
      </w:r>
    </w:p>
    <w:p w:rsidR="00000000" w:rsidDel="00000000" w:rsidP="00000000" w:rsidRDefault="00000000" w:rsidRPr="00000000" w14:paraId="00000291">
      <w:pPr>
        <w:widowControl w:val="0"/>
        <w:spacing w:after="200" w:line="276" w:lineRule="auto"/>
        <w:jc w:val="both"/>
        <w:rPr>
          <w:sz w:val="22"/>
          <w:szCs w:val="22"/>
        </w:rPr>
      </w:pPr>
      <w:r w:rsidDel="00000000" w:rsidR="00000000" w:rsidRPr="00000000">
        <w:rPr>
          <w:sz w:val="22"/>
          <w:szCs w:val="22"/>
          <w:rtl w:val="0"/>
        </w:rPr>
        <w:t xml:space="preserve">Autentifikovaný používateľ prostredníctvom IAM UPVS. Na autentifikáciu osoby sa použije občiansky preukaz s elektronickým čipom (eID) a bezpečnostný osobný kód (BOK). Oprávnený používateľ má oprávnenie vyhľadávať údaje o subjektoch evidovaných v IS RPO a podať žiadosť o výpis.</w:t>
      </w:r>
    </w:p>
    <w:p w:rsidR="00000000" w:rsidDel="00000000" w:rsidP="00000000" w:rsidRDefault="00000000" w:rsidRPr="00000000" w14:paraId="00000292">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Používateľ</w:t>
      </w:r>
    </w:p>
    <w:p w:rsidR="00000000" w:rsidDel="00000000" w:rsidP="00000000" w:rsidRDefault="00000000" w:rsidRPr="00000000" w14:paraId="00000293">
      <w:pPr>
        <w:widowControl w:val="0"/>
        <w:spacing w:after="200" w:line="276" w:lineRule="auto"/>
        <w:jc w:val="both"/>
        <w:rPr>
          <w:sz w:val="22"/>
          <w:szCs w:val="22"/>
        </w:rPr>
      </w:pPr>
      <w:r w:rsidDel="00000000" w:rsidR="00000000" w:rsidRPr="00000000">
        <w:rPr>
          <w:sz w:val="22"/>
          <w:szCs w:val="22"/>
          <w:rtl w:val="0"/>
        </w:rPr>
        <w:t xml:space="preserve">Používateľ bez autentifikácie má oprávnenie vyhľadávať údaje o subjektoch evidovaných v IS RPO. </w:t>
      </w:r>
    </w:p>
    <w:p w:rsidR="00000000" w:rsidDel="00000000" w:rsidP="00000000" w:rsidRDefault="00000000" w:rsidRPr="00000000" w14:paraId="00000294">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Používateľ ISVS</w:t>
      </w:r>
    </w:p>
    <w:p w:rsidR="00000000" w:rsidDel="00000000" w:rsidP="00000000" w:rsidRDefault="00000000" w:rsidRPr="00000000" w14:paraId="00000295">
      <w:pPr>
        <w:widowControl w:val="0"/>
        <w:spacing w:after="200" w:line="276" w:lineRule="auto"/>
        <w:jc w:val="both"/>
        <w:rPr>
          <w:sz w:val="22"/>
          <w:szCs w:val="22"/>
        </w:rPr>
      </w:pPr>
      <w:r w:rsidDel="00000000" w:rsidR="00000000" w:rsidRPr="00000000">
        <w:rPr>
          <w:sz w:val="22"/>
          <w:szCs w:val="22"/>
          <w:rtl w:val="0"/>
        </w:rPr>
        <w:t xml:space="preserve">Používateľ ISVS, ktorý má pridelené oprávnenie na vytvorenie požiadavky o inicializačnú dávku údajov evidovaných v RPO a preberanie synchronizačných dávok. </w:t>
      </w:r>
    </w:p>
    <w:p w:rsidR="00000000" w:rsidDel="00000000" w:rsidP="00000000" w:rsidRDefault="00000000" w:rsidRPr="00000000" w14:paraId="00000296">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Používateľ ŠÚ SR</w:t>
      </w:r>
    </w:p>
    <w:p w:rsidR="00000000" w:rsidDel="00000000" w:rsidP="00000000" w:rsidRDefault="00000000" w:rsidRPr="00000000" w14:paraId="00000297">
      <w:pPr>
        <w:widowControl w:val="0"/>
        <w:spacing w:after="200" w:line="276" w:lineRule="auto"/>
        <w:jc w:val="both"/>
        <w:rPr>
          <w:sz w:val="22"/>
          <w:szCs w:val="22"/>
        </w:rPr>
      </w:pPr>
      <w:r w:rsidDel="00000000" w:rsidR="00000000" w:rsidRPr="00000000">
        <w:rPr>
          <w:sz w:val="22"/>
          <w:szCs w:val="22"/>
          <w:rtl w:val="0"/>
        </w:rPr>
        <w:t xml:space="preserve">Pracovník ŠÚ SR, ktorý má pridelené oprávnenie na vykonávanie analýz údajov evidovaných v RPO. </w:t>
      </w:r>
    </w:p>
    <w:p w:rsidR="00000000" w:rsidDel="00000000" w:rsidP="00000000" w:rsidRDefault="00000000" w:rsidRPr="00000000" w14:paraId="00000298">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REGIS</w:t>
      </w:r>
    </w:p>
    <w:p w:rsidR="00000000" w:rsidDel="00000000" w:rsidP="00000000" w:rsidRDefault="00000000" w:rsidRPr="00000000" w14:paraId="00000299">
      <w:pPr>
        <w:widowControl w:val="0"/>
        <w:spacing w:after="200" w:line="276" w:lineRule="auto"/>
        <w:jc w:val="both"/>
        <w:rPr>
          <w:sz w:val="22"/>
          <w:szCs w:val="22"/>
        </w:rPr>
      </w:pPr>
      <w:r w:rsidDel="00000000" w:rsidR="00000000" w:rsidRPr="00000000">
        <w:rPr>
          <w:sz w:val="22"/>
          <w:szCs w:val="22"/>
          <w:rtl w:val="0"/>
        </w:rPr>
        <w:t xml:space="preserve">Informačný systém Register organizácií. Systémový používateľ s oprávnením na zápis štatistických kódov do databázy RPO.  </w:t>
      </w:r>
    </w:p>
    <w:p w:rsidR="00000000" w:rsidDel="00000000" w:rsidP="00000000" w:rsidRDefault="00000000" w:rsidRPr="00000000" w14:paraId="0000029A">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Systém Jadro RPO</w:t>
      </w:r>
    </w:p>
    <w:p w:rsidR="00000000" w:rsidDel="00000000" w:rsidP="00000000" w:rsidRDefault="00000000" w:rsidRPr="00000000" w14:paraId="0000029B">
      <w:pPr>
        <w:widowControl w:val="0"/>
        <w:spacing w:after="200" w:line="276" w:lineRule="auto"/>
        <w:jc w:val="both"/>
        <w:rPr>
          <w:sz w:val="22"/>
          <w:szCs w:val="22"/>
        </w:rPr>
      </w:pPr>
      <w:r w:rsidDel="00000000" w:rsidR="00000000" w:rsidRPr="00000000">
        <w:rPr>
          <w:sz w:val="22"/>
          <w:szCs w:val="22"/>
          <w:rtl w:val="0"/>
        </w:rPr>
        <w:t xml:space="preserve">Systém Jadro RPO - komponent IS RPO, ktorý zabezpečuje generovanie synchronizačných dávok, logovanie činností v systéme.   </w:t>
      </w:r>
    </w:p>
    <w:p w:rsidR="00000000" w:rsidDel="00000000" w:rsidP="00000000" w:rsidRDefault="00000000" w:rsidRPr="00000000" w14:paraId="0000029C">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OVM</w:t>
      </w:r>
    </w:p>
    <w:p w:rsidR="00000000" w:rsidDel="00000000" w:rsidP="00000000" w:rsidRDefault="00000000" w:rsidRPr="00000000" w14:paraId="0000029D">
      <w:pPr>
        <w:widowControl w:val="0"/>
        <w:spacing w:after="200" w:line="276" w:lineRule="auto"/>
        <w:jc w:val="both"/>
        <w:rPr>
          <w:sz w:val="22"/>
          <w:szCs w:val="22"/>
        </w:rPr>
      </w:pPr>
      <w:r w:rsidDel="00000000" w:rsidR="00000000" w:rsidRPr="00000000">
        <w:rPr>
          <w:sz w:val="22"/>
          <w:szCs w:val="22"/>
          <w:rtl w:val="0"/>
        </w:rPr>
        <w:t xml:space="preserve">Používateľ so zverenou pôsobnosťou v mene orgánu verejnej moci. Používateľ s pridelenou rolou má oprávnenie na podanie žiadosti o elektronický odpis z RPO dvomi spôsobmi:</w:t>
      </w:r>
    </w:p>
    <w:p w:rsidR="00000000" w:rsidDel="00000000" w:rsidP="00000000" w:rsidRDefault="00000000" w:rsidRPr="00000000" w14:paraId="0000029E">
      <w:pPr>
        <w:widowControl w:val="0"/>
        <w:spacing w:after="200" w:line="276" w:lineRule="auto"/>
        <w:jc w:val="both"/>
        <w:rPr>
          <w:sz w:val="22"/>
          <w:szCs w:val="22"/>
        </w:rPr>
      </w:pPr>
      <w:r w:rsidDel="00000000" w:rsidR="00000000" w:rsidRPr="00000000">
        <w:rPr>
          <w:sz w:val="22"/>
          <w:szCs w:val="22"/>
          <w:rtl w:val="0"/>
        </w:rPr>
        <w:t xml:space="preserve">·</w:t>
        <w:tab/>
        <w:t xml:space="preserve">prostredníctvom aplikácie  </w:t>
      </w:r>
    </w:p>
    <w:p w:rsidR="00000000" w:rsidDel="00000000" w:rsidP="00000000" w:rsidRDefault="00000000" w:rsidRPr="00000000" w14:paraId="0000029F">
      <w:pPr>
        <w:widowControl w:val="0"/>
        <w:spacing w:after="200" w:line="276" w:lineRule="auto"/>
        <w:jc w:val="both"/>
        <w:rPr>
          <w:sz w:val="22"/>
          <w:szCs w:val="22"/>
        </w:rPr>
      </w:pPr>
      <w:r w:rsidDel="00000000" w:rsidR="00000000" w:rsidRPr="00000000">
        <w:rPr>
          <w:sz w:val="22"/>
          <w:szCs w:val="22"/>
          <w:rtl w:val="0"/>
        </w:rPr>
        <w:t xml:space="preserve">·</w:t>
        <w:tab/>
        <w:t xml:space="preserve">alebo webovou službou. </w:t>
      </w:r>
    </w:p>
    <w:p w:rsidR="00000000" w:rsidDel="00000000" w:rsidP="00000000" w:rsidRDefault="00000000" w:rsidRPr="00000000" w14:paraId="000002A0">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Superadmin RPO</w:t>
      </w:r>
    </w:p>
    <w:p w:rsidR="00000000" w:rsidDel="00000000" w:rsidP="00000000" w:rsidRDefault="00000000" w:rsidRPr="00000000" w14:paraId="000002A1">
      <w:pPr>
        <w:widowControl w:val="0"/>
        <w:spacing w:after="200" w:line="276" w:lineRule="auto"/>
        <w:jc w:val="both"/>
        <w:rPr>
          <w:sz w:val="22"/>
          <w:szCs w:val="22"/>
        </w:rPr>
      </w:pPr>
      <w:r w:rsidDel="00000000" w:rsidR="00000000" w:rsidRPr="00000000">
        <w:rPr>
          <w:sz w:val="22"/>
          <w:szCs w:val="22"/>
          <w:rtl w:val="0"/>
        </w:rPr>
        <w:t xml:space="preserve">Administrátor informačného systému Register a identifikátor právnických osôb a podnikateľov má oprávnenie na prezeranie asynchrónnych úloh, nastavenie obsahovej validácie údajov a prezeranie obsahu XML súboru, ktorý zaslal na zápis do RPO zdrojový register. </w:t>
      </w:r>
    </w:p>
    <w:p w:rsidR="00000000" w:rsidDel="00000000" w:rsidP="00000000" w:rsidRDefault="00000000" w:rsidRPr="00000000" w14:paraId="000002A2">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Schvaľovateľ prístupu k RKÚV</w:t>
      </w:r>
    </w:p>
    <w:p w:rsidR="00000000" w:rsidDel="00000000" w:rsidP="00000000" w:rsidRDefault="00000000" w:rsidRPr="00000000" w14:paraId="000002A3">
      <w:pPr>
        <w:widowControl w:val="0"/>
        <w:spacing w:after="200" w:line="276" w:lineRule="auto"/>
        <w:jc w:val="both"/>
        <w:rPr>
          <w:sz w:val="22"/>
          <w:szCs w:val="22"/>
        </w:rPr>
      </w:pPr>
      <w:r w:rsidDel="00000000" w:rsidR="00000000" w:rsidRPr="00000000">
        <w:rPr>
          <w:sz w:val="22"/>
          <w:szCs w:val="22"/>
          <w:rtl w:val="0"/>
        </w:rPr>
        <w:t xml:space="preserve">Funkcionalita pre schvaľovateľa, ktorý môže vytvárať systémových používateľov a administrátorov pre všetkých konzumentov údajov z RKÚV. </w:t>
      </w:r>
    </w:p>
    <w:p w:rsidR="00000000" w:rsidDel="00000000" w:rsidP="00000000" w:rsidRDefault="00000000" w:rsidRPr="00000000" w14:paraId="000002A4">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OVM FSJ</w:t>
      </w:r>
    </w:p>
    <w:p w:rsidR="00000000" w:rsidDel="00000000" w:rsidP="00000000" w:rsidRDefault="00000000" w:rsidRPr="00000000" w14:paraId="000002A5">
      <w:pPr>
        <w:widowControl w:val="0"/>
        <w:spacing w:after="200" w:line="276" w:lineRule="auto"/>
        <w:jc w:val="both"/>
        <w:rPr>
          <w:sz w:val="22"/>
          <w:szCs w:val="22"/>
        </w:rPr>
      </w:pPr>
      <w:r w:rsidDel="00000000" w:rsidR="00000000" w:rsidRPr="00000000">
        <w:rPr>
          <w:sz w:val="22"/>
          <w:szCs w:val="22"/>
          <w:rtl w:val="0"/>
        </w:rPr>
        <w:t xml:space="preserve">Orgán verejnej moci Finančná spravodajská jednotka má prístup k údajom z RPO a o konečných užívateľoch výhod. Údaje sú poskytované prostredníctvom používateľského rozhrania s možnosťou vyhľadávania, filtrovania a exportu. Súčasne má Finančná spravodajská jednotka prístup k rozhraniu na vyhodnocovanie prístupov k údajom zo strany povinných osôb v zmysle § 5 zákona č. 297/2008 Z. z. o ochrane pred legalizáciou príjmov z trestnej činnosti a o ochrane pred financovaním terorizmu a o zmene a doplnení niektorých zákonov.</w:t>
      </w:r>
    </w:p>
    <w:p w:rsidR="00000000" w:rsidDel="00000000" w:rsidP="00000000" w:rsidRDefault="00000000" w:rsidRPr="00000000" w14:paraId="000002A6">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OVM RKÚV</w:t>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Je povinnou osobou v zmysle § 5 zákona č. 297/2008 Z. z., ktorá vykonáva starostlivosť vo vzťahu ku klientovi v súlade s druhou časťou zákona č. 297/2008 Z. z.. Pre tento účel existuje rozhranie, ktoré umožňuje poskytovať údaje KÚV prostredníctvom webových služieb vo forme odpisu. Rovnako je k dispozícii aj prístup prostredníctvom používateľského rozhrania pre zamestnancov povinných osôb.</w:t>
      </w:r>
      <w:r w:rsidDel="00000000" w:rsidR="00000000" w:rsidRPr="00000000">
        <w:rPr>
          <w:rtl w:val="0"/>
        </w:rPr>
      </w:r>
    </w:p>
    <w:p w:rsidR="00000000" w:rsidDel="00000000" w:rsidP="00000000" w:rsidRDefault="00000000" w:rsidRPr="00000000" w14:paraId="000002A8">
      <w:pPr>
        <w:widowControl w:val="0"/>
        <w:spacing w:after="200" w:line="276" w:lineRule="auto"/>
        <w:jc w:val="both"/>
        <w:rPr>
          <w:b w:val="1"/>
          <w:sz w:val="22"/>
          <w:szCs w:val="22"/>
          <w:u w:val="single"/>
        </w:rPr>
      </w:pPr>
      <w:r w:rsidDel="00000000" w:rsidR="00000000" w:rsidRPr="00000000">
        <w:rPr>
          <w:rtl w:val="0"/>
        </w:rPr>
      </w:r>
    </w:p>
    <w:p w:rsidR="00000000" w:rsidDel="00000000" w:rsidP="00000000" w:rsidRDefault="00000000" w:rsidRPr="00000000" w14:paraId="000002A9">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Správa používateľov RKÚV</w:t>
      </w:r>
    </w:p>
    <w:p w:rsidR="00000000" w:rsidDel="00000000" w:rsidP="00000000" w:rsidRDefault="00000000" w:rsidRPr="00000000" w14:paraId="000002AA">
      <w:pPr>
        <w:widowControl w:val="0"/>
        <w:spacing w:after="200" w:line="276" w:lineRule="auto"/>
        <w:jc w:val="both"/>
        <w:rPr>
          <w:sz w:val="22"/>
          <w:szCs w:val="22"/>
        </w:rPr>
      </w:pPr>
      <w:r w:rsidDel="00000000" w:rsidR="00000000" w:rsidRPr="00000000">
        <w:rPr>
          <w:sz w:val="22"/>
          <w:szCs w:val="22"/>
          <w:rtl w:val="0"/>
        </w:rPr>
        <w:t xml:space="preserve">Funkcionalita pre administrátora povinnej osoby pristupujúcej do RKÚV (v súlade s </w:t>
      </w:r>
      <w:r w:rsidDel="00000000" w:rsidR="00000000" w:rsidRPr="00000000">
        <w:rPr>
          <w:rtl w:val="0"/>
        </w:rPr>
        <w:t xml:space="preserve">§ 7a ods. 2 až 6 zákona č. 272/2015 Z. z.</w:t>
      </w:r>
      <w:r w:rsidDel="00000000" w:rsidR="00000000" w:rsidRPr="00000000">
        <w:rPr>
          <w:sz w:val="22"/>
          <w:szCs w:val="22"/>
          <w:rtl w:val="0"/>
        </w:rPr>
        <w:t xml:space="preserve">) pre správu používateľov. </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C">
      <w:pPr>
        <w:keepNext w:val="1"/>
        <w:keepLines w:val="1"/>
        <w:widowControl w:val="0"/>
        <w:spacing w:before="40" w:line="276" w:lineRule="auto"/>
        <w:jc w:val="both"/>
        <w:rPr>
          <w:rFonts w:ascii="Calibri" w:cs="Calibri" w:eastAsia="Calibri" w:hAnsi="Calibri"/>
          <w:color w:val="1f4d78"/>
        </w:rPr>
      </w:pPr>
      <w:bookmarkStart w:colFirst="0" w:colLast="0" w:name="_heading=h.111kx3o" w:id="52"/>
      <w:bookmarkEnd w:id="52"/>
      <w:r w:rsidDel="00000000" w:rsidR="00000000" w:rsidRPr="00000000">
        <w:rPr>
          <w:rFonts w:ascii="Calibri" w:cs="Calibri" w:eastAsia="Calibri" w:hAnsi="Calibri"/>
          <w:color w:val="1f4d78"/>
          <w:rtl w:val="0"/>
        </w:rPr>
        <w:t xml:space="preserve">Zoznam služieb Jadra RPO</w:t>
      </w:r>
    </w:p>
    <w:p w:rsidR="00000000" w:rsidDel="00000000" w:rsidP="00000000" w:rsidRDefault="00000000" w:rsidRPr="00000000" w14:paraId="000002AD">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Podanie žiadosti o výpis z RPO - Cieľom služby je vytvorenie požiadavky na poskytnutie výpisu o PO prostredníctvom RPO.</w:t>
      </w:r>
    </w:p>
    <w:p w:rsidR="00000000" w:rsidDel="00000000" w:rsidP="00000000" w:rsidRDefault="00000000" w:rsidRPr="00000000" w14:paraId="000002AE">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Vydanie výpisu z RPO - Cieľom služby je vytvorenie výpisu o PO zo zdrojového registra, ktorý je vedený v Generickom registri.</w:t>
      </w:r>
    </w:p>
    <w:p w:rsidR="00000000" w:rsidDel="00000000" w:rsidP="00000000" w:rsidRDefault="00000000" w:rsidRPr="00000000" w14:paraId="000002AF">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Poskytnutie IPO podľa vyhľadávacích kritérií - Cieľom služby je poskytnúť IPO na základe iných identifikačných údajov PO.</w:t>
      </w:r>
    </w:p>
    <w:p w:rsidR="00000000" w:rsidDel="00000000" w:rsidP="00000000" w:rsidRDefault="00000000" w:rsidRPr="00000000" w14:paraId="000002B0">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Poskytnutie referenčných údajov jedného IPO - Cieľom služby je poskytnutie referenčných údajov jedného IPO z RPO.</w:t>
      </w:r>
    </w:p>
    <w:p w:rsidR="00000000" w:rsidDel="00000000" w:rsidP="00000000" w:rsidRDefault="00000000" w:rsidRPr="00000000" w14:paraId="000002B1">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Zápis právnickej osoby registrovanej v obchodnom registri do RPO - Cieľom služby je realizácia prenosu a zápisu informácie o vytvorení resp. zmene záznamu týkajúceho sa právnickej osoby zo systému zdrojového registrátora do systému RPO.</w:t>
      </w:r>
    </w:p>
    <w:p w:rsidR="00000000" w:rsidDel="00000000" w:rsidP="00000000" w:rsidRDefault="00000000" w:rsidRPr="00000000" w14:paraId="000002B2">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Zápis nadácií do RPO - Cieľom služby je realizácia prenosu a zápisu informácie o vytvorení resp. zmene záznamu týkajúceho sa nadácie zo systému zdrojového registrátora do systému RPO.</w:t>
      </w:r>
    </w:p>
    <w:p w:rsidR="00000000" w:rsidDel="00000000" w:rsidP="00000000" w:rsidRDefault="00000000" w:rsidRPr="00000000" w14:paraId="000002B3">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Zápis neinvestičných fondov do RPO - Cieľom služby je realizácia prenosu a zápisu informácie o vytvorení resp. zmene záznamu týkajúceho sa neinvestičného fondu zo systému zdrojového registrátora do systému RPO.</w:t>
      </w:r>
    </w:p>
    <w:p w:rsidR="00000000" w:rsidDel="00000000" w:rsidP="00000000" w:rsidRDefault="00000000" w:rsidRPr="00000000" w14:paraId="000002B4">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Zápis neziskových organizácií poskytujúcich všeobecne prospešné služby do RPO - Cieľom služby je realizácia prenosu a zápisu informácie o vytvorení resp. zmene záznamu týkajúceho sa neziskovej organizácie zo systému zdrojového registrátora do systému RPO.</w:t>
      </w:r>
    </w:p>
    <w:p w:rsidR="00000000" w:rsidDel="00000000" w:rsidP="00000000" w:rsidRDefault="00000000" w:rsidRPr="00000000" w14:paraId="000002B5">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Zápis občianskych združení do RPO - Cieľom služby je realizácia prenosu a zápisu informácie o vytvorení resp. zmene záznamu týkajúceho sa občianskeho združenia zo systému zdrojového registrátora do systému RPO.</w:t>
      </w:r>
    </w:p>
    <w:p w:rsidR="00000000" w:rsidDel="00000000" w:rsidP="00000000" w:rsidRDefault="00000000" w:rsidRPr="00000000" w14:paraId="000002B6">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Zápis organizácií s medzinárodným prvkom do RPO - Cieľom služby je realizácia prenosu a zápisu informácie o vytvorení resp. zmene záznamu týkajúceho sa organizácie s medzinárodným prvkom zo systému zdrojového registrátora do systému RPO.</w:t>
      </w:r>
    </w:p>
    <w:p w:rsidR="00000000" w:rsidDel="00000000" w:rsidP="00000000" w:rsidRDefault="00000000" w:rsidRPr="00000000" w14:paraId="000002B7">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Zápis politických strán do RPO - Cieľom služby je realizácia prenosu a zápisu informácie o vytvorení resp. zmene záznamu týkajúceho sa politickej strany zo systému zdrojového registrátora do systému RPO.</w:t>
      </w:r>
    </w:p>
    <w:p w:rsidR="00000000" w:rsidDel="00000000" w:rsidP="00000000" w:rsidRDefault="00000000" w:rsidRPr="00000000" w14:paraId="000002B8">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Zápis inštitúcií verejnej správy do RPO - Cieľom služby je realizácia prenosu a zápisu informácie o vytvorení resp. zmene záznamu týkajúceho sa inštitúcie verejnej správy zo systému zdrojového registrátora do systému RPO.</w:t>
      </w:r>
    </w:p>
    <w:p w:rsidR="00000000" w:rsidDel="00000000" w:rsidP="00000000" w:rsidRDefault="00000000" w:rsidRPr="00000000" w14:paraId="000002B9">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Zápis fyzických osôb – podnikateľov do RPO - Cieľom služby je realizácia prenosu a zápisu informácie o vytvorení resp. zmene záznamu týkajúceho sa fyzickej osoby – podnikateľa  zo systému zdrojového registrátora do systému RPO.</w:t>
      </w:r>
    </w:p>
    <w:p w:rsidR="00000000" w:rsidDel="00000000" w:rsidP="00000000" w:rsidRDefault="00000000" w:rsidRPr="00000000" w14:paraId="000002BA">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Zápis ostatných právnických osôb do RPO - Cieľom služby je realizácia prenosu a zápisu informácie o vytvorení resp. zmene záznamu týkajúceho sa ostatných právnických osôb a podnikateľov zo systému zdrojového registrátora do systému RPO.</w:t>
      </w:r>
    </w:p>
    <w:p w:rsidR="00000000" w:rsidDel="00000000" w:rsidP="00000000" w:rsidRDefault="00000000" w:rsidRPr="00000000" w14:paraId="000002BB">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Zápis záujmových združení právnických osôb do RPO - Cieľom služby je realizácia prenosu a zápisu informácie o vytvorení resp. zmene záznamu týkajúceho sa záujmových združení právnických osôb zo systému zdrojového registrátora do systému RPO.</w:t>
      </w:r>
    </w:p>
    <w:p w:rsidR="00000000" w:rsidDel="00000000" w:rsidP="00000000" w:rsidRDefault="00000000" w:rsidRPr="00000000" w14:paraId="000002BC">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Zápis záujmových združení obcí do RPO - Cieľom služby je realizácia prenosu a zápisu informácie o vytvorení resp. zmene záznamu týkajúceho sa záujmových združení obcí zo systému zdrojového registrátora do systému RPO.</w:t>
      </w:r>
    </w:p>
    <w:p w:rsidR="00000000" w:rsidDel="00000000" w:rsidP="00000000" w:rsidRDefault="00000000" w:rsidRPr="00000000" w14:paraId="000002BD">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Zápis spoločenstiev vlastníkov bytov a nebytových priestorov do RPO - Cieľom služby je realizácia prenosu a zápisu informácie o vytvorení resp. zmene záznamu týkajúceho sa spoločenstiev vlastníkov bytov a nebytových priestorov zo systému zdrojového registrátora do systému RPO.</w:t>
      </w:r>
    </w:p>
    <w:p w:rsidR="00000000" w:rsidDel="00000000" w:rsidP="00000000" w:rsidRDefault="00000000" w:rsidRPr="00000000" w14:paraId="000002BE">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Generovanie IPO - Cieľom služby je generovanie a prideľovanie IPO systémom RPO.</w:t>
      </w:r>
    </w:p>
    <w:p w:rsidR="00000000" w:rsidDel="00000000" w:rsidP="00000000" w:rsidRDefault="00000000" w:rsidRPr="00000000" w14:paraId="000002BF">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Poskytnutie referenčných údajov zoznamu IPO - Cieľom služby je poskytnutie referenčných údajov zoznamu IPO z RPO.</w:t>
      </w:r>
    </w:p>
    <w:p w:rsidR="00000000" w:rsidDel="00000000" w:rsidP="00000000" w:rsidRDefault="00000000" w:rsidRPr="00000000" w14:paraId="000002C0">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Poskytnutie zoznamu IPO so zmenenými referenčnými údajmi - Cieľom služby je poskytnutie zoznamu IPO so zmenenými referenčnými údajmi z RPO.</w:t>
      </w:r>
    </w:p>
    <w:p w:rsidR="00000000" w:rsidDel="00000000" w:rsidP="00000000" w:rsidRDefault="00000000" w:rsidRPr="00000000" w14:paraId="000002C1">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Zápis údajov do generického registra RPO - Cieľom služby je umožniť evidenciu údajov v Generickom registri.</w:t>
      </w:r>
    </w:p>
    <w:p w:rsidR="00000000" w:rsidDel="00000000" w:rsidP="00000000" w:rsidRDefault="00000000" w:rsidRPr="00000000" w14:paraId="000002C2">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Poskytnutie údajov z generického registra RPO - Cieľom služby je vyhľadať údaje v Generickom registri.</w:t>
      </w:r>
    </w:p>
    <w:p w:rsidR="00000000" w:rsidDel="00000000" w:rsidP="00000000" w:rsidRDefault="00000000" w:rsidRPr="00000000" w14:paraId="000002C3">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Zápis údajov zo systému REGIS - Cieľom služby je zapísať údaje o hlavnej ekonomickej činnosti a kóde ESA2010 do IS RPO zo systému REGIS.</w:t>
      </w:r>
    </w:p>
    <w:p w:rsidR="00000000" w:rsidDel="00000000" w:rsidP="00000000" w:rsidRDefault="00000000" w:rsidRPr="00000000" w14:paraId="000002C4">
      <w:pPr>
        <w:widowControl w:val="0"/>
        <w:numPr>
          <w:ilvl w:val="0"/>
          <w:numId w:val="3"/>
        </w:numPr>
        <w:spacing w:after="0" w:line="276" w:lineRule="auto"/>
        <w:ind w:left="720" w:hanging="360"/>
        <w:jc w:val="both"/>
        <w:rPr>
          <w:sz w:val="22"/>
          <w:szCs w:val="22"/>
        </w:rPr>
      </w:pPr>
      <w:r w:rsidDel="00000000" w:rsidR="00000000" w:rsidRPr="00000000">
        <w:rPr>
          <w:sz w:val="22"/>
          <w:szCs w:val="22"/>
          <w:rtl w:val="0"/>
        </w:rPr>
        <w:t xml:space="preserve">Poskytnutie  elektronického odpisu z RPO - Cieľom služby je poskytnúť odpis na základe plného mena a identifikačného čísla organizácie.</w:t>
      </w:r>
    </w:p>
    <w:p w:rsidR="00000000" w:rsidDel="00000000" w:rsidP="00000000" w:rsidRDefault="00000000" w:rsidRPr="00000000" w14:paraId="000002C5">
      <w:pPr>
        <w:widowControl w:val="0"/>
        <w:spacing w:after="200" w:line="276" w:lineRule="auto"/>
        <w:jc w:val="both"/>
        <w:rPr>
          <w:sz w:val="22"/>
          <w:szCs w:val="22"/>
        </w:rPr>
      </w:pPr>
      <w:r w:rsidDel="00000000" w:rsidR="00000000" w:rsidRPr="00000000">
        <w:rPr>
          <w:rtl w:val="0"/>
        </w:rPr>
      </w:r>
    </w:p>
    <w:p w:rsidR="00000000" w:rsidDel="00000000" w:rsidP="00000000" w:rsidRDefault="00000000" w:rsidRPr="00000000" w14:paraId="000002C6">
      <w:pPr>
        <w:keepNext w:val="1"/>
        <w:keepLines w:val="1"/>
        <w:widowControl w:val="0"/>
        <w:spacing w:before="40" w:line="276" w:lineRule="auto"/>
        <w:jc w:val="both"/>
        <w:rPr>
          <w:rFonts w:ascii="Calibri" w:cs="Calibri" w:eastAsia="Calibri" w:hAnsi="Calibri"/>
          <w:color w:val="2e74b5"/>
          <w:sz w:val="26"/>
          <w:szCs w:val="26"/>
        </w:rPr>
      </w:pPr>
      <w:bookmarkStart w:colFirst="0" w:colLast="0" w:name="_heading=h.3l18frh" w:id="53"/>
      <w:bookmarkEnd w:id="53"/>
      <w:r w:rsidDel="00000000" w:rsidR="00000000" w:rsidRPr="00000000">
        <w:rPr>
          <w:rFonts w:ascii="Calibri" w:cs="Calibri" w:eastAsia="Calibri" w:hAnsi="Calibri"/>
          <w:color w:val="2e74b5"/>
          <w:sz w:val="26"/>
          <w:szCs w:val="26"/>
          <w:rtl w:val="0"/>
        </w:rPr>
        <w:t xml:space="preserve">Evidované údaje o subjektoch evidencie v Jadre RPO</w:t>
      </w:r>
    </w:p>
    <w:p w:rsidR="00000000" w:rsidDel="00000000" w:rsidP="00000000" w:rsidRDefault="00000000" w:rsidRPr="00000000" w14:paraId="000002C7">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Identifikátor právnickej osoby alebo podnikateľa (IČO)</w:t>
      </w:r>
    </w:p>
    <w:p w:rsidR="00000000" w:rsidDel="00000000" w:rsidP="00000000" w:rsidRDefault="00000000" w:rsidRPr="00000000" w14:paraId="000002C8">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Plné meno </w:t>
      </w:r>
    </w:p>
    <w:p w:rsidR="00000000" w:rsidDel="00000000" w:rsidP="00000000" w:rsidRDefault="00000000" w:rsidRPr="00000000" w14:paraId="000002C9">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Alternatívne meno </w:t>
      </w:r>
    </w:p>
    <w:p w:rsidR="00000000" w:rsidDel="00000000" w:rsidP="00000000" w:rsidRDefault="00000000" w:rsidRPr="00000000" w14:paraId="000002CA">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Právna forma</w:t>
      </w:r>
    </w:p>
    <w:p w:rsidR="00000000" w:rsidDel="00000000" w:rsidP="00000000" w:rsidRDefault="00000000" w:rsidRPr="00000000" w14:paraId="000002CB">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Adresa sídla </w:t>
      </w:r>
    </w:p>
    <w:p w:rsidR="00000000" w:rsidDel="00000000" w:rsidP="00000000" w:rsidRDefault="00000000" w:rsidRPr="00000000" w14:paraId="000002CC">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Dátum vzniku</w:t>
      </w:r>
    </w:p>
    <w:p w:rsidR="00000000" w:rsidDel="00000000" w:rsidP="00000000" w:rsidRDefault="00000000" w:rsidRPr="00000000" w14:paraId="000002CD">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Dátum zániku</w:t>
      </w:r>
    </w:p>
    <w:p w:rsidR="00000000" w:rsidDel="00000000" w:rsidP="00000000" w:rsidRDefault="00000000" w:rsidRPr="00000000" w14:paraId="000002CE">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Predmet činnosti </w:t>
      </w:r>
    </w:p>
    <w:p w:rsidR="00000000" w:rsidDel="00000000" w:rsidP="00000000" w:rsidRDefault="00000000" w:rsidRPr="00000000" w14:paraId="000002CF">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Iné právne skutočnosti - právne tituly zápisu, zmeny a výmazu údajov</w:t>
      </w:r>
    </w:p>
    <w:p w:rsidR="00000000" w:rsidDel="00000000" w:rsidP="00000000" w:rsidRDefault="00000000" w:rsidRPr="00000000" w14:paraId="000002D0">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Právny stav – údaje o právnom stave subjektu (likvidácia, nútená správa, konkurz, ..)</w:t>
      </w:r>
    </w:p>
    <w:p w:rsidR="00000000" w:rsidDel="00000000" w:rsidP="00000000" w:rsidRDefault="00000000" w:rsidRPr="00000000" w14:paraId="000002D1">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Základné imanie – údaje o mene, výške základného imania, výške splateného základného imania a schválenej výške základného imania </w:t>
      </w:r>
    </w:p>
    <w:p w:rsidR="00000000" w:rsidDel="00000000" w:rsidP="00000000" w:rsidRDefault="00000000" w:rsidRPr="00000000" w14:paraId="000002D2">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Zainteresovaná osoba – informácie o zainteresovanej osobe</w:t>
      </w:r>
    </w:p>
    <w:p w:rsidR="00000000" w:rsidDel="00000000" w:rsidP="00000000" w:rsidRDefault="00000000" w:rsidRPr="00000000" w14:paraId="000002D3">
      <w:pPr>
        <w:widowControl w:val="0"/>
        <w:numPr>
          <w:ilvl w:val="3"/>
          <w:numId w:val="4"/>
        </w:numPr>
        <w:spacing w:after="160" w:line="276" w:lineRule="auto"/>
        <w:ind w:left="1134" w:hanging="360"/>
        <w:jc w:val="both"/>
        <w:rPr>
          <w:sz w:val="22"/>
          <w:szCs w:val="22"/>
        </w:rPr>
      </w:pPr>
      <w:r w:rsidDel="00000000" w:rsidR="00000000" w:rsidRPr="00000000">
        <w:rPr>
          <w:sz w:val="22"/>
          <w:szCs w:val="22"/>
          <w:rtl w:val="0"/>
        </w:rPr>
        <w:t xml:space="preserve">Zainteresovaná osoba typu právnická osoba: </w:t>
      </w:r>
    </w:p>
    <w:p w:rsidR="00000000" w:rsidDel="00000000" w:rsidP="00000000" w:rsidRDefault="00000000" w:rsidRPr="00000000" w14:paraId="000002D4">
      <w:pPr>
        <w:widowControl w:val="0"/>
        <w:spacing w:after="200" w:line="276" w:lineRule="auto"/>
        <w:ind w:left="1134" w:firstLine="0"/>
        <w:jc w:val="both"/>
        <w:rPr>
          <w:sz w:val="22"/>
          <w:szCs w:val="22"/>
        </w:rPr>
      </w:pPr>
      <w:r w:rsidDel="00000000" w:rsidR="00000000" w:rsidRPr="00000000">
        <w:rPr>
          <w:sz w:val="22"/>
          <w:szCs w:val="22"/>
          <w:rtl w:val="0"/>
        </w:rPr>
        <w:t xml:space="preserve">Typ zainteresovanej osoby</w:t>
      </w:r>
    </w:p>
    <w:p w:rsidR="00000000" w:rsidDel="00000000" w:rsidP="00000000" w:rsidRDefault="00000000" w:rsidRPr="00000000" w14:paraId="000002D5">
      <w:pPr>
        <w:widowControl w:val="0"/>
        <w:spacing w:after="200" w:line="276" w:lineRule="auto"/>
        <w:ind w:left="1134" w:firstLine="0"/>
        <w:jc w:val="both"/>
        <w:rPr>
          <w:sz w:val="22"/>
          <w:szCs w:val="22"/>
        </w:rPr>
      </w:pPr>
      <w:r w:rsidDel="00000000" w:rsidR="00000000" w:rsidRPr="00000000">
        <w:rPr>
          <w:sz w:val="22"/>
          <w:szCs w:val="22"/>
          <w:rtl w:val="0"/>
        </w:rPr>
        <w:t xml:space="preserve">Plné meno právnickej osoby</w:t>
      </w:r>
    </w:p>
    <w:p w:rsidR="00000000" w:rsidDel="00000000" w:rsidP="00000000" w:rsidRDefault="00000000" w:rsidRPr="00000000" w14:paraId="000002D6">
      <w:pPr>
        <w:widowControl w:val="0"/>
        <w:spacing w:after="200" w:line="276" w:lineRule="auto"/>
        <w:ind w:left="1134" w:firstLine="0"/>
        <w:jc w:val="both"/>
        <w:rPr>
          <w:sz w:val="22"/>
          <w:szCs w:val="22"/>
        </w:rPr>
      </w:pPr>
      <w:r w:rsidDel="00000000" w:rsidR="00000000" w:rsidRPr="00000000">
        <w:rPr>
          <w:sz w:val="22"/>
          <w:szCs w:val="22"/>
          <w:rtl w:val="0"/>
        </w:rPr>
        <w:t xml:space="preserve">IPO</w:t>
      </w:r>
    </w:p>
    <w:p w:rsidR="00000000" w:rsidDel="00000000" w:rsidP="00000000" w:rsidRDefault="00000000" w:rsidRPr="00000000" w14:paraId="000002D7">
      <w:pPr>
        <w:widowControl w:val="0"/>
        <w:spacing w:after="200" w:line="276" w:lineRule="auto"/>
        <w:ind w:left="1134" w:firstLine="0"/>
        <w:jc w:val="both"/>
        <w:rPr>
          <w:sz w:val="22"/>
          <w:szCs w:val="22"/>
        </w:rPr>
      </w:pPr>
      <w:r w:rsidDel="00000000" w:rsidR="00000000" w:rsidRPr="00000000">
        <w:rPr>
          <w:sz w:val="22"/>
          <w:szCs w:val="22"/>
          <w:rtl w:val="0"/>
        </w:rPr>
        <w:t xml:space="preserve">Adresa sídla</w:t>
      </w:r>
    </w:p>
    <w:p w:rsidR="00000000" w:rsidDel="00000000" w:rsidP="00000000" w:rsidRDefault="00000000" w:rsidRPr="00000000" w14:paraId="000002D8">
      <w:pPr>
        <w:widowControl w:val="0"/>
        <w:spacing w:after="200" w:line="276" w:lineRule="auto"/>
        <w:ind w:left="1134" w:firstLine="0"/>
        <w:jc w:val="both"/>
        <w:rPr>
          <w:sz w:val="22"/>
          <w:szCs w:val="22"/>
        </w:rPr>
      </w:pPr>
      <w:r w:rsidDel="00000000" w:rsidR="00000000" w:rsidRPr="00000000">
        <w:rPr>
          <w:sz w:val="22"/>
          <w:szCs w:val="22"/>
          <w:rtl w:val="0"/>
        </w:rPr>
        <w:t xml:space="preserve">Vklady</w:t>
      </w:r>
    </w:p>
    <w:p w:rsidR="00000000" w:rsidDel="00000000" w:rsidP="00000000" w:rsidRDefault="00000000" w:rsidRPr="00000000" w14:paraId="000002D9">
      <w:pPr>
        <w:widowControl w:val="0"/>
        <w:spacing w:after="200" w:line="276" w:lineRule="auto"/>
        <w:ind w:left="1134" w:firstLine="0"/>
        <w:jc w:val="both"/>
        <w:rPr>
          <w:sz w:val="22"/>
          <w:szCs w:val="22"/>
        </w:rPr>
      </w:pPr>
      <w:r w:rsidDel="00000000" w:rsidR="00000000" w:rsidRPr="00000000">
        <w:rPr>
          <w:sz w:val="22"/>
          <w:szCs w:val="22"/>
          <w:rtl w:val="0"/>
        </w:rPr>
        <w:t xml:space="preserve">Akcie</w:t>
      </w:r>
    </w:p>
    <w:p w:rsidR="00000000" w:rsidDel="00000000" w:rsidP="00000000" w:rsidRDefault="00000000" w:rsidRPr="00000000" w14:paraId="000002DA">
      <w:pPr>
        <w:widowControl w:val="0"/>
        <w:numPr>
          <w:ilvl w:val="3"/>
          <w:numId w:val="4"/>
        </w:numPr>
        <w:spacing w:after="160" w:line="276" w:lineRule="auto"/>
        <w:ind w:left="1134" w:hanging="360"/>
        <w:jc w:val="both"/>
        <w:rPr>
          <w:sz w:val="22"/>
          <w:szCs w:val="22"/>
        </w:rPr>
      </w:pPr>
      <w:r w:rsidDel="00000000" w:rsidR="00000000" w:rsidRPr="00000000">
        <w:rPr>
          <w:sz w:val="22"/>
          <w:szCs w:val="22"/>
          <w:rtl w:val="0"/>
        </w:rPr>
        <w:t xml:space="preserve">Zainteresovaná osoba typu fyzická osoba: </w:t>
      </w:r>
    </w:p>
    <w:p w:rsidR="00000000" w:rsidDel="00000000" w:rsidP="00000000" w:rsidRDefault="00000000" w:rsidRPr="00000000" w14:paraId="000002DB">
      <w:pPr>
        <w:widowControl w:val="0"/>
        <w:spacing w:after="200" w:line="276" w:lineRule="auto"/>
        <w:ind w:left="1134" w:firstLine="0"/>
        <w:jc w:val="both"/>
        <w:rPr>
          <w:sz w:val="22"/>
          <w:szCs w:val="22"/>
        </w:rPr>
      </w:pPr>
      <w:r w:rsidDel="00000000" w:rsidR="00000000" w:rsidRPr="00000000">
        <w:rPr>
          <w:sz w:val="22"/>
          <w:szCs w:val="22"/>
          <w:rtl w:val="0"/>
        </w:rPr>
        <w:t xml:space="preserve">Typ zainteresovanej osoby</w:t>
      </w:r>
    </w:p>
    <w:p w:rsidR="00000000" w:rsidDel="00000000" w:rsidP="00000000" w:rsidRDefault="00000000" w:rsidRPr="00000000" w14:paraId="000002DC">
      <w:pPr>
        <w:widowControl w:val="0"/>
        <w:spacing w:after="200" w:line="276" w:lineRule="auto"/>
        <w:ind w:left="1134" w:firstLine="0"/>
        <w:jc w:val="both"/>
        <w:rPr>
          <w:sz w:val="22"/>
          <w:szCs w:val="22"/>
        </w:rPr>
      </w:pPr>
      <w:r w:rsidDel="00000000" w:rsidR="00000000" w:rsidRPr="00000000">
        <w:rPr>
          <w:sz w:val="22"/>
          <w:szCs w:val="22"/>
          <w:rtl w:val="0"/>
        </w:rPr>
        <w:t xml:space="preserve">Meno </w:t>
      </w:r>
    </w:p>
    <w:p w:rsidR="00000000" w:rsidDel="00000000" w:rsidP="00000000" w:rsidRDefault="00000000" w:rsidRPr="00000000" w14:paraId="000002DD">
      <w:pPr>
        <w:widowControl w:val="0"/>
        <w:spacing w:after="200" w:line="276" w:lineRule="auto"/>
        <w:ind w:left="1134" w:firstLine="0"/>
        <w:jc w:val="both"/>
        <w:rPr>
          <w:sz w:val="22"/>
          <w:szCs w:val="22"/>
        </w:rPr>
      </w:pPr>
      <w:r w:rsidDel="00000000" w:rsidR="00000000" w:rsidRPr="00000000">
        <w:rPr>
          <w:sz w:val="22"/>
          <w:szCs w:val="22"/>
          <w:rtl w:val="0"/>
        </w:rPr>
        <w:t xml:space="preserve">Priezvisko </w:t>
      </w:r>
    </w:p>
    <w:p w:rsidR="00000000" w:rsidDel="00000000" w:rsidP="00000000" w:rsidRDefault="00000000" w:rsidRPr="00000000" w14:paraId="000002DE">
      <w:pPr>
        <w:widowControl w:val="0"/>
        <w:spacing w:after="200" w:line="276" w:lineRule="auto"/>
        <w:ind w:left="1134" w:firstLine="0"/>
        <w:jc w:val="both"/>
        <w:rPr>
          <w:sz w:val="22"/>
          <w:szCs w:val="22"/>
        </w:rPr>
      </w:pPr>
      <w:r w:rsidDel="00000000" w:rsidR="00000000" w:rsidRPr="00000000">
        <w:rPr>
          <w:sz w:val="22"/>
          <w:szCs w:val="22"/>
          <w:rtl w:val="0"/>
        </w:rPr>
        <w:t xml:space="preserve">Adresa trvalého pobytu</w:t>
      </w:r>
    </w:p>
    <w:p w:rsidR="00000000" w:rsidDel="00000000" w:rsidP="00000000" w:rsidRDefault="00000000" w:rsidRPr="00000000" w14:paraId="000002DF">
      <w:pPr>
        <w:widowControl w:val="0"/>
        <w:spacing w:after="200" w:line="276" w:lineRule="auto"/>
        <w:ind w:left="1134" w:firstLine="0"/>
        <w:jc w:val="both"/>
        <w:rPr>
          <w:sz w:val="22"/>
          <w:szCs w:val="22"/>
        </w:rPr>
      </w:pPr>
      <w:r w:rsidDel="00000000" w:rsidR="00000000" w:rsidRPr="00000000">
        <w:rPr>
          <w:sz w:val="22"/>
          <w:szCs w:val="22"/>
          <w:rtl w:val="0"/>
        </w:rPr>
        <w:t xml:space="preserve">Vklady </w:t>
      </w:r>
    </w:p>
    <w:p w:rsidR="00000000" w:rsidDel="00000000" w:rsidP="00000000" w:rsidRDefault="00000000" w:rsidRPr="00000000" w14:paraId="000002E0">
      <w:pPr>
        <w:widowControl w:val="0"/>
        <w:spacing w:after="200" w:line="276" w:lineRule="auto"/>
        <w:ind w:left="1134" w:firstLine="0"/>
        <w:jc w:val="both"/>
        <w:rPr>
          <w:sz w:val="22"/>
          <w:szCs w:val="22"/>
        </w:rPr>
      </w:pPr>
      <w:r w:rsidDel="00000000" w:rsidR="00000000" w:rsidRPr="00000000">
        <w:rPr>
          <w:sz w:val="22"/>
          <w:szCs w:val="22"/>
          <w:rtl w:val="0"/>
        </w:rPr>
        <w:t xml:space="preserve">Akcie</w:t>
      </w:r>
    </w:p>
    <w:p w:rsidR="00000000" w:rsidDel="00000000" w:rsidP="00000000" w:rsidRDefault="00000000" w:rsidRPr="00000000" w14:paraId="000002E1">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 Štatutárny orgán – informácie o štatutárnom orgáne subjektu</w:t>
      </w:r>
    </w:p>
    <w:p w:rsidR="00000000" w:rsidDel="00000000" w:rsidP="00000000" w:rsidRDefault="00000000" w:rsidRPr="00000000" w14:paraId="000002E2">
      <w:pPr>
        <w:widowControl w:val="0"/>
        <w:numPr>
          <w:ilvl w:val="3"/>
          <w:numId w:val="4"/>
        </w:numPr>
        <w:spacing w:after="160" w:line="276" w:lineRule="auto"/>
        <w:ind w:left="1134" w:hanging="360"/>
        <w:jc w:val="both"/>
        <w:rPr>
          <w:sz w:val="22"/>
          <w:szCs w:val="22"/>
        </w:rPr>
      </w:pPr>
      <w:r w:rsidDel="00000000" w:rsidR="00000000" w:rsidRPr="00000000">
        <w:rPr>
          <w:sz w:val="22"/>
          <w:szCs w:val="22"/>
          <w:rtl w:val="0"/>
        </w:rPr>
        <w:t xml:space="preserve">Štatutárny orgán – detailné informácie o štatutárnom orgáne typu právnická osoba: </w:t>
      </w:r>
    </w:p>
    <w:p w:rsidR="00000000" w:rsidDel="00000000" w:rsidP="00000000" w:rsidRDefault="00000000" w:rsidRPr="00000000" w14:paraId="000002E3">
      <w:pPr>
        <w:widowControl w:val="0"/>
        <w:spacing w:after="200" w:line="276" w:lineRule="auto"/>
        <w:ind w:left="1134" w:firstLine="0"/>
        <w:jc w:val="both"/>
        <w:rPr>
          <w:sz w:val="22"/>
          <w:szCs w:val="22"/>
        </w:rPr>
      </w:pPr>
      <w:r w:rsidDel="00000000" w:rsidR="00000000" w:rsidRPr="00000000">
        <w:rPr>
          <w:sz w:val="22"/>
          <w:szCs w:val="22"/>
          <w:rtl w:val="0"/>
        </w:rPr>
        <w:t xml:space="preserve">Typ štatutárneho orgánu </w:t>
      </w:r>
    </w:p>
    <w:p w:rsidR="00000000" w:rsidDel="00000000" w:rsidP="00000000" w:rsidRDefault="00000000" w:rsidRPr="00000000" w14:paraId="000002E4">
      <w:pPr>
        <w:widowControl w:val="0"/>
        <w:spacing w:after="200" w:line="276" w:lineRule="auto"/>
        <w:ind w:left="1134" w:firstLine="0"/>
        <w:jc w:val="both"/>
        <w:rPr>
          <w:sz w:val="22"/>
          <w:szCs w:val="22"/>
        </w:rPr>
      </w:pPr>
      <w:r w:rsidDel="00000000" w:rsidR="00000000" w:rsidRPr="00000000">
        <w:rPr>
          <w:sz w:val="22"/>
          <w:szCs w:val="22"/>
          <w:rtl w:val="0"/>
        </w:rPr>
        <w:t xml:space="preserve">Funkcia člena v rámci kolektívneho štatutárneho orgánu</w:t>
      </w:r>
    </w:p>
    <w:p w:rsidR="00000000" w:rsidDel="00000000" w:rsidP="00000000" w:rsidRDefault="00000000" w:rsidRPr="00000000" w14:paraId="000002E5">
      <w:pPr>
        <w:widowControl w:val="0"/>
        <w:spacing w:after="200" w:line="276" w:lineRule="auto"/>
        <w:ind w:left="1134" w:firstLine="0"/>
        <w:jc w:val="both"/>
        <w:rPr>
          <w:sz w:val="22"/>
          <w:szCs w:val="22"/>
        </w:rPr>
      </w:pPr>
      <w:r w:rsidDel="00000000" w:rsidR="00000000" w:rsidRPr="00000000">
        <w:rPr>
          <w:sz w:val="22"/>
          <w:szCs w:val="22"/>
          <w:rtl w:val="0"/>
        </w:rPr>
        <w:t xml:space="preserve">Plné meno právnickej osoby</w:t>
      </w:r>
    </w:p>
    <w:p w:rsidR="00000000" w:rsidDel="00000000" w:rsidP="00000000" w:rsidRDefault="00000000" w:rsidRPr="00000000" w14:paraId="000002E6">
      <w:pPr>
        <w:widowControl w:val="0"/>
        <w:spacing w:after="200" w:line="276" w:lineRule="auto"/>
        <w:ind w:left="1134" w:firstLine="0"/>
        <w:jc w:val="both"/>
        <w:rPr>
          <w:sz w:val="22"/>
          <w:szCs w:val="22"/>
        </w:rPr>
      </w:pPr>
      <w:r w:rsidDel="00000000" w:rsidR="00000000" w:rsidRPr="00000000">
        <w:rPr>
          <w:sz w:val="22"/>
          <w:szCs w:val="22"/>
          <w:rtl w:val="0"/>
        </w:rPr>
        <w:t xml:space="preserve">IČO</w:t>
      </w:r>
    </w:p>
    <w:p w:rsidR="00000000" w:rsidDel="00000000" w:rsidP="00000000" w:rsidRDefault="00000000" w:rsidRPr="00000000" w14:paraId="000002E7">
      <w:pPr>
        <w:widowControl w:val="0"/>
        <w:spacing w:after="200" w:line="276" w:lineRule="auto"/>
        <w:ind w:left="1134" w:firstLine="0"/>
        <w:jc w:val="both"/>
        <w:rPr>
          <w:sz w:val="22"/>
          <w:szCs w:val="22"/>
        </w:rPr>
      </w:pPr>
      <w:r w:rsidDel="00000000" w:rsidR="00000000" w:rsidRPr="00000000">
        <w:rPr>
          <w:sz w:val="22"/>
          <w:szCs w:val="22"/>
          <w:rtl w:val="0"/>
        </w:rPr>
        <w:t xml:space="preserve">Adresa sídla</w:t>
      </w:r>
    </w:p>
    <w:p w:rsidR="00000000" w:rsidDel="00000000" w:rsidP="00000000" w:rsidRDefault="00000000" w:rsidRPr="00000000" w14:paraId="000002E8">
      <w:pPr>
        <w:widowControl w:val="0"/>
        <w:numPr>
          <w:ilvl w:val="3"/>
          <w:numId w:val="4"/>
        </w:numPr>
        <w:spacing w:after="160" w:line="276" w:lineRule="auto"/>
        <w:ind w:left="1134" w:hanging="360"/>
        <w:jc w:val="both"/>
        <w:rPr>
          <w:sz w:val="22"/>
          <w:szCs w:val="22"/>
        </w:rPr>
      </w:pPr>
      <w:r w:rsidDel="00000000" w:rsidR="00000000" w:rsidRPr="00000000">
        <w:rPr>
          <w:sz w:val="22"/>
          <w:szCs w:val="22"/>
          <w:rtl w:val="0"/>
        </w:rPr>
        <w:t xml:space="preserve">Štatutárny orgán – detailné informácie o štatutárnom orgáne typu fyzická osoba: </w:t>
      </w:r>
    </w:p>
    <w:p w:rsidR="00000000" w:rsidDel="00000000" w:rsidP="00000000" w:rsidRDefault="00000000" w:rsidRPr="00000000" w14:paraId="000002E9">
      <w:pPr>
        <w:widowControl w:val="0"/>
        <w:spacing w:after="200" w:line="276" w:lineRule="auto"/>
        <w:ind w:left="1134" w:firstLine="0"/>
        <w:jc w:val="both"/>
        <w:rPr>
          <w:sz w:val="22"/>
          <w:szCs w:val="22"/>
        </w:rPr>
      </w:pPr>
      <w:r w:rsidDel="00000000" w:rsidR="00000000" w:rsidRPr="00000000">
        <w:rPr>
          <w:sz w:val="22"/>
          <w:szCs w:val="22"/>
          <w:rtl w:val="0"/>
        </w:rPr>
        <w:t xml:space="preserve">Typ štatutárneho orgánu</w:t>
      </w:r>
    </w:p>
    <w:p w:rsidR="00000000" w:rsidDel="00000000" w:rsidP="00000000" w:rsidRDefault="00000000" w:rsidRPr="00000000" w14:paraId="000002EA">
      <w:pPr>
        <w:widowControl w:val="0"/>
        <w:spacing w:after="200" w:line="276" w:lineRule="auto"/>
        <w:ind w:left="1134" w:firstLine="0"/>
        <w:jc w:val="both"/>
        <w:rPr>
          <w:sz w:val="22"/>
          <w:szCs w:val="22"/>
        </w:rPr>
      </w:pPr>
      <w:r w:rsidDel="00000000" w:rsidR="00000000" w:rsidRPr="00000000">
        <w:rPr>
          <w:sz w:val="22"/>
          <w:szCs w:val="22"/>
          <w:rtl w:val="0"/>
        </w:rPr>
        <w:t xml:space="preserve">Funkcia člena v rámci kolektívneho štatutárneho orgánu</w:t>
      </w:r>
    </w:p>
    <w:p w:rsidR="00000000" w:rsidDel="00000000" w:rsidP="00000000" w:rsidRDefault="00000000" w:rsidRPr="00000000" w14:paraId="000002EB">
      <w:pPr>
        <w:widowControl w:val="0"/>
        <w:spacing w:after="200" w:line="276" w:lineRule="auto"/>
        <w:ind w:left="425" w:firstLine="709"/>
        <w:jc w:val="both"/>
        <w:rPr>
          <w:sz w:val="22"/>
          <w:szCs w:val="22"/>
        </w:rPr>
      </w:pPr>
      <w:r w:rsidDel="00000000" w:rsidR="00000000" w:rsidRPr="00000000">
        <w:rPr>
          <w:sz w:val="22"/>
          <w:szCs w:val="22"/>
          <w:rtl w:val="0"/>
        </w:rPr>
        <w:t xml:space="preserve">Meno </w:t>
      </w:r>
    </w:p>
    <w:p w:rsidR="00000000" w:rsidDel="00000000" w:rsidP="00000000" w:rsidRDefault="00000000" w:rsidRPr="00000000" w14:paraId="000002EC">
      <w:pPr>
        <w:widowControl w:val="0"/>
        <w:spacing w:after="200" w:line="276" w:lineRule="auto"/>
        <w:ind w:left="1134" w:firstLine="0"/>
        <w:jc w:val="both"/>
        <w:rPr>
          <w:sz w:val="22"/>
          <w:szCs w:val="22"/>
        </w:rPr>
      </w:pPr>
      <w:r w:rsidDel="00000000" w:rsidR="00000000" w:rsidRPr="00000000">
        <w:rPr>
          <w:sz w:val="22"/>
          <w:szCs w:val="22"/>
          <w:rtl w:val="0"/>
        </w:rPr>
        <w:t xml:space="preserve">Priezvisko </w:t>
      </w:r>
    </w:p>
    <w:p w:rsidR="00000000" w:rsidDel="00000000" w:rsidP="00000000" w:rsidRDefault="00000000" w:rsidRPr="00000000" w14:paraId="000002ED">
      <w:pPr>
        <w:widowControl w:val="0"/>
        <w:spacing w:after="200" w:line="276" w:lineRule="auto"/>
        <w:ind w:left="1134" w:firstLine="0"/>
        <w:jc w:val="both"/>
        <w:rPr>
          <w:sz w:val="22"/>
          <w:szCs w:val="22"/>
        </w:rPr>
      </w:pPr>
      <w:r w:rsidDel="00000000" w:rsidR="00000000" w:rsidRPr="00000000">
        <w:rPr>
          <w:sz w:val="22"/>
          <w:szCs w:val="22"/>
          <w:rtl w:val="0"/>
        </w:rPr>
        <w:t xml:space="preserve">Adresa trvalého pobytu</w:t>
      </w:r>
    </w:p>
    <w:p w:rsidR="00000000" w:rsidDel="00000000" w:rsidP="00000000" w:rsidRDefault="00000000" w:rsidRPr="00000000" w14:paraId="000002EE">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Oprávnenie konať v mene spoločnosti </w:t>
      </w:r>
    </w:p>
    <w:p w:rsidR="00000000" w:rsidDel="00000000" w:rsidP="00000000" w:rsidRDefault="00000000" w:rsidRPr="00000000" w14:paraId="000002EF">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Údaje o akciách</w:t>
      </w:r>
    </w:p>
    <w:p w:rsidR="00000000" w:rsidDel="00000000" w:rsidP="00000000" w:rsidRDefault="00000000" w:rsidRPr="00000000" w14:paraId="000002F0">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Údaje o vkladoch</w:t>
      </w:r>
    </w:p>
    <w:p w:rsidR="00000000" w:rsidDel="00000000" w:rsidP="00000000" w:rsidRDefault="00000000" w:rsidRPr="00000000" w14:paraId="000002F1">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Telefónna adresa </w:t>
      </w:r>
    </w:p>
    <w:p w:rsidR="00000000" w:rsidDel="00000000" w:rsidP="00000000" w:rsidRDefault="00000000" w:rsidRPr="00000000" w14:paraId="000002F2">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Internetová adresa</w:t>
      </w:r>
    </w:p>
    <w:p w:rsidR="00000000" w:rsidDel="00000000" w:rsidP="00000000" w:rsidRDefault="00000000" w:rsidRPr="00000000" w14:paraId="000002F3">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Zdrojový register</w:t>
      </w:r>
    </w:p>
    <w:p w:rsidR="00000000" w:rsidDel="00000000" w:rsidP="00000000" w:rsidRDefault="00000000" w:rsidRPr="00000000" w14:paraId="000002F4">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Registračné číslo </w:t>
      </w:r>
    </w:p>
    <w:p w:rsidR="00000000" w:rsidDel="00000000" w:rsidP="00000000" w:rsidRDefault="00000000" w:rsidRPr="00000000" w14:paraId="000002F5">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Registračný úrad</w:t>
      </w:r>
    </w:p>
    <w:p w:rsidR="00000000" w:rsidDel="00000000" w:rsidP="00000000" w:rsidRDefault="00000000" w:rsidRPr="00000000" w14:paraId="000002F6">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Právny predchodca</w:t>
      </w:r>
    </w:p>
    <w:p w:rsidR="00000000" w:rsidDel="00000000" w:rsidP="00000000" w:rsidRDefault="00000000" w:rsidRPr="00000000" w14:paraId="000002F7">
      <w:pPr>
        <w:widowControl w:val="0"/>
        <w:numPr>
          <w:ilvl w:val="1"/>
          <w:numId w:val="4"/>
        </w:numPr>
        <w:spacing w:after="160" w:line="276" w:lineRule="auto"/>
        <w:ind w:left="709" w:hanging="360"/>
        <w:jc w:val="both"/>
        <w:rPr>
          <w:sz w:val="22"/>
          <w:szCs w:val="22"/>
        </w:rPr>
      </w:pPr>
      <w:r w:rsidDel="00000000" w:rsidR="00000000" w:rsidRPr="00000000">
        <w:rPr>
          <w:rtl w:val="0"/>
        </w:rPr>
        <w:t xml:space="preserve">Právny nástupca</w:t>
      </w:r>
      <w:r w:rsidDel="00000000" w:rsidR="00000000" w:rsidRPr="00000000">
        <w:rPr>
          <w:rtl w:val="0"/>
        </w:rPr>
      </w:r>
    </w:p>
    <w:p w:rsidR="00000000" w:rsidDel="00000000" w:rsidP="00000000" w:rsidRDefault="00000000" w:rsidRPr="00000000" w14:paraId="000002F8">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Daňové identifikačné číslo</w:t>
      </w:r>
    </w:p>
    <w:p w:rsidR="00000000" w:rsidDel="00000000" w:rsidP="00000000" w:rsidRDefault="00000000" w:rsidRPr="00000000" w14:paraId="000002F9">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IČ DPH</w:t>
      </w:r>
    </w:p>
    <w:p w:rsidR="00000000" w:rsidDel="00000000" w:rsidP="00000000" w:rsidRDefault="00000000" w:rsidRPr="00000000" w14:paraId="000002FA">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Hlavný predmet činnosti </w:t>
      </w:r>
    </w:p>
    <w:p w:rsidR="00000000" w:rsidDel="00000000" w:rsidP="00000000" w:rsidRDefault="00000000" w:rsidRPr="00000000" w14:paraId="000002FB">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ESA2010</w:t>
      </w:r>
    </w:p>
    <w:p w:rsidR="00000000" w:rsidDel="00000000" w:rsidP="00000000" w:rsidRDefault="00000000" w:rsidRPr="00000000" w14:paraId="000002FC">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Dátum aktualizácie údajov.</w:t>
      </w:r>
    </w:p>
    <w:p w:rsidR="00000000" w:rsidDel="00000000" w:rsidP="00000000" w:rsidRDefault="00000000" w:rsidRPr="00000000" w14:paraId="000002FD">
      <w:pPr>
        <w:widowControl w:val="0"/>
        <w:spacing w:after="200" w:line="276" w:lineRule="auto"/>
        <w:jc w:val="both"/>
        <w:rPr>
          <w:sz w:val="22"/>
          <w:szCs w:val="22"/>
        </w:rPr>
      </w:pPr>
      <w:r w:rsidDel="00000000" w:rsidR="00000000" w:rsidRPr="00000000">
        <w:rPr>
          <w:sz w:val="22"/>
          <w:szCs w:val="22"/>
          <w:rtl w:val="0"/>
        </w:rPr>
        <w:t xml:space="preserve">Jadro RPO eviduje aj historické údaje o právnických osobách, podnikateľoch a orgánoch verejnej moci. </w:t>
      </w:r>
    </w:p>
    <w:p w:rsidR="00000000" w:rsidDel="00000000" w:rsidP="00000000" w:rsidRDefault="00000000" w:rsidRPr="00000000" w14:paraId="000002FE">
      <w:pPr>
        <w:widowControl w:val="0"/>
        <w:spacing w:after="200" w:line="276" w:lineRule="auto"/>
        <w:jc w:val="both"/>
        <w:rPr>
          <w:sz w:val="22"/>
          <w:szCs w:val="22"/>
        </w:rPr>
      </w:pPr>
      <w:r w:rsidDel="00000000" w:rsidR="00000000" w:rsidRPr="00000000">
        <w:rPr>
          <w:sz w:val="22"/>
          <w:szCs w:val="22"/>
          <w:rtl w:val="0"/>
        </w:rPr>
        <w:t xml:space="preserve">Súčasťou evidencie sú aj údaje </w:t>
      </w:r>
      <w:r w:rsidDel="00000000" w:rsidR="00000000" w:rsidRPr="00000000">
        <w:rPr>
          <w:b w:val="1"/>
          <w:sz w:val="22"/>
          <w:szCs w:val="22"/>
          <w:rtl w:val="0"/>
        </w:rPr>
        <w:t xml:space="preserve">o organizačných jednotkách (zložkách) právnych subjektov</w:t>
      </w:r>
      <w:r w:rsidDel="00000000" w:rsidR="00000000" w:rsidRPr="00000000">
        <w:rPr>
          <w:sz w:val="22"/>
          <w:szCs w:val="22"/>
          <w:rtl w:val="0"/>
        </w:rPr>
        <w:t xml:space="preserve"> v nasledovnej štruktúre:</w:t>
      </w:r>
    </w:p>
    <w:p w:rsidR="00000000" w:rsidDel="00000000" w:rsidP="00000000" w:rsidRDefault="00000000" w:rsidRPr="00000000" w14:paraId="000002FF">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Identifikátor organizačnej jednotky </w:t>
      </w:r>
    </w:p>
    <w:p w:rsidR="00000000" w:rsidDel="00000000" w:rsidP="00000000" w:rsidRDefault="00000000" w:rsidRPr="00000000" w14:paraId="00000300">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Adresa organizačnej jednotky/prevádzky  </w:t>
      </w:r>
    </w:p>
    <w:p w:rsidR="00000000" w:rsidDel="00000000" w:rsidP="00000000" w:rsidRDefault="00000000" w:rsidRPr="00000000" w14:paraId="00000301">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Predmet činnosti </w:t>
      </w:r>
    </w:p>
    <w:p w:rsidR="00000000" w:rsidDel="00000000" w:rsidP="00000000" w:rsidRDefault="00000000" w:rsidRPr="00000000" w14:paraId="00000302">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Typ organizačnej jednotky</w:t>
      </w:r>
    </w:p>
    <w:p w:rsidR="00000000" w:rsidDel="00000000" w:rsidP="00000000" w:rsidRDefault="00000000" w:rsidRPr="00000000" w14:paraId="00000303">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Zainteresovaná osoba – informácie o zainteresovanej osobe</w:t>
      </w:r>
    </w:p>
    <w:p w:rsidR="00000000" w:rsidDel="00000000" w:rsidP="00000000" w:rsidRDefault="00000000" w:rsidRPr="00000000" w14:paraId="00000304">
      <w:pPr>
        <w:widowControl w:val="0"/>
        <w:numPr>
          <w:ilvl w:val="3"/>
          <w:numId w:val="4"/>
        </w:numPr>
        <w:spacing w:after="160" w:line="276" w:lineRule="auto"/>
        <w:ind w:left="1134" w:hanging="360"/>
        <w:jc w:val="both"/>
        <w:rPr>
          <w:sz w:val="22"/>
          <w:szCs w:val="22"/>
        </w:rPr>
      </w:pPr>
      <w:r w:rsidDel="00000000" w:rsidR="00000000" w:rsidRPr="00000000">
        <w:rPr>
          <w:sz w:val="22"/>
          <w:szCs w:val="22"/>
          <w:rtl w:val="0"/>
        </w:rPr>
        <w:t xml:space="preserve">Zainteresovaná osoba typu právnická osoba: </w:t>
      </w:r>
    </w:p>
    <w:p w:rsidR="00000000" w:rsidDel="00000000" w:rsidP="00000000" w:rsidRDefault="00000000" w:rsidRPr="00000000" w14:paraId="00000305">
      <w:pPr>
        <w:widowControl w:val="0"/>
        <w:spacing w:after="200" w:line="276" w:lineRule="auto"/>
        <w:ind w:left="1134" w:firstLine="0"/>
        <w:jc w:val="both"/>
        <w:rPr>
          <w:sz w:val="22"/>
          <w:szCs w:val="22"/>
        </w:rPr>
      </w:pPr>
      <w:r w:rsidDel="00000000" w:rsidR="00000000" w:rsidRPr="00000000">
        <w:rPr>
          <w:sz w:val="22"/>
          <w:szCs w:val="22"/>
          <w:rtl w:val="0"/>
        </w:rPr>
        <w:t xml:space="preserve">Typ zainteresovanej osoby</w:t>
      </w:r>
    </w:p>
    <w:p w:rsidR="00000000" w:rsidDel="00000000" w:rsidP="00000000" w:rsidRDefault="00000000" w:rsidRPr="00000000" w14:paraId="00000306">
      <w:pPr>
        <w:widowControl w:val="0"/>
        <w:spacing w:after="200" w:line="276" w:lineRule="auto"/>
        <w:ind w:left="1134" w:firstLine="0"/>
        <w:jc w:val="both"/>
        <w:rPr>
          <w:sz w:val="22"/>
          <w:szCs w:val="22"/>
        </w:rPr>
      </w:pPr>
      <w:r w:rsidDel="00000000" w:rsidR="00000000" w:rsidRPr="00000000">
        <w:rPr>
          <w:sz w:val="22"/>
          <w:szCs w:val="22"/>
          <w:rtl w:val="0"/>
        </w:rPr>
        <w:t xml:space="preserve">Plné meno právnickej osoby</w:t>
      </w:r>
    </w:p>
    <w:p w:rsidR="00000000" w:rsidDel="00000000" w:rsidP="00000000" w:rsidRDefault="00000000" w:rsidRPr="00000000" w14:paraId="00000307">
      <w:pPr>
        <w:widowControl w:val="0"/>
        <w:spacing w:after="200" w:line="276" w:lineRule="auto"/>
        <w:ind w:left="1134" w:firstLine="0"/>
        <w:jc w:val="both"/>
        <w:rPr>
          <w:sz w:val="22"/>
          <w:szCs w:val="22"/>
        </w:rPr>
      </w:pPr>
      <w:r w:rsidDel="00000000" w:rsidR="00000000" w:rsidRPr="00000000">
        <w:rPr>
          <w:sz w:val="22"/>
          <w:szCs w:val="22"/>
          <w:rtl w:val="0"/>
        </w:rPr>
        <w:t xml:space="preserve">IČO</w:t>
      </w:r>
    </w:p>
    <w:p w:rsidR="00000000" w:rsidDel="00000000" w:rsidP="00000000" w:rsidRDefault="00000000" w:rsidRPr="00000000" w14:paraId="00000308">
      <w:pPr>
        <w:widowControl w:val="0"/>
        <w:spacing w:after="200" w:line="276" w:lineRule="auto"/>
        <w:ind w:left="1134" w:firstLine="0"/>
        <w:jc w:val="both"/>
        <w:rPr>
          <w:sz w:val="22"/>
          <w:szCs w:val="22"/>
        </w:rPr>
      </w:pPr>
      <w:r w:rsidDel="00000000" w:rsidR="00000000" w:rsidRPr="00000000">
        <w:rPr>
          <w:sz w:val="22"/>
          <w:szCs w:val="22"/>
          <w:rtl w:val="0"/>
        </w:rPr>
        <w:t xml:space="preserve">Adresa sídla</w:t>
      </w:r>
    </w:p>
    <w:p w:rsidR="00000000" w:rsidDel="00000000" w:rsidP="00000000" w:rsidRDefault="00000000" w:rsidRPr="00000000" w14:paraId="00000309">
      <w:pPr>
        <w:widowControl w:val="0"/>
        <w:numPr>
          <w:ilvl w:val="3"/>
          <w:numId w:val="4"/>
        </w:numPr>
        <w:spacing w:after="160" w:line="276" w:lineRule="auto"/>
        <w:ind w:left="1134" w:hanging="360"/>
        <w:jc w:val="both"/>
        <w:rPr>
          <w:sz w:val="22"/>
          <w:szCs w:val="22"/>
        </w:rPr>
      </w:pPr>
      <w:r w:rsidDel="00000000" w:rsidR="00000000" w:rsidRPr="00000000">
        <w:rPr>
          <w:sz w:val="22"/>
          <w:szCs w:val="22"/>
          <w:rtl w:val="0"/>
        </w:rPr>
        <w:t xml:space="preserve">Zainteresovaná osoba typu fyzická osoba: </w:t>
      </w:r>
    </w:p>
    <w:p w:rsidR="00000000" w:rsidDel="00000000" w:rsidP="00000000" w:rsidRDefault="00000000" w:rsidRPr="00000000" w14:paraId="0000030A">
      <w:pPr>
        <w:widowControl w:val="0"/>
        <w:spacing w:after="200" w:line="276" w:lineRule="auto"/>
        <w:ind w:left="1134" w:firstLine="0"/>
        <w:jc w:val="both"/>
        <w:rPr>
          <w:sz w:val="22"/>
          <w:szCs w:val="22"/>
        </w:rPr>
      </w:pPr>
      <w:r w:rsidDel="00000000" w:rsidR="00000000" w:rsidRPr="00000000">
        <w:rPr>
          <w:sz w:val="22"/>
          <w:szCs w:val="22"/>
          <w:rtl w:val="0"/>
        </w:rPr>
        <w:t xml:space="preserve">Typ zainteresovanej osoby</w:t>
      </w:r>
    </w:p>
    <w:p w:rsidR="00000000" w:rsidDel="00000000" w:rsidP="00000000" w:rsidRDefault="00000000" w:rsidRPr="00000000" w14:paraId="0000030B">
      <w:pPr>
        <w:widowControl w:val="0"/>
        <w:spacing w:after="200" w:line="276" w:lineRule="auto"/>
        <w:ind w:left="1134" w:firstLine="0"/>
        <w:jc w:val="both"/>
        <w:rPr>
          <w:sz w:val="22"/>
          <w:szCs w:val="22"/>
        </w:rPr>
      </w:pPr>
      <w:r w:rsidDel="00000000" w:rsidR="00000000" w:rsidRPr="00000000">
        <w:rPr>
          <w:sz w:val="22"/>
          <w:szCs w:val="22"/>
          <w:rtl w:val="0"/>
        </w:rPr>
        <w:t xml:space="preserve">Meno </w:t>
      </w:r>
    </w:p>
    <w:p w:rsidR="00000000" w:rsidDel="00000000" w:rsidP="00000000" w:rsidRDefault="00000000" w:rsidRPr="00000000" w14:paraId="0000030C">
      <w:pPr>
        <w:widowControl w:val="0"/>
        <w:spacing w:after="200" w:line="276" w:lineRule="auto"/>
        <w:ind w:left="1134" w:firstLine="0"/>
        <w:jc w:val="both"/>
        <w:rPr>
          <w:sz w:val="22"/>
          <w:szCs w:val="22"/>
        </w:rPr>
      </w:pPr>
      <w:r w:rsidDel="00000000" w:rsidR="00000000" w:rsidRPr="00000000">
        <w:rPr>
          <w:sz w:val="22"/>
          <w:szCs w:val="22"/>
          <w:rtl w:val="0"/>
        </w:rPr>
        <w:t xml:space="preserve">Priezvisko </w:t>
      </w:r>
    </w:p>
    <w:p w:rsidR="00000000" w:rsidDel="00000000" w:rsidP="00000000" w:rsidRDefault="00000000" w:rsidRPr="00000000" w14:paraId="0000030D">
      <w:pPr>
        <w:widowControl w:val="0"/>
        <w:spacing w:after="200" w:line="276" w:lineRule="auto"/>
        <w:ind w:left="1134" w:firstLine="0"/>
        <w:jc w:val="both"/>
        <w:rPr>
          <w:sz w:val="22"/>
          <w:szCs w:val="22"/>
        </w:rPr>
      </w:pPr>
      <w:r w:rsidDel="00000000" w:rsidR="00000000" w:rsidRPr="00000000">
        <w:rPr>
          <w:sz w:val="22"/>
          <w:szCs w:val="22"/>
          <w:rtl w:val="0"/>
        </w:rPr>
        <w:t xml:space="preserve">Adresa trvalého pobytu</w:t>
      </w:r>
    </w:p>
    <w:p w:rsidR="00000000" w:rsidDel="00000000" w:rsidP="00000000" w:rsidRDefault="00000000" w:rsidRPr="00000000" w14:paraId="0000030E">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Dátum vzniku </w:t>
      </w:r>
    </w:p>
    <w:p w:rsidR="00000000" w:rsidDel="00000000" w:rsidP="00000000" w:rsidRDefault="00000000" w:rsidRPr="00000000" w14:paraId="0000030F">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Dátum zániku.</w:t>
      </w:r>
    </w:p>
    <w:p w:rsidR="00000000" w:rsidDel="00000000" w:rsidP="00000000" w:rsidRDefault="00000000" w:rsidRPr="00000000" w14:paraId="00000310">
      <w:pPr>
        <w:spacing w:after="160" w:line="276" w:lineRule="auto"/>
        <w:ind w:left="349" w:firstLine="0"/>
        <w:jc w:val="both"/>
        <w:rPr>
          <w:sz w:val="22"/>
          <w:szCs w:val="22"/>
        </w:rPr>
      </w:pPr>
      <w:r w:rsidDel="00000000" w:rsidR="00000000" w:rsidRPr="00000000">
        <w:rPr>
          <w:rtl w:val="0"/>
        </w:rPr>
      </w:r>
    </w:p>
    <w:p w:rsidR="00000000" w:rsidDel="00000000" w:rsidP="00000000" w:rsidRDefault="00000000" w:rsidRPr="00000000" w14:paraId="00000311">
      <w:pPr>
        <w:spacing w:after="160" w:line="276" w:lineRule="auto"/>
        <w:ind w:left="349" w:firstLine="0"/>
        <w:jc w:val="both"/>
        <w:rPr>
          <w:sz w:val="22"/>
          <w:szCs w:val="22"/>
        </w:rPr>
      </w:pPr>
      <w:r w:rsidDel="00000000" w:rsidR="00000000" w:rsidRPr="00000000">
        <w:rPr>
          <w:b w:val="1"/>
          <w:sz w:val="22"/>
          <w:szCs w:val="22"/>
          <w:rtl w:val="0"/>
        </w:rPr>
        <w:t xml:space="preserve">Evidencia KÚV</w:t>
      </w:r>
      <w:r w:rsidDel="00000000" w:rsidR="00000000" w:rsidRPr="00000000">
        <w:rPr>
          <w:sz w:val="22"/>
          <w:szCs w:val="22"/>
          <w:rtl w:val="0"/>
        </w:rPr>
        <w:t xml:space="preserve"> obsahuje nasledovné údaje:</w:t>
      </w:r>
    </w:p>
    <w:p w:rsidR="00000000" w:rsidDel="00000000" w:rsidP="00000000" w:rsidRDefault="00000000" w:rsidRPr="00000000" w14:paraId="00000312">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údaje o KÚV (meno, priezvisko, dátum narodenia, rodné číslo, IFO, adresa) </w:t>
      </w:r>
    </w:p>
    <w:p w:rsidR="00000000" w:rsidDel="00000000" w:rsidP="00000000" w:rsidRDefault="00000000" w:rsidRPr="00000000" w14:paraId="00000313">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postavenie KÚV (viac záznamov bude zlúčených do jedného poľa)  </w:t>
      </w:r>
    </w:p>
    <w:p w:rsidR="00000000" w:rsidDel="00000000" w:rsidP="00000000" w:rsidRDefault="00000000" w:rsidRPr="00000000" w14:paraId="00000314">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platnosť od  </w:t>
      </w:r>
    </w:p>
    <w:p w:rsidR="00000000" w:rsidDel="00000000" w:rsidP="00000000" w:rsidRDefault="00000000" w:rsidRPr="00000000" w14:paraId="00000315">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platnosť do </w:t>
      </w:r>
    </w:p>
    <w:p w:rsidR="00000000" w:rsidDel="00000000" w:rsidP="00000000" w:rsidRDefault="00000000" w:rsidRPr="00000000" w14:paraId="00000316">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IČO   </w:t>
      </w:r>
    </w:p>
    <w:p w:rsidR="00000000" w:rsidDel="00000000" w:rsidP="00000000" w:rsidRDefault="00000000" w:rsidRPr="00000000" w14:paraId="00000317">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názov   </w:t>
      </w:r>
    </w:p>
    <w:p w:rsidR="00000000" w:rsidDel="00000000" w:rsidP="00000000" w:rsidRDefault="00000000" w:rsidRPr="00000000" w14:paraId="00000318">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právna forma  </w:t>
      </w:r>
    </w:p>
    <w:p w:rsidR="00000000" w:rsidDel="00000000" w:rsidP="00000000" w:rsidRDefault="00000000" w:rsidRPr="00000000" w14:paraId="00000319">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ESA2010 </w:t>
      </w:r>
    </w:p>
    <w:p w:rsidR="00000000" w:rsidDel="00000000" w:rsidP="00000000" w:rsidRDefault="00000000" w:rsidRPr="00000000" w14:paraId="0000031A">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dátum vzniku  </w:t>
      </w:r>
    </w:p>
    <w:p w:rsidR="00000000" w:rsidDel="00000000" w:rsidP="00000000" w:rsidRDefault="00000000" w:rsidRPr="00000000" w14:paraId="0000031B">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dátum zániku  </w:t>
      </w:r>
    </w:p>
    <w:p w:rsidR="00000000" w:rsidDel="00000000" w:rsidP="00000000" w:rsidRDefault="00000000" w:rsidRPr="00000000" w14:paraId="0000031C">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právny stav (posledný platný ak ich je uvedených viac)  </w:t>
      </w:r>
    </w:p>
    <w:p w:rsidR="00000000" w:rsidDel="00000000" w:rsidP="00000000" w:rsidRDefault="00000000" w:rsidRPr="00000000" w14:paraId="0000031D">
      <w:pPr>
        <w:widowControl w:val="0"/>
        <w:numPr>
          <w:ilvl w:val="1"/>
          <w:numId w:val="4"/>
        </w:numPr>
        <w:spacing w:after="160" w:line="276" w:lineRule="auto"/>
        <w:ind w:left="709" w:hanging="360"/>
        <w:jc w:val="both"/>
        <w:rPr>
          <w:sz w:val="22"/>
          <w:szCs w:val="22"/>
        </w:rPr>
      </w:pPr>
      <w:r w:rsidDel="00000000" w:rsidR="00000000" w:rsidRPr="00000000">
        <w:rPr>
          <w:sz w:val="22"/>
          <w:szCs w:val="22"/>
          <w:rtl w:val="0"/>
        </w:rPr>
        <w:t xml:space="preserve">zdrojový register.</w:t>
      </w:r>
    </w:p>
    <w:p w:rsidR="00000000" w:rsidDel="00000000" w:rsidP="00000000" w:rsidRDefault="00000000" w:rsidRPr="00000000" w14:paraId="0000031E">
      <w:pPr>
        <w:spacing w:after="160" w:line="276" w:lineRule="auto"/>
        <w:ind w:left="349" w:firstLine="0"/>
        <w:jc w:val="both"/>
        <w:rPr>
          <w:sz w:val="22"/>
          <w:szCs w:val="22"/>
        </w:rPr>
      </w:pPr>
      <w:r w:rsidDel="00000000" w:rsidR="00000000" w:rsidRPr="00000000">
        <w:rPr>
          <w:rtl w:val="0"/>
        </w:rPr>
      </w:r>
    </w:p>
    <w:p w:rsidR="00000000" w:rsidDel="00000000" w:rsidP="00000000" w:rsidRDefault="00000000" w:rsidRPr="00000000" w14:paraId="0000031F">
      <w:pPr>
        <w:spacing w:after="160" w:line="276" w:lineRule="auto"/>
        <w:ind w:left="349" w:firstLine="0"/>
        <w:jc w:val="both"/>
        <w:rPr>
          <w:i w:val="1"/>
          <w:sz w:val="22"/>
          <w:szCs w:val="22"/>
        </w:rPr>
      </w:pPr>
      <w:r w:rsidDel="00000000" w:rsidR="00000000" w:rsidRPr="00000000">
        <w:rPr>
          <w:i w:val="1"/>
          <w:sz w:val="22"/>
          <w:szCs w:val="22"/>
          <w:rtl w:val="0"/>
        </w:rPr>
        <w:t xml:space="preserve">Bližší popis atribútov je súčasťou technickej dokumentácie, ktorá bude poskytnutá uchádzačom na základe podpisu Dohody o ochrane dôverných informácií.</w:t>
      </w:r>
    </w:p>
    <w:p w:rsidR="00000000" w:rsidDel="00000000" w:rsidP="00000000" w:rsidRDefault="00000000" w:rsidRPr="00000000" w14:paraId="00000320">
      <w:pPr>
        <w:spacing w:after="160" w:line="276" w:lineRule="auto"/>
        <w:ind w:left="349" w:firstLine="0"/>
        <w:jc w:val="both"/>
        <w:rPr>
          <w:sz w:val="22"/>
          <w:szCs w:val="22"/>
        </w:rPr>
      </w:pPr>
      <w:r w:rsidDel="00000000" w:rsidR="00000000" w:rsidRPr="00000000">
        <w:rPr>
          <w:rtl w:val="0"/>
        </w:rPr>
      </w:r>
    </w:p>
    <w:p w:rsidR="00000000" w:rsidDel="00000000" w:rsidP="00000000" w:rsidRDefault="00000000" w:rsidRPr="00000000" w14:paraId="00000321">
      <w:pPr>
        <w:keepNext w:val="1"/>
        <w:keepLines w:val="1"/>
        <w:widowControl w:val="0"/>
        <w:spacing w:before="40" w:line="276" w:lineRule="auto"/>
        <w:jc w:val="both"/>
        <w:rPr>
          <w:rFonts w:ascii="Calibri" w:cs="Calibri" w:eastAsia="Calibri" w:hAnsi="Calibri"/>
          <w:color w:val="2e74b5"/>
          <w:sz w:val="26"/>
          <w:szCs w:val="26"/>
        </w:rPr>
      </w:pPr>
      <w:bookmarkStart w:colFirst="0" w:colLast="0" w:name="_heading=h.206ipza" w:id="54"/>
      <w:bookmarkEnd w:id="54"/>
      <w:r w:rsidDel="00000000" w:rsidR="00000000" w:rsidRPr="00000000">
        <w:rPr>
          <w:rFonts w:ascii="Calibri" w:cs="Calibri" w:eastAsia="Calibri" w:hAnsi="Calibri"/>
          <w:color w:val="2e74b5"/>
          <w:sz w:val="26"/>
          <w:szCs w:val="26"/>
          <w:rtl w:val="0"/>
        </w:rPr>
        <w:t xml:space="preserve">Generický register RPO</w:t>
      </w:r>
    </w:p>
    <w:p w:rsidR="00000000" w:rsidDel="00000000" w:rsidP="00000000" w:rsidRDefault="00000000" w:rsidRPr="00000000" w14:paraId="00000322">
      <w:pPr>
        <w:widowControl w:val="0"/>
        <w:spacing w:after="200" w:line="276" w:lineRule="auto"/>
        <w:jc w:val="both"/>
        <w:rPr>
          <w:sz w:val="22"/>
          <w:szCs w:val="22"/>
        </w:rPr>
      </w:pPr>
      <w:r w:rsidDel="00000000" w:rsidR="00000000" w:rsidRPr="00000000">
        <w:rPr>
          <w:sz w:val="22"/>
          <w:szCs w:val="22"/>
          <w:rtl w:val="0"/>
        </w:rPr>
        <w:t xml:space="preserve">Modul Generického registra RPO poskytuje služby pre zdrojové registre RPO a ich registrátorov pre správu údajov o právnických osobách,  fyzických osobách podnikateľoch a orgánoch verejnej moci, ktoré podľa vlastných osobitných predpisov spravujú. </w:t>
      </w:r>
    </w:p>
    <w:p w:rsidR="00000000" w:rsidDel="00000000" w:rsidP="00000000" w:rsidRDefault="00000000" w:rsidRPr="00000000" w14:paraId="00000323">
      <w:pPr>
        <w:widowControl w:val="0"/>
        <w:spacing w:after="200" w:line="276" w:lineRule="auto"/>
        <w:jc w:val="both"/>
        <w:rPr>
          <w:sz w:val="22"/>
          <w:szCs w:val="22"/>
        </w:rPr>
      </w:pPr>
      <w:r w:rsidDel="00000000" w:rsidR="00000000" w:rsidRPr="00000000">
        <w:rPr>
          <w:sz w:val="22"/>
          <w:szCs w:val="22"/>
          <w:rtl w:val="0"/>
        </w:rPr>
        <w:t xml:space="preserve">Modul poskytuje služby podľa nasledovných úrovní oprávnení:</w:t>
      </w:r>
    </w:p>
    <w:p w:rsidR="00000000" w:rsidDel="00000000" w:rsidP="00000000" w:rsidRDefault="00000000" w:rsidRPr="00000000" w14:paraId="00000324">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Administrátor generického registra</w:t>
      </w:r>
    </w:p>
    <w:p w:rsidR="00000000" w:rsidDel="00000000" w:rsidP="00000000" w:rsidRDefault="00000000" w:rsidRPr="00000000" w14:paraId="00000325">
      <w:pPr>
        <w:widowControl w:val="0"/>
        <w:spacing w:after="200" w:line="276" w:lineRule="auto"/>
        <w:jc w:val="both"/>
        <w:rPr>
          <w:sz w:val="22"/>
          <w:szCs w:val="22"/>
        </w:rPr>
      </w:pPr>
      <w:r w:rsidDel="00000000" w:rsidR="00000000" w:rsidRPr="00000000">
        <w:rPr>
          <w:sz w:val="22"/>
          <w:szCs w:val="22"/>
          <w:rtl w:val="0"/>
        </w:rPr>
        <w:t xml:space="preserve">Administrátor generického registra definuje konkrétnych administrátorov jednotlivých zdrojových registrov. </w:t>
      </w:r>
    </w:p>
    <w:p w:rsidR="00000000" w:rsidDel="00000000" w:rsidP="00000000" w:rsidRDefault="00000000" w:rsidRPr="00000000" w14:paraId="00000326">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Administrátor zdrojového registra</w:t>
      </w:r>
    </w:p>
    <w:p w:rsidR="00000000" w:rsidDel="00000000" w:rsidP="00000000" w:rsidRDefault="00000000" w:rsidRPr="00000000" w14:paraId="00000327">
      <w:pPr>
        <w:widowControl w:val="0"/>
        <w:spacing w:after="200" w:line="276" w:lineRule="auto"/>
        <w:jc w:val="both"/>
        <w:rPr>
          <w:sz w:val="22"/>
          <w:szCs w:val="22"/>
        </w:rPr>
      </w:pPr>
      <w:r w:rsidDel="00000000" w:rsidR="00000000" w:rsidRPr="00000000">
        <w:rPr>
          <w:sz w:val="22"/>
          <w:szCs w:val="22"/>
          <w:rtl w:val="0"/>
        </w:rPr>
        <w:t xml:space="preserve">Definuje registrátora konkrétneho zdrojového registra.</w:t>
      </w:r>
    </w:p>
    <w:p w:rsidR="00000000" w:rsidDel="00000000" w:rsidP="00000000" w:rsidRDefault="00000000" w:rsidRPr="00000000" w14:paraId="00000328">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Registrátor zdrojového registra</w:t>
      </w:r>
    </w:p>
    <w:p w:rsidR="00000000" w:rsidDel="00000000" w:rsidP="00000000" w:rsidRDefault="00000000" w:rsidRPr="00000000" w14:paraId="00000329">
      <w:pPr>
        <w:widowControl w:val="0"/>
        <w:spacing w:after="200" w:line="276" w:lineRule="auto"/>
        <w:jc w:val="both"/>
        <w:rPr>
          <w:sz w:val="22"/>
          <w:szCs w:val="22"/>
        </w:rPr>
      </w:pPr>
      <w:r w:rsidDel="00000000" w:rsidR="00000000" w:rsidRPr="00000000">
        <w:rPr>
          <w:sz w:val="22"/>
          <w:szCs w:val="22"/>
          <w:rtl w:val="0"/>
        </w:rPr>
        <w:t xml:space="preserve">Registrátor zdrojového registra GR, spravuje záznamy konkrétneho zdrojového registra.</w:t>
      </w:r>
    </w:p>
    <w:p w:rsidR="00000000" w:rsidDel="00000000" w:rsidP="00000000" w:rsidRDefault="00000000" w:rsidRPr="00000000" w14:paraId="0000032A">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Bezpečnostný manažér generického registra</w:t>
      </w:r>
    </w:p>
    <w:p w:rsidR="00000000" w:rsidDel="00000000" w:rsidP="00000000" w:rsidRDefault="00000000" w:rsidRPr="00000000" w14:paraId="0000032B">
      <w:pPr>
        <w:widowControl w:val="0"/>
        <w:spacing w:after="200" w:line="276" w:lineRule="auto"/>
        <w:jc w:val="both"/>
        <w:rPr>
          <w:sz w:val="22"/>
          <w:szCs w:val="22"/>
        </w:rPr>
      </w:pPr>
      <w:r w:rsidDel="00000000" w:rsidR="00000000" w:rsidRPr="00000000">
        <w:rPr>
          <w:sz w:val="22"/>
          <w:szCs w:val="22"/>
          <w:rtl w:val="0"/>
        </w:rPr>
        <w:t xml:space="preserve">Bezpečnostný manažér generického registra prezerá aktivity všetkých užívateľov, ktoré sú  zaznamenávané do databázovej tabuľky.</w:t>
      </w:r>
    </w:p>
    <w:p w:rsidR="00000000" w:rsidDel="00000000" w:rsidP="00000000" w:rsidRDefault="00000000" w:rsidRPr="00000000" w14:paraId="0000032C">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Systém</w:t>
      </w:r>
    </w:p>
    <w:p w:rsidR="00000000" w:rsidDel="00000000" w:rsidP="00000000" w:rsidRDefault="00000000" w:rsidRPr="00000000" w14:paraId="0000032D">
      <w:pPr>
        <w:widowControl w:val="0"/>
        <w:spacing w:after="200" w:line="276" w:lineRule="auto"/>
        <w:jc w:val="both"/>
        <w:rPr>
          <w:sz w:val="22"/>
          <w:szCs w:val="22"/>
        </w:rPr>
      </w:pPr>
      <w:r w:rsidDel="00000000" w:rsidR="00000000" w:rsidRPr="00000000">
        <w:rPr>
          <w:sz w:val="22"/>
          <w:szCs w:val="22"/>
          <w:rtl w:val="0"/>
        </w:rPr>
        <w:t xml:space="preserve">Ak nie je zaznamenaná aktivita používateľa (administrátora alebo registrátora) v nastavenom časovom intervale, systém ho automaticky odhlási.</w:t>
      </w:r>
    </w:p>
    <w:p w:rsidR="00000000" w:rsidDel="00000000" w:rsidP="00000000" w:rsidRDefault="00000000" w:rsidRPr="00000000" w14:paraId="0000032E">
      <w:pPr>
        <w:keepNext w:val="1"/>
        <w:keepLines w:val="1"/>
        <w:widowControl w:val="0"/>
        <w:spacing w:before="40" w:line="276" w:lineRule="auto"/>
        <w:jc w:val="both"/>
        <w:rPr>
          <w:rFonts w:ascii="Calibri" w:cs="Calibri" w:eastAsia="Calibri" w:hAnsi="Calibri"/>
          <w:color w:val="1f4d78"/>
        </w:rPr>
      </w:pPr>
      <w:r w:rsidDel="00000000" w:rsidR="00000000" w:rsidRPr="00000000">
        <w:rPr>
          <w:rtl w:val="0"/>
        </w:rPr>
      </w:r>
    </w:p>
    <w:p w:rsidR="00000000" w:rsidDel="00000000" w:rsidP="00000000" w:rsidRDefault="00000000" w:rsidRPr="00000000" w14:paraId="0000032F">
      <w:pPr>
        <w:keepNext w:val="1"/>
        <w:keepLines w:val="1"/>
        <w:widowControl w:val="0"/>
        <w:spacing w:before="40" w:line="276" w:lineRule="auto"/>
        <w:jc w:val="both"/>
        <w:rPr>
          <w:rFonts w:ascii="Calibri" w:cs="Calibri" w:eastAsia="Calibri" w:hAnsi="Calibri"/>
          <w:color w:val="1f4d78"/>
        </w:rPr>
      </w:pPr>
      <w:bookmarkStart w:colFirst="0" w:colLast="0" w:name="_heading=h.4k668n3" w:id="55"/>
      <w:bookmarkEnd w:id="55"/>
      <w:r w:rsidDel="00000000" w:rsidR="00000000" w:rsidRPr="00000000">
        <w:rPr>
          <w:rFonts w:ascii="Calibri" w:cs="Calibri" w:eastAsia="Calibri" w:hAnsi="Calibri"/>
          <w:color w:val="1f4d78"/>
          <w:rtl w:val="0"/>
        </w:rPr>
        <w:t xml:space="preserve">Životný cyklus evidovaného subjektu v Generickom registri RPO</w:t>
      </w:r>
    </w:p>
    <w:p w:rsidR="00000000" w:rsidDel="00000000" w:rsidP="00000000" w:rsidRDefault="00000000" w:rsidRPr="00000000" w14:paraId="00000330">
      <w:pPr>
        <w:widowControl w:val="0"/>
        <w:spacing w:line="276" w:lineRule="auto"/>
        <w:jc w:val="both"/>
        <w:rPr>
          <w:sz w:val="22"/>
          <w:szCs w:val="22"/>
        </w:rPr>
      </w:pPr>
      <w:r w:rsidDel="00000000" w:rsidR="00000000" w:rsidRPr="00000000">
        <w:rPr>
          <w:sz w:val="22"/>
          <w:szCs w:val="22"/>
          <w:rtl w:val="0"/>
        </w:rPr>
        <w:t xml:space="preserve">Životný cyklus evidencie údajov o subjekte má 2 fázy.</w:t>
      </w:r>
    </w:p>
    <w:p w:rsidR="00000000" w:rsidDel="00000000" w:rsidP="00000000" w:rsidRDefault="00000000" w:rsidRPr="00000000" w14:paraId="00000331">
      <w:pPr>
        <w:widowControl w:val="0"/>
        <w:numPr>
          <w:ilvl w:val="0"/>
          <w:numId w:val="6"/>
        </w:numPr>
        <w:spacing w:after="0" w:line="276" w:lineRule="auto"/>
        <w:ind w:left="426" w:hanging="360"/>
        <w:jc w:val="both"/>
        <w:rPr>
          <w:sz w:val="22"/>
          <w:szCs w:val="22"/>
        </w:rPr>
      </w:pPr>
      <w:r w:rsidDel="00000000" w:rsidR="00000000" w:rsidRPr="00000000">
        <w:rPr>
          <w:sz w:val="22"/>
          <w:szCs w:val="22"/>
          <w:rtl w:val="0"/>
        </w:rPr>
        <w:t xml:space="preserve">fáza - vytváranie resp. editácia údajov o novom subjekte sa týka subjektu, ktorého údaje zapísané v rámci daného zdrojového registra neboli zapísané v jadre RPO. Údaje sú ukladané iba v zdrojovom registri a nemajú právny účinok.</w:t>
      </w:r>
    </w:p>
    <w:p w:rsidR="00000000" w:rsidDel="00000000" w:rsidP="00000000" w:rsidRDefault="00000000" w:rsidRPr="00000000" w14:paraId="00000332">
      <w:pPr>
        <w:widowControl w:val="0"/>
        <w:numPr>
          <w:ilvl w:val="0"/>
          <w:numId w:val="6"/>
        </w:numPr>
        <w:spacing w:after="0" w:line="276" w:lineRule="auto"/>
        <w:ind w:left="426" w:hanging="360"/>
        <w:jc w:val="both"/>
        <w:rPr>
          <w:sz w:val="22"/>
          <w:szCs w:val="22"/>
        </w:rPr>
      </w:pPr>
      <w:r w:rsidDel="00000000" w:rsidR="00000000" w:rsidRPr="00000000">
        <w:rPr>
          <w:sz w:val="22"/>
          <w:szCs w:val="22"/>
          <w:rtl w:val="0"/>
        </w:rPr>
        <w:t xml:space="preserve">fáza - editácia údajov o evidovanom subjekte. Údaje zapísané v rámci daného zdrojového registra boli zapísané aj v jadre RPO a majú právny účinok. </w:t>
      </w:r>
    </w:p>
    <w:p w:rsidR="00000000" w:rsidDel="00000000" w:rsidP="00000000" w:rsidRDefault="00000000" w:rsidRPr="00000000" w14:paraId="00000333">
      <w:pPr>
        <w:widowControl w:val="0"/>
        <w:spacing w:after="200" w:line="276" w:lineRule="auto"/>
        <w:jc w:val="both"/>
        <w:rPr>
          <w:b w:val="1"/>
          <w:sz w:val="22"/>
          <w:szCs w:val="22"/>
          <w:u w:val="single"/>
        </w:rPr>
      </w:pPr>
      <w:r w:rsidDel="00000000" w:rsidR="00000000" w:rsidRPr="00000000">
        <w:rPr>
          <w:rtl w:val="0"/>
        </w:rPr>
      </w:r>
    </w:p>
    <w:p w:rsidR="00000000" w:rsidDel="00000000" w:rsidP="00000000" w:rsidRDefault="00000000" w:rsidRPr="00000000" w14:paraId="00000334">
      <w:pPr>
        <w:rPr>
          <w:b w:val="1"/>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35">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Životný cyklu vytvárania / editácie subjektu</w:t>
      </w:r>
    </w:p>
    <w:p w:rsidR="00000000" w:rsidDel="00000000" w:rsidP="00000000" w:rsidRDefault="00000000" w:rsidRPr="00000000" w14:paraId="00000336">
      <w:pPr>
        <w:widowControl w:val="0"/>
        <w:spacing w:after="200" w:line="276" w:lineRule="auto"/>
        <w:jc w:val="both"/>
        <w:rPr>
          <w:sz w:val="22"/>
          <w:szCs w:val="22"/>
        </w:rPr>
      </w:pPr>
      <w:r w:rsidDel="00000000" w:rsidR="00000000" w:rsidRPr="00000000">
        <w:rPr>
          <w:sz w:val="22"/>
          <w:szCs w:val="22"/>
        </w:rPr>
        <w:drawing>
          <wp:inline distB="0" distT="0" distL="0" distR="0">
            <wp:extent cx="5727700" cy="4603247"/>
            <wp:effectExtent b="0" l="0" r="0" t="0"/>
            <wp:docPr id="1643524199"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5727700" cy="4603247"/>
                    </a:xfrm>
                    <a:prstGeom prst="rect"/>
                    <a:ln/>
                  </pic:spPr>
                </pic:pic>
              </a:graphicData>
            </a:graphic>
          </wp:inline>
        </w:drawing>
      </w:r>
      <w:r w:rsidDel="00000000" w:rsidR="00000000" w:rsidRPr="00000000">
        <w:rPr>
          <w:rtl w:val="0"/>
        </w:rPr>
      </w:r>
    </w:p>
    <w:p w:rsidR="00000000" w:rsidDel="00000000" w:rsidP="00000000" w:rsidRDefault="00000000" w:rsidRPr="00000000" w14:paraId="00000337">
      <w:pPr>
        <w:widowControl w:val="0"/>
        <w:spacing w:after="200" w:line="276" w:lineRule="auto"/>
        <w:jc w:val="both"/>
        <w:rPr>
          <w:sz w:val="22"/>
          <w:szCs w:val="22"/>
        </w:rPr>
      </w:pPr>
      <w:r w:rsidDel="00000000" w:rsidR="00000000" w:rsidRPr="00000000">
        <w:rPr>
          <w:rtl w:val="0"/>
        </w:rPr>
      </w:r>
    </w:p>
    <w:p w:rsidR="00000000" w:rsidDel="00000000" w:rsidP="00000000" w:rsidRDefault="00000000" w:rsidRPr="00000000" w14:paraId="00000338">
      <w:pPr>
        <w:rPr>
          <w:b w:val="1"/>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39">
      <w:pPr>
        <w:widowControl w:val="0"/>
        <w:spacing w:after="200" w:line="276" w:lineRule="auto"/>
        <w:jc w:val="both"/>
        <w:rPr>
          <w:b w:val="1"/>
          <w:sz w:val="22"/>
          <w:szCs w:val="22"/>
          <w:u w:val="single"/>
        </w:rPr>
      </w:pPr>
      <w:r w:rsidDel="00000000" w:rsidR="00000000" w:rsidRPr="00000000">
        <w:rPr>
          <w:b w:val="1"/>
          <w:sz w:val="22"/>
          <w:szCs w:val="22"/>
          <w:u w:val="single"/>
          <w:rtl w:val="0"/>
        </w:rPr>
        <w:t xml:space="preserve">Životný cyklu editácie finálneho evidovaného subjektu</w:t>
      </w:r>
    </w:p>
    <w:p w:rsidR="00000000" w:rsidDel="00000000" w:rsidP="00000000" w:rsidRDefault="00000000" w:rsidRPr="00000000" w14:paraId="0000033A">
      <w:pPr>
        <w:widowControl w:val="0"/>
        <w:spacing w:after="200" w:line="276" w:lineRule="auto"/>
        <w:jc w:val="both"/>
        <w:rPr>
          <w:b w:val="1"/>
          <w:sz w:val="22"/>
          <w:szCs w:val="22"/>
          <w:u w:val="single"/>
        </w:rPr>
      </w:pPr>
      <w:r w:rsidDel="00000000" w:rsidR="00000000" w:rsidRPr="00000000">
        <w:rPr>
          <w:sz w:val="22"/>
          <w:szCs w:val="22"/>
        </w:rPr>
        <w:drawing>
          <wp:inline distB="0" distT="0" distL="0" distR="0">
            <wp:extent cx="5727700" cy="5151899"/>
            <wp:effectExtent b="0" l="0" r="0" t="0"/>
            <wp:docPr id="1643524198"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5727700" cy="5151899"/>
                    </a:xfrm>
                    <a:prstGeom prst="rect"/>
                    <a:ln/>
                  </pic:spPr>
                </pic:pic>
              </a:graphicData>
            </a:graphic>
          </wp:inline>
        </w:drawing>
      </w:r>
      <w:r w:rsidDel="00000000" w:rsidR="00000000" w:rsidRPr="00000000">
        <w:rPr>
          <w:rtl w:val="0"/>
        </w:rPr>
      </w:r>
    </w:p>
    <w:p w:rsidR="00000000" w:rsidDel="00000000" w:rsidP="00000000" w:rsidRDefault="00000000" w:rsidRPr="00000000" w14:paraId="0000033B">
      <w:pPr>
        <w:keepNext w:val="1"/>
        <w:keepLines w:val="1"/>
        <w:widowControl w:val="0"/>
        <w:spacing w:before="40" w:line="276" w:lineRule="auto"/>
        <w:jc w:val="both"/>
        <w:rPr>
          <w:rFonts w:ascii="Calibri" w:cs="Calibri" w:eastAsia="Calibri" w:hAnsi="Calibri"/>
          <w:color w:val="1f4d78"/>
        </w:rPr>
      </w:pPr>
      <w:bookmarkStart w:colFirst="0" w:colLast="0" w:name="_heading=h.2zbgiuw" w:id="56"/>
      <w:bookmarkEnd w:id="56"/>
      <w:r w:rsidDel="00000000" w:rsidR="00000000" w:rsidRPr="00000000">
        <w:rPr>
          <w:rFonts w:ascii="Calibri" w:cs="Calibri" w:eastAsia="Calibri" w:hAnsi="Calibri"/>
          <w:color w:val="1f4d78"/>
          <w:rtl w:val="0"/>
        </w:rPr>
        <w:t xml:space="preserve">Evidované údaje o subjektoch evidencie v Generickom registri RPO</w:t>
      </w:r>
    </w:p>
    <w:p w:rsidR="00000000" w:rsidDel="00000000" w:rsidP="00000000" w:rsidRDefault="00000000" w:rsidRPr="00000000" w14:paraId="0000033C">
      <w:pPr>
        <w:widowControl w:val="0"/>
        <w:spacing w:after="200" w:line="276" w:lineRule="auto"/>
        <w:jc w:val="both"/>
        <w:rPr>
          <w:sz w:val="22"/>
          <w:szCs w:val="22"/>
        </w:rPr>
      </w:pPr>
      <w:r w:rsidDel="00000000" w:rsidR="00000000" w:rsidRPr="00000000">
        <w:rPr>
          <w:sz w:val="22"/>
          <w:szCs w:val="22"/>
          <w:rtl w:val="0"/>
        </w:rPr>
        <w:t xml:space="preserve">Údaje evidované v zdrojových registroch sú definované rozsahom údajov uvádzaných v Jadro RPO. V niektorých prípadoch je možnosť evidencie aj špecifických údajov na základe požiadaviek zdrojového registra.</w:t>
      </w:r>
    </w:p>
    <w:p w:rsidR="00000000" w:rsidDel="00000000" w:rsidP="00000000" w:rsidRDefault="00000000" w:rsidRPr="00000000" w14:paraId="0000033D">
      <w:pPr>
        <w:keepNext w:val="1"/>
        <w:keepLines w:val="1"/>
        <w:widowControl w:val="0"/>
        <w:spacing w:before="40" w:line="276" w:lineRule="auto"/>
        <w:jc w:val="both"/>
        <w:rPr>
          <w:rFonts w:ascii="Calibri" w:cs="Calibri" w:eastAsia="Calibri" w:hAnsi="Calibri"/>
          <w:color w:val="1f4d78"/>
        </w:rPr>
      </w:pPr>
      <w:bookmarkStart w:colFirst="0" w:colLast="0" w:name="_heading=h.1egqt2p" w:id="57"/>
      <w:bookmarkEnd w:id="57"/>
      <w:r w:rsidDel="00000000" w:rsidR="00000000" w:rsidRPr="00000000">
        <w:rPr>
          <w:rFonts w:ascii="Calibri" w:cs="Calibri" w:eastAsia="Calibri" w:hAnsi="Calibri"/>
          <w:color w:val="1f4d78"/>
          <w:rtl w:val="0"/>
        </w:rPr>
        <w:t xml:space="preserve">Analýza údajov Generického registra RPO</w:t>
      </w:r>
    </w:p>
    <w:p w:rsidR="00000000" w:rsidDel="00000000" w:rsidP="00000000" w:rsidRDefault="00000000" w:rsidRPr="00000000" w14:paraId="0000033E">
      <w:pPr>
        <w:widowControl w:val="0"/>
        <w:spacing w:after="200" w:line="276" w:lineRule="auto"/>
        <w:jc w:val="both"/>
        <w:rPr>
          <w:sz w:val="22"/>
          <w:szCs w:val="22"/>
        </w:rPr>
      </w:pPr>
      <w:r w:rsidDel="00000000" w:rsidR="00000000" w:rsidRPr="00000000">
        <w:rPr>
          <w:sz w:val="22"/>
          <w:szCs w:val="22"/>
          <w:rtl w:val="0"/>
        </w:rPr>
        <w:t xml:space="preserve">Generický register RPO poskytuje funkcionalitu na nasledovné typy analýz:</w:t>
      </w:r>
    </w:p>
    <w:p w:rsidR="00000000" w:rsidDel="00000000" w:rsidP="00000000" w:rsidRDefault="00000000" w:rsidRPr="00000000" w14:paraId="0000033F">
      <w:pPr>
        <w:widowControl w:val="0"/>
        <w:numPr>
          <w:ilvl w:val="0"/>
          <w:numId w:val="19"/>
        </w:numPr>
        <w:spacing w:after="0" w:line="276" w:lineRule="auto"/>
        <w:ind w:left="426" w:hanging="360"/>
        <w:jc w:val="both"/>
        <w:rPr>
          <w:sz w:val="22"/>
          <w:szCs w:val="22"/>
        </w:rPr>
      </w:pPr>
      <w:r w:rsidDel="00000000" w:rsidR="00000000" w:rsidRPr="00000000">
        <w:rPr>
          <w:sz w:val="22"/>
          <w:szCs w:val="22"/>
          <w:rtl w:val="0"/>
        </w:rPr>
        <w:t xml:space="preserve">štatistika počtu evidovaných subjektov v zdrojovom registri,</w:t>
      </w:r>
    </w:p>
    <w:p w:rsidR="00000000" w:rsidDel="00000000" w:rsidP="00000000" w:rsidRDefault="00000000" w:rsidRPr="00000000" w14:paraId="00000340">
      <w:pPr>
        <w:widowControl w:val="0"/>
        <w:numPr>
          <w:ilvl w:val="0"/>
          <w:numId w:val="19"/>
        </w:numPr>
        <w:spacing w:after="0" w:line="276" w:lineRule="auto"/>
        <w:ind w:left="426" w:hanging="360"/>
        <w:jc w:val="both"/>
        <w:rPr>
          <w:sz w:val="22"/>
          <w:szCs w:val="22"/>
        </w:rPr>
      </w:pPr>
      <w:r w:rsidDel="00000000" w:rsidR="00000000" w:rsidRPr="00000000">
        <w:rPr>
          <w:sz w:val="22"/>
          <w:szCs w:val="22"/>
          <w:rtl w:val="0"/>
        </w:rPr>
        <w:t xml:space="preserve">štatistika evidovaných záznamov (nový, zmena, vymazaný, čítanie) v zdrojovom registri,</w:t>
      </w:r>
    </w:p>
    <w:p w:rsidR="00000000" w:rsidDel="00000000" w:rsidP="00000000" w:rsidRDefault="00000000" w:rsidRPr="00000000" w14:paraId="00000341">
      <w:pPr>
        <w:widowControl w:val="0"/>
        <w:numPr>
          <w:ilvl w:val="0"/>
          <w:numId w:val="19"/>
        </w:numPr>
        <w:spacing w:after="0" w:line="276" w:lineRule="auto"/>
        <w:ind w:left="426" w:hanging="360"/>
        <w:jc w:val="both"/>
        <w:rPr>
          <w:sz w:val="22"/>
          <w:szCs w:val="22"/>
        </w:rPr>
      </w:pPr>
      <w:r w:rsidDel="00000000" w:rsidR="00000000" w:rsidRPr="00000000">
        <w:rPr>
          <w:sz w:val="22"/>
          <w:szCs w:val="22"/>
          <w:rtl w:val="0"/>
        </w:rPr>
        <w:t xml:space="preserve">štatistika počtu používateľov - registrátorov v zdrojovom registri,</w:t>
      </w:r>
    </w:p>
    <w:p w:rsidR="00000000" w:rsidDel="00000000" w:rsidP="00000000" w:rsidRDefault="00000000" w:rsidRPr="00000000" w14:paraId="00000342">
      <w:pPr>
        <w:widowControl w:val="0"/>
        <w:numPr>
          <w:ilvl w:val="0"/>
          <w:numId w:val="19"/>
        </w:numPr>
        <w:spacing w:after="0" w:line="276" w:lineRule="auto"/>
        <w:ind w:left="426" w:hanging="360"/>
        <w:jc w:val="both"/>
        <w:rPr>
          <w:sz w:val="22"/>
          <w:szCs w:val="22"/>
        </w:rPr>
      </w:pPr>
      <w:r w:rsidDel="00000000" w:rsidR="00000000" w:rsidRPr="00000000">
        <w:rPr>
          <w:sz w:val="22"/>
          <w:szCs w:val="22"/>
          <w:rtl w:val="0"/>
        </w:rPr>
        <w:t xml:space="preserve">štatistika  aktivít používateľov zdrojového registra,</w:t>
      </w:r>
    </w:p>
    <w:p w:rsidR="00000000" w:rsidDel="00000000" w:rsidP="00000000" w:rsidRDefault="00000000" w:rsidRPr="00000000" w14:paraId="00000343">
      <w:pPr>
        <w:widowControl w:val="0"/>
        <w:numPr>
          <w:ilvl w:val="0"/>
          <w:numId w:val="19"/>
        </w:numPr>
        <w:spacing w:after="0" w:line="276" w:lineRule="auto"/>
        <w:ind w:left="426" w:hanging="360"/>
        <w:jc w:val="both"/>
        <w:rPr>
          <w:sz w:val="22"/>
          <w:szCs w:val="22"/>
        </w:rPr>
      </w:pPr>
      <w:r w:rsidDel="00000000" w:rsidR="00000000" w:rsidRPr="00000000">
        <w:rPr>
          <w:sz w:val="22"/>
          <w:szCs w:val="22"/>
          <w:rtl w:val="0"/>
        </w:rPr>
        <w:t xml:space="preserve">audit aktivít registrátorov zdrojového registra.</w:t>
      </w:r>
    </w:p>
    <w:p w:rsidR="00000000" w:rsidDel="00000000" w:rsidP="00000000" w:rsidRDefault="00000000" w:rsidRPr="00000000" w14:paraId="00000344">
      <w:pPr>
        <w:widowControl w:val="0"/>
        <w:spacing w:after="200" w:line="276" w:lineRule="auto"/>
        <w:jc w:val="both"/>
        <w:rPr>
          <w:sz w:val="22"/>
          <w:szCs w:val="22"/>
        </w:rPr>
      </w:pPr>
      <w:r w:rsidDel="00000000" w:rsidR="00000000" w:rsidRPr="00000000">
        <w:rPr>
          <w:rtl w:val="0"/>
        </w:rPr>
      </w:r>
    </w:p>
    <w:p w:rsidR="00000000" w:rsidDel="00000000" w:rsidP="00000000" w:rsidRDefault="00000000" w:rsidRPr="00000000" w14:paraId="00000345">
      <w:pPr>
        <w:keepNext w:val="1"/>
        <w:keepLines w:val="1"/>
        <w:widowControl w:val="0"/>
        <w:spacing w:before="40" w:line="276" w:lineRule="auto"/>
        <w:jc w:val="both"/>
        <w:rPr>
          <w:rFonts w:ascii="Calibri" w:cs="Calibri" w:eastAsia="Calibri" w:hAnsi="Calibri"/>
          <w:color w:val="2e74b5"/>
          <w:sz w:val="26"/>
          <w:szCs w:val="26"/>
        </w:rPr>
      </w:pPr>
      <w:bookmarkStart w:colFirst="0" w:colLast="0" w:name="_heading=h.3ygebqi" w:id="58"/>
      <w:bookmarkEnd w:id="58"/>
      <w:r w:rsidDel="00000000" w:rsidR="00000000" w:rsidRPr="00000000">
        <w:rPr>
          <w:rFonts w:ascii="Calibri" w:cs="Calibri" w:eastAsia="Calibri" w:hAnsi="Calibri"/>
          <w:color w:val="2e74b5"/>
          <w:sz w:val="26"/>
          <w:szCs w:val="26"/>
          <w:rtl w:val="0"/>
        </w:rPr>
        <w:t xml:space="preserve">Generátor IPO</w:t>
      </w:r>
    </w:p>
    <w:p w:rsidR="00000000" w:rsidDel="00000000" w:rsidP="00000000" w:rsidRDefault="00000000" w:rsidRPr="00000000" w14:paraId="00000346">
      <w:pPr>
        <w:widowControl w:val="0"/>
        <w:spacing w:after="200" w:line="276" w:lineRule="auto"/>
        <w:jc w:val="both"/>
        <w:rPr>
          <w:sz w:val="22"/>
          <w:szCs w:val="22"/>
        </w:rPr>
      </w:pPr>
      <w:r w:rsidDel="00000000" w:rsidR="00000000" w:rsidRPr="00000000">
        <w:rPr>
          <w:sz w:val="22"/>
          <w:szCs w:val="22"/>
          <w:rtl w:val="0"/>
        </w:rPr>
        <w:t xml:space="preserve">Modul Generátor IPO poskytuje ostatným systémom rozhranie na pridelenie  IČO. Žiadosť o pridelenie IPO musí obsahovať identifikačné údaje právnickej osoby pre ktorú je potrebné IPO vygenerovať. Na základe identifikačných údajov, ktoré sú odoslané na rozhranie generátora IPO sa vykoná automatizované overenie existencie IPO. </w:t>
      </w:r>
    </w:p>
    <w:p w:rsidR="00000000" w:rsidDel="00000000" w:rsidP="00000000" w:rsidRDefault="00000000" w:rsidRPr="00000000" w14:paraId="00000347">
      <w:pPr>
        <w:widowControl w:val="0"/>
        <w:spacing w:after="200" w:line="276" w:lineRule="auto"/>
        <w:jc w:val="both"/>
        <w:rPr>
          <w:sz w:val="22"/>
          <w:szCs w:val="22"/>
        </w:rPr>
      </w:pPr>
      <w:r w:rsidDel="00000000" w:rsidR="00000000" w:rsidRPr="00000000">
        <w:rPr>
          <w:sz w:val="22"/>
          <w:szCs w:val="22"/>
          <w:rtl w:val="0"/>
        </w:rPr>
        <w:t xml:space="preserve">Spôsob generovania IPO je rovnaký ako spôsob generovania IČO. To znamená, že IPO pozostáva z </w:t>
      </w:r>
    </w:p>
    <w:p w:rsidR="00000000" w:rsidDel="00000000" w:rsidP="00000000" w:rsidRDefault="00000000" w:rsidRPr="00000000" w14:paraId="00000348">
      <w:pPr>
        <w:widowControl w:val="0"/>
        <w:numPr>
          <w:ilvl w:val="1"/>
          <w:numId w:val="18"/>
        </w:numPr>
        <w:spacing w:after="0" w:line="276" w:lineRule="auto"/>
        <w:ind w:left="426" w:hanging="360"/>
        <w:jc w:val="both"/>
        <w:rPr>
          <w:sz w:val="22"/>
          <w:szCs w:val="22"/>
        </w:rPr>
      </w:pPr>
      <w:r w:rsidDel="00000000" w:rsidR="00000000" w:rsidRPr="00000000">
        <w:rPr>
          <w:sz w:val="22"/>
          <w:szCs w:val="22"/>
          <w:rtl w:val="0"/>
        </w:rPr>
        <w:t xml:space="preserve">čísla subjektu – 7 numerických znakov,</w:t>
      </w:r>
    </w:p>
    <w:p w:rsidR="00000000" w:rsidDel="00000000" w:rsidP="00000000" w:rsidRDefault="00000000" w:rsidRPr="00000000" w14:paraId="00000349">
      <w:pPr>
        <w:widowControl w:val="0"/>
        <w:numPr>
          <w:ilvl w:val="1"/>
          <w:numId w:val="18"/>
        </w:numPr>
        <w:spacing w:after="0" w:line="276" w:lineRule="auto"/>
        <w:ind w:left="426" w:hanging="360"/>
        <w:jc w:val="both"/>
        <w:rPr>
          <w:sz w:val="22"/>
          <w:szCs w:val="22"/>
        </w:rPr>
      </w:pPr>
      <w:r w:rsidDel="00000000" w:rsidR="00000000" w:rsidRPr="00000000">
        <w:rPr>
          <w:sz w:val="22"/>
          <w:szCs w:val="22"/>
          <w:rtl w:val="0"/>
        </w:rPr>
        <w:t xml:space="preserve">kontrolného čísla – 1 numerický znak, </w:t>
      </w:r>
    </w:p>
    <w:p w:rsidR="00000000" w:rsidDel="00000000" w:rsidP="00000000" w:rsidRDefault="00000000" w:rsidRPr="00000000" w14:paraId="0000034A">
      <w:pPr>
        <w:widowControl w:val="0"/>
        <w:spacing w:after="200" w:line="276" w:lineRule="auto"/>
        <w:jc w:val="both"/>
        <w:rPr>
          <w:sz w:val="22"/>
          <w:szCs w:val="22"/>
        </w:rPr>
      </w:pPr>
      <w:r w:rsidDel="00000000" w:rsidR="00000000" w:rsidRPr="00000000">
        <w:rPr>
          <w:sz w:val="22"/>
          <w:szCs w:val="22"/>
          <w:rtl w:val="0"/>
        </w:rPr>
        <w:t xml:space="preserve">Spôsob stanovenia kontrolného čísla je nasledovný:</w:t>
      </w:r>
    </w:p>
    <w:p w:rsidR="00000000" w:rsidDel="00000000" w:rsidP="00000000" w:rsidRDefault="00000000" w:rsidRPr="00000000" w14:paraId="0000034B">
      <w:pPr>
        <w:widowControl w:val="0"/>
        <w:numPr>
          <w:ilvl w:val="2"/>
          <w:numId w:val="18"/>
        </w:numPr>
        <w:spacing w:after="0" w:line="276" w:lineRule="auto"/>
        <w:ind w:left="364" w:hanging="360"/>
        <w:jc w:val="both"/>
        <w:rPr>
          <w:sz w:val="22"/>
          <w:szCs w:val="22"/>
        </w:rPr>
      </w:pPr>
      <w:r w:rsidDel="00000000" w:rsidR="00000000" w:rsidRPr="00000000">
        <w:rPr>
          <w:sz w:val="22"/>
          <w:szCs w:val="22"/>
          <w:rtl w:val="0"/>
        </w:rPr>
        <w:t xml:space="preserve">prvá až siedma číslica sa vynásobí číslami 8, 7, 6, 5, 4, 3, 2,</w:t>
      </w:r>
    </w:p>
    <w:p w:rsidR="00000000" w:rsidDel="00000000" w:rsidP="00000000" w:rsidRDefault="00000000" w:rsidRPr="00000000" w14:paraId="0000034C">
      <w:pPr>
        <w:widowControl w:val="0"/>
        <w:numPr>
          <w:ilvl w:val="2"/>
          <w:numId w:val="18"/>
        </w:numPr>
        <w:spacing w:after="0" w:line="276" w:lineRule="auto"/>
        <w:ind w:left="364" w:hanging="360"/>
        <w:jc w:val="both"/>
        <w:rPr>
          <w:sz w:val="22"/>
          <w:szCs w:val="22"/>
        </w:rPr>
      </w:pPr>
      <w:r w:rsidDel="00000000" w:rsidR="00000000" w:rsidRPr="00000000">
        <w:rPr>
          <w:sz w:val="22"/>
          <w:szCs w:val="22"/>
          <w:rtl w:val="0"/>
        </w:rPr>
        <w:t xml:space="preserve">jednotlivé súčiny sa spočítajú, </w:t>
      </w:r>
    </w:p>
    <w:p w:rsidR="00000000" w:rsidDel="00000000" w:rsidP="00000000" w:rsidRDefault="00000000" w:rsidRPr="00000000" w14:paraId="0000034D">
      <w:pPr>
        <w:widowControl w:val="0"/>
        <w:numPr>
          <w:ilvl w:val="2"/>
          <w:numId w:val="18"/>
        </w:numPr>
        <w:spacing w:after="0" w:line="276" w:lineRule="auto"/>
        <w:ind w:left="364" w:hanging="360"/>
        <w:jc w:val="both"/>
        <w:rPr>
          <w:sz w:val="22"/>
          <w:szCs w:val="22"/>
        </w:rPr>
      </w:pPr>
      <w:r w:rsidDel="00000000" w:rsidR="00000000" w:rsidRPr="00000000">
        <w:rPr>
          <w:sz w:val="22"/>
          <w:szCs w:val="22"/>
          <w:rtl w:val="0"/>
        </w:rPr>
        <w:t xml:space="preserve">vypočíta sa zvyšok po delení získaného súčtu číslom 11,</w:t>
      </w:r>
    </w:p>
    <w:p w:rsidR="00000000" w:rsidDel="00000000" w:rsidP="00000000" w:rsidRDefault="00000000" w:rsidRPr="00000000" w14:paraId="0000034E">
      <w:pPr>
        <w:widowControl w:val="0"/>
        <w:numPr>
          <w:ilvl w:val="2"/>
          <w:numId w:val="18"/>
        </w:numPr>
        <w:spacing w:after="0" w:line="276" w:lineRule="auto"/>
        <w:ind w:left="364" w:hanging="360"/>
        <w:jc w:val="both"/>
        <w:rPr>
          <w:sz w:val="22"/>
          <w:szCs w:val="22"/>
        </w:rPr>
      </w:pPr>
      <w:r w:rsidDel="00000000" w:rsidR="00000000" w:rsidRPr="00000000">
        <w:rPr>
          <w:sz w:val="22"/>
          <w:szCs w:val="22"/>
          <w:rtl w:val="0"/>
        </w:rPr>
        <w:t xml:space="preserve">podľa vypočítaného zvyšku pre kontrolné číslo platí:</w:t>
      </w:r>
    </w:p>
    <w:p w:rsidR="00000000" w:rsidDel="00000000" w:rsidP="00000000" w:rsidRDefault="00000000" w:rsidRPr="00000000" w14:paraId="0000034F">
      <w:pPr>
        <w:widowControl w:val="0"/>
        <w:numPr>
          <w:ilvl w:val="0"/>
          <w:numId w:val="8"/>
        </w:numPr>
        <w:spacing w:after="0" w:line="276" w:lineRule="auto"/>
        <w:ind w:left="1080" w:hanging="720"/>
        <w:jc w:val="both"/>
        <w:rPr>
          <w:sz w:val="22"/>
          <w:szCs w:val="22"/>
        </w:rPr>
      </w:pPr>
      <w:r w:rsidDel="00000000" w:rsidR="00000000" w:rsidRPr="00000000">
        <w:rPr>
          <w:sz w:val="22"/>
          <w:szCs w:val="22"/>
          <w:rtl w:val="0"/>
        </w:rPr>
        <w:t xml:space="preserve">ak je zvyšok 0 potom je kontrolné číslo 1,</w:t>
      </w:r>
    </w:p>
    <w:p w:rsidR="00000000" w:rsidDel="00000000" w:rsidP="00000000" w:rsidRDefault="00000000" w:rsidRPr="00000000" w14:paraId="00000350">
      <w:pPr>
        <w:widowControl w:val="0"/>
        <w:numPr>
          <w:ilvl w:val="0"/>
          <w:numId w:val="8"/>
        </w:numPr>
        <w:spacing w:after="0" w:line="276" w:lineRule="auto"/>
        <w:ind w:left="1080" w:hanging="720"/>
        <w:jc w:val="both"/>
        <w:rPr>
          <w:sz w:val="22"/>
          <w:szCs w:val="22"/>
        </w:rPr>
      </w:pPr>
      <w:r w:rsidDel="00000000" w:rsidR="00000000" w:rsidRPr="00000000">
        <w:rPr>
          <w:sz w:val="22"/>
          <w:szCs w:val="22"/>
          <w:rtl w:val="0"/>
        </w:rPr>
        <w:t xml:space="preserve">ak je zvyšok 1 potom je kontrolné číslo 0,</w:t>
      </w:r>
    </w:p>
    <w:p w:rsidR="00000000" w:rsidDel="00000000" w:rsidP="00000000" w:rsidRDefault="00000000" w:rsidRPr="00000000" w14:paraId="00000351">
      <w:pPr>
        <w:widowControl w:val="0"/>
        <w:numPr>
          <w:ilvl w:val="0"/>
          <w:numId w:val="8"/>
        </w:numPr>
        <w:spacing w:after="0" w:line="276" w:lineRule="auto"/>
        <w:ind w:left="1080" w:hanging="720"/>
        <w:jc w:val="both"/>
        <w:rPr>
          <w:sz w:val="22"/>
          <w:szCs w:val="22"/>
        </w:rPr>
      </w:pPr>
      <w:r w:rsidDel="00000000" w:rsidR="00000000" w:rsidRPr="00000000">
        <w:rPr>
          <w:sz w:val="22"/>
          <w:szCs w:val="22"/>
          <w:rtl w:val="0"/>
        </w:rPr>
        <w:t xml:space="preserve">v ostatných prípadoch je kontrolné číslo rovné rozdielu čísla 11 a zvyšku.</w:t>
      </w:r>
    </w:p>
    <w:p w:rsidR="00000000" w:rsidDel="00000000" w:rsidP="00000000" w:rsidRDefault="00000000" w:rsidRPr="00000000" w14:paraId="00000352">
      <w:pPr>
        <w:widowControl w:val="0"/>
        <w:spacing w:after="0" w:line="276" w:lineRule="auto"/>
        <w:ind w:left="1080" w:firstLine="0"/>
        <w:jc w:val="both"/>
        <w:rPr>
          <w:sz w:val="22"/>
          <w:szCs w:val="22"/>
        </w:rPr>
      </w:pPr>
      <w:r w:rsidDel="00000000" w:rsidR="00000000" w:rsidRPr="00000000">
        <w:rPr>
          <w:rtl w:val="0"/>
        </w:rPr>
      </w:r>
    </w:p>
    <w:p w:rsidR="00000000" w:rsidDel="00000000" w:rsidP="00000000" w:rsidRDefault="00000000" w:rsidRPr="00000000" w14:paraId="00000353">
      <w:pPr>
        <w:widowControl w:val="0"/>
        <w:numPr>
          <w:ilvl w:val="1"/>
          <w:numId w:val="18"/>
        </w:numPr>
        <w:spacing w:after="0" w:line="276" w:lineRule="auto"/>
        <w:ind w:left="426" w:hanging="360"/>
        <w:jc w:val="both"/>
        <w:rPr>
          <w:sz w:val="22"/>
          <w:szCs w:val="22"/>
        </w:rPr>
      </w:pPr>
      <w:r w:rsidDel="00000000" w:rsidR="00000000" w:rsidRPr="00000000">
        <w:rPr>
          <w:sz w:val="22"/>
          <w:szCs w:val="22"/>
          <w:rtl w:val="0"/>
        </w:rPr>
        <w:t xml:space="preserve">rozšírenia IPO (voliteľne) – 4 numerické znaky.</w:t>
      </w:r>
    </w:p>
    <w:p w:rsidR="00000000" w:rsidDel="00000000" w:rsidP="00000000" w:rsidRDefault="00000000" w:rsidRPr="00000000" w14:paraId="00000354">
      <w:pPr>
        <w:widowControl w:val="0"/>
        <w:spacing w:after="200" w:line="276" w:lineRule="auto"/>
        <w:jc w:val="both"/>
        <w:rPr>
          <w:sz w:val="22"/>
          <w:szCs w:val="22"/>
        </w:rPr>
      </w:pPr>
      <w:r w:rsidDel="00000000" w:rsidR="00000000" w:rsidRPr="00000000">
        <w:rPr>
          <w:sz w:val="22"/>
          <w:szCs w:val="22"/>
          <w:rtl w:val="0"/>
        </w:rPr>
        <w:t xml:space="preserve">Rozšírenie IPO sa bude prideľovať len subjektom s odvodenou právnou subjektivitou, pričom takýmto subjektom bude pridelené číslo ich materskej spoločnosti (a z dôvodu spôsobu stanovania kontrolného čísla, bude tento tiež rovnaký ako pre materskú spoločnosť).</w:t>
      </w:r>
    </w:p>
    <w:p w:rsidR="00000000" w:rsidDel="00000000" w:rsidP="00000000" w:rsidRDefault="00000000" w:rsidRPr="00000000" w14:paraId="00000355">
      <w:pPr>
        <w:widowControl w:val="0"/>
        <w:spacing w:after="200" w:line="276" w:lineRule="auto"/>
        <w:jc w:val="both"/>
        <w:rPr>
          <w:sz w:val="22"/>
          <w:szCs w:val="22"/>
        </w:rPr>
      </w:pPr>
      <w:r w:rsidDel="00000000" w:rsidR="00000000" w:rsidRPr="00000000">
        <w:rPr>
          <w:sz w:val="22"/>
          <w:szCs w:val="22"/>
          <w:rtl w:val="0"/>
        </w:rPr>
        <w:t xml:space="preserve">Aby bola dosiahnutá stanovená dĺžka IČO (8 číslic), v prípade potreby je doplnené zľava príslušným počtom číslic nula. </w:t>
      </w:r>
    </w:p>
    <w:p w:rsidR="00000000" w:rsidDel="00000000" w:rsidP="00000000" w:rsidRDefault="00000000" w:rsidRPr="00000000" w14:paraId="00000356">
      <w:pPr>
        <w:widowControl w:val="0"/>
        <w:spacing w:after="200" w:line="276" w:lineRule="auto"/>
        <w:jc w:val="both"/>
        <w:rPr>
          <w:sz w:val="22"/>
          <w:szCs w:val="22"/>
        </w:rPr>
      </w:pPr>
      <w:r w:rsidDel="00000000" w:rsidR="00000000" w:rsidRPr="00000000">
        <w:rPr>
          <w:sz w:val="22"/>
          <w:szCs w:val="22"/>
          <w:rtl w:val="0"/>
        </w:rPr>
        <w:t xml:space="preserve">Dôsledkom tohto prístupu bude existencia dvoch formátov IPO: </w:t>
      </w:r>
    </w:p>
    <w:p w:rsidR="00000000" w:rsidDel="00000000" w:rsidP="00000000" w:rsidRDefault="00000000" w:rsidRPr="00000000" w14:paraId="00000357">
      <w:pPr>
        <w:widowControl w:val="0"/>
        <w:numPr>
          <w:ilvl w:val="1"/>
          <w:numId w:val="18"/>
        </w:numPr>
        <w:spacing w:after="0" w:line="276" w:lineRule="auto"/>
        <w:ind w:left="426" w:hanging="360"/>
        <w:jc w:val="both"/>
        <w:rPr>
          <w:sz w:val="22"/>
          <w:szCs w:val="22"/>
        </w:rPr>
      </w:pPr>
      <w:r w:rsidDel="00000000" w:rsidR="00000000" w:rsidRPr="00000000">
        <w:rPr>
          <w:sz w:val="22"/>
          <w:szCs w:val="22"/>
          <w:rtl w:val="0"/>
        </w:rPr>
        <w:t xml:space="preserve">IPO s dĺžkou 8 znakov – pre subjekty s originálnou právnou subjektivitou,</w:t>
      </w:r>
    </w:p>
    <w:p w:rsidR="00000000" w:rsidDel="00000000" w:rsidP="00000000" w:rsidRDefault="00000000" w:rsidRPr="00000000" w14:paraId="00000358">
      <w:pPr>
        <w:widowControl w:val="0"/>
        <w:numPr>
          <w:ilvl w:val="1"/>
          <w:numId w:val="18"/>
        </w:numPr>
        <w:spacing w:after="0" w:line="276" w:lineRule="auto"/>
        <w:ind w:left="426" w:hanging="360"/>
        <w:jc w:val="both"/>
        <w:rPr>
          <w:sz w:val="22"/>
          <w:szCs w:val="22"/>
        </w:rPr>
      </w:pPr>
      <w:r w:rsidDel="00000000" w:rsidR="00000000" w:rsidRPr="00000000">
        <w:rPr>
          <w:sz w:val="22"/>
          <w:szCs w:val="22"/>
          <w:rtl w:val="0"/>
        </w:rPr>
        <w:t xml:space="preserve">IPO s dĺžkou 12 znakov – pre subjekty s odvodenou právnou subjektivitou.</w:t>
      </w:r>
    </w:p>
    <w:p w:rsidR="00000000" w:rsidDel="00000000" w:rsidP="00000000" w:rsidRDefault="00000000" w:rsidRPr="00000000" w14:paraId="00000359">
      <w:pPr>
        <w:spacing w:after="200" w:line="276" w:lineRule="auto"/>
        <w:rPr>
          <w:b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35A">
      <w:pPr>
        <w:keepNext w:val="1"/>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240" w:line="252.00000000000003" w:lineRule="auto"/>
        <w:ind w:left="567" w:right="0" w:hanging="567"/>
        <w:jc w:val="both"/>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Služby údržby a podpory prevádzky</w:t>
      </w:r>
    </w:p>
    <w:p w:rsidR="00000000" w:rsidDel="00000000" w:rsidP="00000000" w:rsidRDefault="00000000" w:rsidRPr="00000000" w14:paraId="0000035B">
      <w:pPr>
        <w:keepNext w:val="0"/>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60" w:before="120" w:line="252.00000000000003" w:lineRule="auto"/>
        <w:ind w:left="851" w:right="0" w:hanging="851"/>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Služby Service desku a Callcentra</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Služby Service desku a Callcentra. Callcentrum prijíma žiadosti od definovaných užívateľov (ďalej kontaktná osoba), je prostriedkom na stručné poradenstvo a konzultácie prostredníctvom telefonátov a správ elektronickej pošty vo vzťahu k problémom, ku ktorým došlo počas prevádzky aplikácií. Požadovaná prevádzka Service desku a Callcentra je 24x7x365.</w:t>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Hlásenie incidentov a zadávanie požiadaviek od definovaných užívateľov (ďalej kontaktná osoba) na činnosti poskytované Poskytovateľom je realizované prostredníctvom aplikácie Service desku Poskytovateľa. </w:t>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Priority riešenia jednotlivých incidentov:</w:t>
      </w:r>
      <w:r w:rsidDel="00000000" w:rsidR="00000000" w:rsidRPr="00000000">
        <w:rPr>
          <w:rtl w:val="0"/>
        </w:rPr>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B1 (Bezpečnostný incident): akýkoľvek spôsob narušenia bezpečnosti Registra a identifikátora právnických osôb a podnikateľov, ako aj akákoľvek bezpečnostná udalosť (udalosť, ktorá bezprostredne ohrozila aktívum alebo činnosť verejného obstarávateľa), akékoľvek porušenie bezpečnostnej politiky verejného obstarávateľa a pravidiel súvisiacich s bezpečnosťou informačných systémov verejnej správy. Bezpečnostný incident môže i nemusí prebiehať súčasne s Bežným prevádzkovým incidentom alebo Kritickým prevádzkovým incidentom. Pokiaľ nie je stanovené inak, platia pre povinnosti úspešného uchádzača pri riešení Bezpečnostného incidentu ustanovenia o Kritickom prevádzkovom incidente.</w:t>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P1 (Kritický prevádzkový incident): incident, ktorý sa prejavuje výpadkom systému ako celku, pri ktorom nie je možné použiť ani jednu jeho časť, alebo výpadkom časti systému, ktorá obmedzuje použitie systému v podstatnom rozsahu. Za Kritický prevádzkový incident sa považuje incident, ktorý sa prejavuje plošne voči aspoň 20 % interným a externým používateľom systému, je vyvolávaný opakovane alebo má trvalý charakter, a/alebo spôsobuje nepoužiteľnosť celého systému na stanovený účel. Na tejto úrovni možno eskalovať chyby len Produkčného systému.</w:t>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P2 (Bežný prevádzkový incident): incident, ktorý sa prejavuje výpadkom fungovania jednotlivých častí systému alebo ich funkčnosti, pričom neobmedzuje použitie systému ako celku alebo jeho podstatných častí. Za Bežný prevádzkový incident sa považujú aj všetky ostatné incidenty, ktoré nespĺňajú definíciu Kritického prevádzkového incidentu. Na tejto úrovni možno eskalovať chyby len Produkčného systému.</w:t>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P3 (Nekritický prevádzkový incident): systém vykazuje jednoduché chyby, ktoré nenarúšajú funkčnosť systému, resp. jeho aplikácií a spôsobujú obmedzenú, spomalenú, alebo inak degradovanú funkcionalitu. Je to každá chyba, ktorá nie je chybou úrovne B1, P1 a P2. Sem patria aj chyby, ktoré sa vyskytujú náhodne. Na tejto úrovni možno eskalovať chyby Produkčného a Testovacieho systému.</w:t>
      </w:r>
    </w:p>
    <w:p w:rsidR="00000000" w:rsidDel="00000000" w:rsidP="00000000" w:rsidRDefault="00000000" w:rsidRPr="00000000" w14:paraId="00000363">
      <w:pPr>
        <w:keepNext w:val="1"/>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60" w:before="120" w:line="252.00000000000003" w:lineRule="auto"/>
        <w:ind w:left="851" w:right="0" w:hanging="851"/>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Služby údržby aplikačného softvéru pre produkčný, integračný a testovací systém </w:t>
      </w:r>
    </w:p>
    <w:p w:rsidR="00000000" w:rsidDel="00000000" w:rsidP="00000000" w:rsidRDefault="00000000" w:rsidRPr="00000000" w14:paraId="00000364">
      <w:pPr>
        <w:spacing w:after="60" w:before="60" w:line="252.00000000000003" w:lineRule="auto"/>
        <w:jc w:val="both"/>
        <w:rPr>
          <w:sz w:val="22"/>
          <w:szCs w:val="22"/>
        </w:rPr>
      </w:pPr>
      <w:r w:rsidDel="00000000" w:rsidR="00000000" w:rsidRPr="00000000">
        <w:rPr>
          <w:sz w:val="22"/>
          <w:szCs w:val="22"/>
          <w:rtl w:val="0"/>
        </w:rPr>
        <w:t xml:space="preserve">Účelom služieb údržby Aplikačného softvéru je zabezpečenie garantovanej spoľahlivosti a dostupnosti dodávaného riešenia poskytovateľom prostredníctvom pravidelnej údržby. V rámci týchto služieb bude poskytovateľ zabezpečovať tieto činnosti: Činnosti predpísanej, preventívnej a periodickej údržby činností definovaných dokumentáciou Aplikácií:</w:t>
      </w:r>
    </w:p>
    <w:p w:rsidR="00000000" w:rsidDel="00000000" w:rsidP="00000000" w:rsidRDefault="00000000" w:rsidRPr="00000000" w14:paraId="00000365">
      <w:pPr>
        <w:widowControl w:val="0"/>
        <w:numPr>
          <w:ilvl w:val="0"/>
          <w:numId w:val="11"/>
        </w:numPr>
        <w:spacing w:after="0" w:before="60" w:line="276" w:lineRule="auto"/>
        <w:ind w:left="1364" w:hanging="360"/>
        <w:jc w:val="both"/>
        <w:rPr>
          <w:sz w:val="22"/>
          <w:szCs w:val="22"/>
        </w:rPr>
      </w:pPr>
      <w:r w:rsidDel="00000000" w:rsidR="00000000" w:rsidRPr="00000000">
        <w:rPr>
          <w:sz w:val="22"/>
          <w:szCs w:val="22"/>
          <w:rtl w:val="0"/>
        </w:rPr>
        <w:t xml:space="preserve">Činnosti predpísanej, preventívnej a periodickej údržby činností definovaných dokumentáciou Aplikácií:</w:t>
      </w:r>
    </w:p>
    <w:p w:rsidR="00000000" w:rsidDel="00000000" w:rsidP="00000000" w:rsidRDefault="00000000" w:rsidRPr="00000000" w14:paraId="00000366">
      <w:pPr>
        <w:widowControl w:val="0"/>
        <w:numPr>
          <w:ilvl w:val="2"/>
          <w:numId w:val="9"/>
        </w:numPr>
        <w:spacing w:after="0" w:before="0" w:line="276" w:lineRule="auto"/>
        <w:ind w:left="2084" w:hanging="180"/>
        <w:jc w:val="both"/>
        <w:rPr>
          <w:sz w:val="22"/>
          <w:szCs w:val="22"/>
        </w:rPr>
      </w:pPr>
      <w:r w:rsidDel="00000000" w:rsidR="00000000" w:rsidRPr="00000000">
        <w:rPr>
          <w:sz w:val="22"/>
          <w:szCs w:val="22"/>
          <w:rtl w:val="0"/>
        </w:rPr>
        <w:t xml:space="preserve">Kontrola konzistencie konfigurácie systému RPO a konzistencie databáz RPO,</w:t>
      </w:r>
    </w:p>
    <w:p w:rsidR="00000000" w:rsidDel="00000000" w:rsidP="00000000" w:rsidRDefault="00000000" w:rsidRPr="00000000" w14:paraId="00000367">
      <w:pPr>
        <w:widowControl w:val="0"/>
        <w:numPr>
          <w:ilvl w:val="2"/>
          <w:numId w:val="9"/>
        </w:numPr>
        <w:spacing w:after="0" w:before="0" w:line="276" w:lineRule="auto"/>
        <w:ind w:left="2084" w:hanging="180"/>
        <w:jc w:val="both"/>
        <w:rPr>
          <w:sz w:val="22"/>
          <w:szCs w:val="22"/>
        </w:rPr>
      </w:pPr>
      <w:r w:rsidDel="00000000" w:rsidR="00000000" w:rsidRPr="00000000">
        <w:rPr>
          <w:sz w:val="22"/>
          <w:szCs w:val="22"/>
          <w:rtl w:val="0"/>
        </w:rPr>
        <w:t xml:space="preserve">Identifikácia potenciálnych rizík ohrozujúcich funkcionalitu, dostupnosť a prevádzku systému RPO spôsobujúcich výpadky systému, resp. obmedzenia funkcionality a dostupnosti systému,</w:t>
      </w:r>
    </w:p>
    <w:p w:rsidR="00000000" w:rsidDel="00000000" w:rsidP="00000000" w:rsidRDefault="00000000" w:rsidRPr="00000000" w14:paraId="00000368">
      <w:pPr>
        <w:widowControl w:val="0"/>
        <w:numPr>
          <w:ilvl w:val="0"/>
          <w:numId w:val="11"/>
        </w:numPr>
        <w:spacing w:after="0" w:before="0" w:line="276" w:lineRule="auto"/>
        <w:ind w:left="1364" w:hanging="360"/>
        <w:jc w:val="both"/>
        <w:rPr>
          <w:sz w:val="22"/>
          <w:szCs w:val="22"/>
        </w:rPr>
      </w:pPr>
      <w:r w:rsidDel="00000000" w:rsidR="00000000" w:rsidRPr="00000000">
        <w:rPr>
          <w:sz w:val="22"/>
          <w:szCs w:val="22"/>
          <w:rtl w:val="0"/>
        </w:rPr>
        <w:t xml:space="preserve">Činnosti preventívnej a periodickej údržby pozostávajúcej najmä z:</w:t>
      </w:r>
    </w:p>
    <w:p w:rsidR="00000000" w:rsidDel="00000000" w:rsidP="00000000" w:rsidRDefault="00000000" w:rsidRPr="00000000" w14:paraId="00000369">
      <w:pPr>
        <w:widowControl w:val="0"/>
        <w:numPr>
          <w:ilvl w:val="0"/>
          <w:numId w:val="13"/>
        </w:numPr>
        <w:spacing w:after="0" w:before="0" w:line="276" w:lineRule="auto"/>
        <w:ind w:left="2084" w:hanging="180"/>
        <w:jc w:val="both"/>
        <w:rPr>
          <w:sz w:val="22"/>
          <w:szCs w:val="22"/>
        </w:rPr>
      </w:pPr>
      <w:r w:rsidDel="00000000" w:rsidR="00000000" w:rsidRPr="00000000">
        <w:rPr>
          <w:sz w:val="22"/>
          <w:szCs w:val="22"/>
          <w:rtl w:val="0"/>
        </w:rPr>
        <w:t xml:space="preserve">Kompletná starostlivosť o aplikačné prostredie;</w:t>
      </w:r>
    </w:p>
    <w:p w:rsidR="00000000" w:rsidDel="00000000" w:rsidP="00000000" w:rsidRDefault="00000000" w:rsidRPr="00000000" w14:paraId="0000036A">
      <w:pPr>
        <w:widowControl w:val="0"/>
        <w:numPr>
          <w:ilvl w:val="0"/>
          <w:numId w:val="13"/>
        </w:numPr>
        <w:spacing w:after="0" w:before="0" w:line="276" w:lineRule="auto"/>
        <w:ind w:left="2084" w:hanging="180"/>
        <w:jc w:val="both"/>
        <w:rPr>
          <w:sz w:val="22"/>
          <w:szCs w:val="22"/>
        </w:rPr>
      </w:pPr>
      <w:r w:rsidDel="00000000" w:rsidR="00000000" w:rsidRPr="00000000">
        <w:rPr>
          <w:sz w:val="22"/>
          <w:szCs w:val="22"/>
          <w:rtl w:val="0"/>
        </w:rPr>
        <w:t xml:space="preserve">Zabezpečenie komunikácie kľúčových a koncových užívateľov s aplikačnými špecialistami poskytovateľa pri riešení otvorených otázok. chýb a problémov;</w:t>
      </w:r>
    </w:p>
    <w:p w:rsidR="00000000" w:rsidDel="00000000" w:rsidP="00000000" w:rsidRDefault="00000000" w:rsidRPr="00000000" w14:paraId="0000036B">
      <w:pPr>
        <w:widowControl w:val="0"/>
        <w:numPr>
          <w:ilvl w:val="0"/>
          <w:numId w:val="13"/>
        </w:numPr>
        <w:spacing w:after="0" w:before="0" w:line="276" w:lineRule="auto"/>
        <w:ind w:left="2084" w:hanging="180"/>
        <w:jc w:val="both"/>
        <w:rPr>
          <w:sz w:val="22"/>
          <w:szCs w:val="22"/>
        </w:rPr>
      </w:pPr>
      <w:r w:rsidDel="00000000" w:rsidR="00000000" w:rsidRPr="00000000">
        <w:rPr>
          <w:sz w:val="22"/>
          <w:szCs w:val="22"/>
          <w:rtl w:val="0"/>
        </w:rPr>
        <w:t xml:space="preserve">Spolupráca na testovaní a nasadzovaní nových verzií aplikácií, respektíve pri nevyhnutnej parametrizácii;</w:t>
      </w:r>
    </w:p>
    <w:p w:rsidR="00000000" w:rsidDel="00000000" w:rsidP="00000000" w:rsidRDefault="00000000" w:rsidRPr="00000000" w14:paraId="0000036C">
      <w:pPr>
        <w:widowControl w:val="0"/>
        <w:numPr>
          <w:ilvl w:val="0"/>
          <w:numId w:val="13"/>
        </w:numPr>
        <w:spacing w:after="0" w:before="0" w:line="276" w:lineRule="auto"/>
        <w:ind w:left="2084" w:hanging="180"/>
        <w:jc w:val="both"/>
        <w:rPr>
          <w:sz w:val="22"/>
          <w:szCs w:val="22"/>
        </w:rPr>
      </w:pPr>
      <w:r w:rsidDel="00000000" w:rsidR="00000000" w:rsidRPr="00000000">
        <w:rPr>
          <w:sz w:val="22"/>
          <w:szCs w:val="22"/>
          <w:rtl w:val="0"/>
        </w:rPr>
        <w:t xml:space="preserve">Zosúladenie požiadaviek bezpečnostnej politiky a aplikačných nastavení;</w:t>
      </w:r>
    </w:p>
    <w:p w:rsidR="00000000" w:rsidDel="00000000" w:rsidP="00000000" w:rsidRDefault="00000000" w:rsidRPr="00000000" w14:paraId="0000036D">
      <w:pPr>
        <w:widowControl w:val="0"/>
        <w:numPr>
          <w:ilvl w:val="0"/>
          <w:numId w:val="13"/>
        </w:numPr>
        <w:spacing w:after="0" w:before="0" w:line="276" w:lineRule="auto"/>
        <w:ind w:left="2084" w:hanging="180"/>
        <w:jc w:val="both"/>
        <w:rPr>
          <w:sz w:val="22"/>
          <w:szCs w:val="22"/>
        </w:rPr>
      </w:pPr>
      <w:r w:rsidDel="00000000" w:rsidR="00000000" w:rsidRPr="00000000">
        <w:rPr>
          <w:sz w:val="22"/>
          <w:szCs w:val="22"/>
          <w:rtl w:val="0"/>
        </w:rPr>
        <w:t xml:space="preserve">Správa dokumentácie – aplikačná, používateľská, administrátorská, prevádzková; </w:t>
      </w:r>
    </w:p>
    <w:p w:rsidR="00000000" w:rsidDel="00000000" w:rsidP="00000000" w:rsidRDefault="00000000" w:rsidRPr="00000000" w14:paraId="0000036E">
      <w:pPr>
        <w:widowControl w:val="0"/>
        <w:numPr>
          <w:ilvl w:val="0"/>
          <w:numId w:val="11"/>
        </w:numPr>
        <w:spacing w:after="0" w:before="0" w:line="276" w:lineRule="auto"/>
        <w:ind w:left="1364" w:hanging="360"/>
        <w:jc w:val="both"/>
        <w:rPr>
          <w:sz w:val="22"/>
          <w:szCs w:val="22"/>
        </w:rPr>
      </w:pPr>
      <w:r w:rsidDel="00000000" w:rsidR="00000000" w:rsidRPr="00000000">
        <w:rPr>
          <w:sz w:val="22"/>
          <w:szCs w:val="22"/>
          <w:rtl w:val="0"/>
        </w:rPr>
        <w:t xml:space="preserve">Manažment aktualizácií dokumentácie a príručiek pre koncových užívateľov v spolupráci s autorom zmien; </w:t>
      </w:r>
    </w:p>
    <w:p w:rsidR="00000000" w:rsidDel="00000000" w:rsidP="00000000" w:rsidRDefault="00000000" w:rsidRPr="00000000" w14:paraId="0000036F">
      <w:pPr>
        <w:widowControl w:val="0"/>
        <w:numPr>
          <w:ilvl w:val="0"/>
          <w:numId w:val="11"/>
        </w:numPr>
        <w:spacing w:after="0" w:before="0" w:line="276" w:lineRule="auto"/>
        <w:ind w:left="1364" w:hanging="360"/>
        <w:jc w:val="both"/>
        <w:rPr>
          <w:sz w:val="22"/>
          <w:szCs w:val="22"/>
        </w:rPr>
      </w:pPr>
      <w:r w:rsidDel="00000000" w:rsidR="00000000" w:rsidRPr="00000000">
        <w:rPr>
          <w:sz w:val="22"/>
          <w:szCs w:val="22"/>
          <w:rtl w:val="0"/>
        </w:rPr>
        <w:t xml:space="preserve">Spolupráca pri riešení úloh interoperability jednotlivých aplikácií – zdrojové registre, OVM, iné povinné osoby podľa osobitných predpisov; </w:t>
      </w:r>
    </w:p>
    <w:p w:rsidR="00000000" w:rsidDel="00000000" w:rsidP="00000000" w:rsidRDefault="00000000" w:rsidRPr="00000000" w14:paraId="00000370">
      <w:pPr>
        <w:widowControl w:val="0"/>
        <w:numPr>
          <w:ilvl w:val="0"/>
          <w:numId w:val="11"/>
        </w:numPr>
        <w:spacing w:after="0" w:before="0" w:line="276" w:lineRule="auto"/>
        <w:ind w:left="1364" w:hanging="360"/>
        <w:jc w:val="both"/>
        <w:rPr>
          <w:sz w:val="22"/>
          <w:szCs w:val="22"/>
        </w:rPr>
      </w:pPr>
      <w:r w:rsidDel="00000000" w:rsidR="00000000" w:rsidRPr="00000000">
        <w:rPr>
          <w:sz w:val="22"/>
          <w:szCs w:val="22"/>
          <w:rtl w:val="0"/>
        </w:rPr>
        <w:t xml:space="preserve">Spolupráca s externými subjektmi vyžadujúcimi informácie o rozhraniach a nastaveniach aplikácií na základe potvrdenej žiadosti; </w:t>
      </w:r>
    </w:p>
    <w:p w:rsidR="00000000" w:rsidDel="00000000" w:rsidP="00000000" w:rsidRDefault="00000000" w:rsidRPr="00000000" w14:paraId="00000371">
      <w:pPr>
        <w:widowControl w:val="0"/>
        <w:numPr>
          <w:ilvl w:val="0"/>
          <w:numId w:val="11"/>
        </w:numPr>
        <w:spacing w:after="0" w:before="0" w:line="276" w:lineRule="auto"/>
        <w:ind w:left="1364" w:hanging="360"/>
        <w:jc w:val="both"/>
        <w:rPr>
          <w:sz w:val="22"/>
          <w:szCs w:val="22"/>
        </w:rPr>
      </w:pPr>
      <w:r w:rsidDel="00000000" w:rsidR="00000000" w:rsidRPr="00000000">
        <w:rPr>
          <w:sz w:val="22"/>
          <w:szCs w:val="22"/>
          <w:rtl w:val="0"/>
        </w:rPr>
        <w:t xml:space="preserve">Monitoring prevádzky a ladenie výkonnostných parametrov APV s cieľom zefektívniť a zrýchliť̌ spracovanie on-line dotazov a dávkových úloh:</w:t>
      </w:r>
    </w:p>
    <w:p w:rsidR="00000000" w:rsidDel="00000000" w:rsidP="00000000" w:rsidRDefault="00000000" w:rsidRPr="00000000" w14:paraId="00000372">
      <w:pPr>
        <w:widowControl w:val="0"/>
        <w:numPr>
          <w:ilvl w:val="0"/>
          <w:numId w:val="26"/>
        </w:numPr>
        <w:spacing w:after="0" w:before="0" w:line="276" w:lineRule="auto"/>
        <w:ind w:left="2084" w:hanging="180"/>
        <w:jc w:val="both"/>
        <w:rPr>
          <w:sz w:val="22"/>
          <w:szCs w:val="22"/>
        </w:rPr>
      </w:pPr>
      <w:r w:rsidDel="00000000" w:rsidR="00000000" w:rsidRPr="00000000">
        <w:rPr>
          <w:sz w:val="22"/>
          <w:szCs w:val="22"/>
          <w:rtl w:val="0"/>
        </w:rPr>
        <w:t xml:space="preserve">automatizovaným spôsobom, pomocou softvérového vybavenia na to určeného;</w:t>
      </w:r>
    </w:p>
    <w:p w:rsidR="00000000" w:rsidDel="00000000" w:rsidP="00000000" w:rsidRDefault="00000000" w:rsidRPr="00000000" w14:paraId="00000373">
      <w:pPr>
        <w:widowControl w:val="0"/>
        <w:numPr>
          <w:ilvl w:val="0"/>
          <w:numId w:val="26"/>
        </w:numPr>
        <w:spacing w:after="280" w:before="0" w:line="276" w:lineRule="auto"/>
        <w:ind w:left="2084" w:hanging="180"/>
        <w:jc w:val="both"/>
        <w:rPr>
          <w:sz w:val="22"/>
          <w:szCs w:val="22"/>
        </w:rPr>
      </w:pPr>
      <w:r w:rsidDel="00000000" w:rsidR="00000000" w:rsidRPr="00000000">
        <w:rPr>
          <w:sz w:val="22"/>
          <w:szCs w:val="22"/>
          <w:rtl w:val="0"/>
        </w:rPr>
        <w:t xml:space="preserve">vzdialeným prístupom pomocou služby Remote Access v súlade s bezpečnostnou politikou Objednávateľa;</w:t>
      </w:r>
    </w:p>
    <w:p w:rsidR="00000000" w:rsidDel="00000000" w:rsidP="00000000" w:rsidRDefault="00000000" w:rsidRPr="00000000" w14:paraId="00000374">
      <w:pPr>
        <w:keepNext w:val="1"/>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60" w:before="120" w:line="252.00000000000003" w:lineRule="auto"/>
        <w:ind w:left="851" w:right="0" w:hanging="851"/>
        <w:jc w:val="both"/>
        <w:rPr>
          <w:rFonts w:ascii="Times New Roman" w:cs="Times New Roman" w:eastAsia="Times New Roman" w:hAnsi="Times New Roman"/>
          <w:b w:val="1"/>
          <w:i w:val="0"/>
          <w:smallCaps w:val="0"/>
          <w:strike w:val="0"/>
          <w:color w:val="000000"/>
          <w:sz w:val="22"/>
          <w:szCs w:val="22"/>
          <w:u w:val="none"/>
          <w:shd w:fill="auto" w:val="clear"/>
          <w:vertAlign w:val="baseline"/>
        </w:rPr>
      </w:pPr>
      <w:bookmarkStart w:colFirst="0" w:colLast="0" w:name="_heading=h.2dlolyb" w:id="59"/>
      <w:bookmarkEnd w:id="59"/>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Služby spoločnej podpory RPO a odstraňovania chýb, problémov a incidentov pre produkčný, integračný a testovací systém</w:t>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Účelom služieb podpory APV a odstraňovania chýb a incidentov je zabezpečenie garantovanej spoľahlivosti a dostupnosti podporovaného riešenia poskytovateľom. V rámci týchto služieb bude poskytovateľ zabezpečovať tieto činnosti: Činnosti predpísanej, preventívnej a periodickej údržby činností definovaných dokumentáciou Aplikácií:</w:t>
      </w:r>
    </w:p>
    <w:p w:rsidR="00000000" w:rsidDel="00000000" w:rsidP="00000000" w:rsidRDefault="00000000" w:rsidRPr="00000000" w14:paraId="0000037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280" w:line="240" w:lineRule="auto"/>
        <w:ind w:left="1364"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Diagnostika nahlásených problémov a incidentov;</w:t>
      </w:r>
    </w:p>
    <w:p w:rsidR="00000000" w:rsidDel="00000000" w:rsidP="00000000" w:rsidRDefault="00000000" w:rsidRPr="00000000" w14:paraId="0000037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Príprava a distribúcia opravných balíkov aplikácií;</w:t>
      </w:r>
    </w:p>
    <w:p w:rsidR="00000000" w:rsidDel="00000000" w:rsidP="00000000" w:rsidRDefault="00000000" w:rsidRPr="00000000" w14:paraId="0000037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Riešenie problémov so systémom RPO v spolupráci s modulovými, sieťovými, hardvérovými a databázovými špecialistami Objednávateľa od inicializácie problému po odsúhlasenie užívateľom aplikácie;</w:t>
      </w:r>
    </w:p>
    <w:p w:rsidR="00000000" w:rsidDel="00000000" w:rsidP="00000000" w:rsidRDefault="00000000" w:rsidRPr="00000000" w14:paraId="0000037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Spolupráca na testovaní a nasadzovaní nových verzií aplikácií, respektíve pri nevyhnutnej parametrizácii; </w:t>
      </w:r>
    </w:p>
    <w:p w:rsidR="00000000" w:rsidDel="00000000" w:rsidP="00000000" w:rsidRDefault="00000000" w:rsidRPr="00000000" w14:paraId="0000037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Monitoring prevádzky APV;</w:t>
      </w:r>
    </w:p>
    <w:p w:rsidR="00000000" w:rsidDel="00000000" w:rsidP="00000000" w:rsidRDefault="00000000" w:rsidRPr="00000000" w14:paraId="0000037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80" w:before="0" w:line="240" w:lineRule="auto"/>
        <w:ind w:left="1364"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Činnosti údržby a prevádzky APV vykonávané na základe identifikácie neštandardných stavov.</w:t>
      </w:r>
    </w:p>
    <w:tbl>
      <w:tblPr>
        <w:tblStyle w:val="Table4"/>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12"/>
        <w:gridCol w:w="1812"/>
        <w:gridCol w:w="1812"/>
        <w:gridCol w:w="1812"/>
        <w:gridCol w:w="1812"/>
        <w:tblGridChange w:id="0">
          <w:tblGrid>
            <w:gridCol w:w="1812"/>
            <w:gridCol w:w="1812"/>
            <w:gridCol w:w="1812"/>
            <w:gridCol w:w="1812"/>
            <w:gridCol w:w="1812"/>
          </w:tblGrid>
        </w:tblGridChange>
      </w:tblGrid>
      <w:tr>
        <w:trPr>
          <w:cantSplit w:val="0"/>
          <w:tblHeader w:val="0"/>
        </w:trPr>
        <w:tc>
          <w:tcPr>
            <w:shd w:fill="d9d9d9" w:val="clear"/>
            <w:vAlign w:val="center"/>
          </w:tcPr>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Priorita</w:t>
            </w:r>
          </w:p>
        </w:tc>
        <w:tc>
          <w:tcPr>
            <w:shd w:fill="d9d9d9" w:val="clear"/>
            <w:vAlign w:val="center"/>
          </w:tcPr>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B1</w:t>
            </w:r>
          </w:p>
        </w:tc>
        <w:tc>
          <w:tcPr>
            <w:shd w:fill="d9d9d9" w:val="clear"/>
            <w:vAlign w:val="center"/>
          </w:tcPr>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P1</w:t>
            </w:r>
          </w:p>
        </w:tc>
        <w:tc>
          <w:tcPr>
            <w:shd w:fill="d9d9d9" w:val="clear"/>
            <w:vAlign w:val="center"/>
          </w:tcPr>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P2</w:t>
            </w:r>
          </w:p>
        </w:tc>
        <w:tc>
          <w:tcPr>
            <w:shd w:fill="d9d9d9" w:val="clear"/>
            <w:vAlign w:val="center"/>
          </w:tcPr>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P3</w:t>
            </w:r>
          </w:p>
        </w:tc>
      </w:tr>
      <w:tr>
        <w:trPr>
          <w:cantSplit w:val="0"/>
          <w:tblHeader w:val="0"/>
        </w:trPr>
        <w:tc>
          <w:tcPr>
            <w:shd w:fill="d9d9d9" w:val="clear"/>
            <w:vAlign w:val="center"/>
          </w:tcPr>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Callcentrum</w:t>
            </w:r>
          </w:p>
        </w:tc>
        <w:tc>
          <w:tcPr>
            <w:gridSpan w:val="4"/>
          </w:tcPr>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24x7x365</w:t>
            </w:r>
          </w:p>
        </w:tc>
      </w:tr>
      <w:tr>
        <w:trPr>
          <w:cantSplit w:val="0"/>
          <w:tblHeader w:val="0"/>
        </w:trPr>
        <w:tc>
          <w:tcPr>
            <w:shd w:fill="d9d9d9" w:val="clear"/>
            <w:vAlign w:val="center"/>
          </w:tcPr>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Doba odpovede</w:t>
            </w:r>
          </w:p>
        </w:tc>
        <w:tc>
          <w:tcPr>
            <w:vAlign w:val="center"/>
          </w:tcPr>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hodina</w:t>
            </w:r>
          </w:p>
        </w:tc>
        <w:tc>
          <w:tcPr/>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 hodiny</w:t>
            </w:r>
          </w:p>
        </w:tc>
        <w:tc>
          <w:tcPr/>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 hodiny</w:t>
            </w:r>
          </w:p>
        </w:tc>
        <w:tc>
          <w:tcPr/>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 pracovných dní</w:t>
            </w:r>
          </w:p>
        </w:tc>
      </w:tr>
      <w:tr>
        <w:trPr>
          <w:cantSplit w:val="0"/>
          <w:tblHeader w:val="0"/>
        </w:trPr>
        <w:tc>
          <w:tcPr>
            <w:shd w:fill="d9d9d9" w:val="clear"/>
            <w:vAlign w:val="center"/>
          </w:tcPr>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Doba vyriešenia</w:t>
            </w:r>
          </w:p>
        </w:tc>
        <w:tc>
          <w:tcPr>
            <w:vAlign w:val="center"/>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do 12 hodín</w:t>
            </w:r>
          </w:p>
        </w:tc>
        <w:tc>
          <w:tcPr/>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do 24 hodín od nahlásenia</w:t>
            </w:r>
          </w:p>
        </w:tc>
        <w:tc>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do 10 pracovných dní</w:t>
            </w:r>
          </w:p>
        </w:tc>
        <w:tc>
          <w:tcPr/>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Podľa dohody</w:t>
            </w:r>
          </w:p>
        </w:tc>
      </w:tr>
    </w:tbl>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Doba na vyriešenie incidentu priority P1 je úspešným uchádzačom garantovaná pri maximálne piatich (5) paralelne zadaných incidentoch takejto priority.</w:t>
      </w:r>
    </w:p>
    <w:p w:rsidR="00000000" w:rsidDel="00000000" w:rsidP="00000000" w:rsidRDefault="00000000" w:rsidRPr="00000000" w14:paraId="00000391">
      <w:pPr>
        <w:keepNext w:val="1"/>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60" w:before="120" w:line="252.00000000000003" w:lineRule="auto"/>
        <w:ind w:left="851" w:right="0" w:hanging="851"/>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Služby technologickej podpory pre produkčný, integračný a testovací systém RPO </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zmysle Vyhlášky Úradu podpredsedu vlády Slovenskej republiky pre investície a informatizáciu č. 179/2020 Z. z., ktorou sa ustanovuje spôsob kategorizácie a obsah bezpečnostných opatrení informačných technológií verejnej správy, sú stanovené body pri prevádzke informačných systémov a sietí a hodnotení zraniteľností a bezpečnostných aktualizácií. V zmysle týchto bodov je prevádzkovateľ povinný priebežne vyhodnocovať bezpečnostné riziká v kontexte posudzovania zmien ako aj vyhodnocovať a odstraňovať zraniteľnosti v čo najkratšom čase na jednotlivých prvkoch informačných technológií verejnej správy.</w:t>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Účelom služieb technologickej podpory RPO je zabezpečenie garantovanej spoľahlivosti a dostupnosti RPO úspešným uchádzačom pri zmenách hardvérového a softvérového prostredia (zmena hardvérových komponentov, upgrade a update firmware hardvérových komponentov, operačných systémov a platforiem, na ktorých je prevádzkovaný RPO) verejného obstarávateľa v celkovom mesačnom rozsahu päť (5) človekodní, pričom aj nedôjde k ich vyčerpaniu, alikvotná časť bude prenesená do nasledujúceho mesiaca. Súčinnosť predstavuje konzultácie úspešného uchádzača verejnému obstarávateľovi. V rámci týchto služieb bude úspešný uchádzač zabezpečovať tieto činnosti:</w:t>
      </w:r>
    </w:p>
    <w:p w:rsidR="00000000" w:rsidDel="00000000" w:rsidP="00000000" w:rsidRDefault="00000000" w:rsidRPr="00000000" w14:paraId="0000039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súčinnosť pri konfigurácií, update, patchovaní databázových serverov RPO;</w:t>
      </w:r>
    </w:p>
    <w:p w:rsidR="00000000" w:rsidDel="00000000" w:rsidP="00000000" w:rsidRDefault="00000000" w:rsidRPr="00000000" w14:paraId="0000039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súčinnosť pri konfigurácií, update, patchovaní aplikačných serverov RPO;</w:t>
      </w:r>
    </w:p>
    <w:p w:rsidR="00000000" w:rsidDel="00000000" w:rsidP="00000000" w:rsidRDefault="00000000" w:rsidRPr="00000000" w14:paraId="0000039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súčinnosť pri konfigurácií, update, patchovaní dotknutých serverov zo sieťovej vrstvy;</w:t>
      </w:r>
    </w:p>
    <w:p w:rsidR="00000000" w:rsidDel="00000000" w:rsidP="00000000" w:rsidRDefault="00000000" w:rsidRPr="00000000" w14:paraId="0000039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súčinnosť pri konfigurácií zálohovania RPO;</w:t>
      </w:r>
    </w:p>
    <w:p w:rsidR="00000000" w:rsidDel="00000000" w:rsidP="00000000" w:rsidRDefault="00000000" w:rsidRPr="00000000" w14:paraId="0000039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súčinnosť pri konfigurácií monitoringu RPO;</w:t>
      </w:r>
    </w:p>
    <w:p w:rsidR="00000000" w:rsidDel="00000000" w:rsidP="00000000" w:rsidRDefault="00000000" w:rsidRPr="00000000" w14:paraId="0000039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súčinnosť pri konfigurácií infraštruktúry na základe pokynov verejného obstarávateľa;</w:t>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prípade, že bude prekročený mesačný rozsah predplatených človekodní (najviac päť (5) človekodní), verejný obstarávateľ bude oprávnený požadovať poskytovanie ďalších služieb technologickej podpory na základe objednávky verejného obstarávateľa vystavenej v súlade s ods. (V) Kapitoly B.1 Opisu predmetu zákazky súťažných podkladov.</w:t>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 pravidelných updatoch SW komponentov tretích strán, v rámci ktorých bude potrebné realizovať prechod na tzv. novú major verziu bude najprv realizovaná analýza dopadov na jednotlivé komponenty RPO a následne stanovený rozsah nutných zmien. Pokiaľ budú tieto zmeny prekračovať mesačný rozsah predplatených človekodní, budú realizované ako služby rozvoja na základe objednávky verejného obstarávateľa vystavenej v súlade s ods. (V) Kapitoly B.1 Opisu predmetu zákazky súťažných podkladov.</w:t>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D">
      <w:pPr>
        <w:keepNext w:val="1"/>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60" w:before="120" w:line="252.00000000000003" w:lineRule="auto"/>
        <w:ind w:left="851" w:right="0" w:hanging="851"/>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Malá požiadavka na zmenu RPO</w:t>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Súčasťou služieb údržby a podpory prevádzky je malá požiadavka na zmenu. Malou požiadavkou na zmenu sa rozumie požiadavka na zmenu funkčnosti RPO, aplikácii, zmenu konfigurácie a/alebo nastavení systému, ktoré sú vynútené zmenami prevádzkového prostredia verejného obstarávateľa, vrátane udržiavania aktuálnosti príslušnej dokumentácie systému, a ktorej prácnosť je najviac päť (5) človekodní. V prípade, ak nedôjde k ich vyčerpaniu, alikvotná časť bude prenesená do nasledujúceho mesiaca.</w:t>
      </w:r>
    </w:p>
    <w:p w:rsidR="00000000" w:rsidDel="00000000" w:rsidP="00000000" w:rsidRDefault="00000000" w:rsidRPr="00000000" w14:paraId="0000039F">
      <w:pPr>
        <w:spacing w:after="200" w:line="276" w:lineRule="auto"/>
        <w:rPr>
          <w:b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3A0">
      <w:pPr>
        <w:keepNext w:val="1"/>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240" w:line="252.00000000000003" w:lineRule="auto"/>
        <w:ind w:left="567" w:right="0" w:hanging="567"/>
        <w:jc w:val="lef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Služby rozvoja</w:t>
      </w:r>
    </w:p>
    <w:p w:rsidR="00000000" w:rsidDel="00000000" w:rsidP="00000000" w:rsidRDefault="00000000" w:rsidRPr="00000000" w14:paraId="000003A1">
      <w:pPr>
        <w:keepNext w:val="0"/>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60" w:before="120" w:line="252.00000000000003" w:lineRule="auto"/>
        <w:ind w:left="851" w:right="0" w:hanging="851"/>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Požiadavky na služby rozvoja</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Účelom je poskytovanie analytických, programátorských a ostatných služieb súvisiacich s rozvojom aplikácií podľa požiadaviek, školenia zamestnancov, konzultácie a podporné služby, vrátane inštalácie nových verzií a úpravu aplikácií pre nové major verzie operačných a databázových systémov a aplikačného softvéru. Súčasťou zrealizovaných služieb rozvoja diela je aj aktualizácia príslušnej dokumentácie - používateľská, integračná, prevádzková a administrátorská, bezpečnostný projekt vrátane dokumentácie zakreslenej v nástroji Enterprise Architect. Ide najmä o nasledovné požiadavky:</w:t>
      </w:r>
    </w:p>
    <w:p w:rsidR="00000000" w:rsidDel="00000000" w:rsidP="00000000" w:rsidRDefault="00000000" w:rsidRPr="00000000" w14:paraId="000003A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Zmeny vyplývajúce z legislatívnych zmien a zmien metodiky;</w:t>
      </w:r>
    </w:p>
    <w:p w:rsidR="00000000" w:rsidDel="00000000" w:rsidP="00000000" w:rsidRDefault="00000000" w:rsidRPr="00000000" w14:paraId="000003A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Zmeny vyplývajúce z medzinárodných záväzkov;</w:t>
      </w:r>
    </w:p>
    <w:p w:rsidR="00000000" w:rsidDel="00000000" w:rsidP="00000000" w:rsidRDefault="00000000" w:rsidRPr="00000000" w14:paraId="000003A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Zmeny vyplývajúce z integrácie v rámci slovenského e-Governmentu;</w:t>
      </w:r>
    </w:p>
    <w:p w:rsidR="00000000" w:rsidDel="00000000" w:rsidP="00000000" w:rsidRDefault="00000000" w:rsidRPr="00000000" w14:paraId="000003A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Zmeny vyplývajúce zo zmien v infraštruktúre a technológiách verejného obstarávateľa;</w:t>
      </w:r>
    </w:p>
    <w:p w:rsidR="00000000" w:rsidDel="00000000" w:rsidP="00000000" w:rsidRDefault="00000000" w:rsidRPr="00000000" w14:paraId="000003A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Ostatné užívateľské zmeny vyplývajúce z prevádzky a požiadaviek užívateľov za účelom optimalizácie spracovania, resp. výkonu;</w:t>
      </w:r>
    </w:p>
    <w:p w:rsidR="00000000" w:rsidDel="00000000" w:rsidP="00000000" w:rsidRDefault="00000000" w:rsidRPr="00000000" w14:paraId="000003A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Poskytovanie služieb v oblasti dátovej kvality;</w:t>
      </w:r>
    </w:p>
    <w:p w:rsidR="00000000" w:rsidDel="00000000" w:rsidP="00000000" w:rsidRDefault="00000000" w:rsidRPr="00000000" w14:paraId="000003A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Poskytovanie konzultácií a školení.</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Tieto služby budú poskytované na základe objednávok uzatváraných k zmluve. Objednávka bude obsahovať zoznam požiadaviek verejného obstarávateľa na nové vlastnosti, funkcie alebo požiadavky na rozvoj RPO, termín poskytnutia požadovaných služieb a cenu za poskytnutie služieb. Cena bude stanovená ako násobok jednotkovej ceny za človekodeň predmetného kľúčového experta a počet dní potrebných na zabezpečenie požiadavky. Za účelom poskytovania služieb budú zabezpečené nasledovné role:</w:t>
      </w:r>
    </w:p>
    <w:p w:rsidR="00000000" w:rsidDel="00000000" w:rsidP="00000000" w:rsidRDefault="00000000" w:rsidRPr="00000000" w14:paraId="000003A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Projektový manažér / Manažér prevádzky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zabezpečí plánovanie, organizáciu a riadenie zdrojov, projektových aktivít a úloh tak, aby bol zrealizovaný projektový cieľ v stanovenom čase a za plánované náklady. Výsledkom jeho činnosti je vytvorenie novej služby, produktu alebo nastavenie procesu.</w:t>
      </w:r>
    </w:p>
    <w:p w:rsidR="00000000" w:rsidDel="00000000" w:rsidP="00000000" w:rsidRDefault="00000000" w:rsidRPr="00000000" w14:paraId="000003A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Architekt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navrhuje tvorbu a riadi špecifikácie súčasnej alebo budúcej architektúry informačného systému a navrhuje dizajn a programátorské riešenie. analyzuje procesné a ďalšie požiadavky a špecifikácie súčasného alebo budúceho užívateľa softvéru .Zúčastňuje sa na stretnutí pri vývoji nových, ale i vylepšovaní existujúcich funkcionalít v rámci celého vývojového cyklu - systémová analýza, dizajn, kódovanie, užívateľské testovanie, implementácia, podpora, dokumentácia.</w:t>
      </w:r>
    </w:p>
    <w:p w:rsidR="00000000" w:rsidDel="00000000" w:rsidP="00000000" w:rsidRDefault="00000000" w:rsidRPr="00000000" w14:paraId="000003A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IT analytik –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následne navrhuje dizajn a programátorské riešenie. Zúčastňuje sa na vývoji nových, ale i vylepšovaní existujúcich aplikácií v rámci celého vývojového cyklu - systémová analýza, dizajn, kódovanie, užívateľské testovanie, implementácia, podpora, dokumentácia.</w:t>
      </w:r>
    </w:p>
    <w:p w:rsidR="00000000" w:rsidDel="00000000" w:rsidP="00000000" w:rsidRDefault="00000000" w:rsidRPr="00000000" w14:paraId="000003A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Databázový špecialista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vykonáva skriptovanie resp. programovanie DB procedúr v programovacom jazyku na základe požiadaviek.</w:t>
      </w:r>
    </w:p>
    <w:p w:rsidR="00000000" w:rsidDel="00000000" w:rsidP="00000000" w:rsidRDefault="00000000" w:rsidRPr="00000000" w14:paraId="000003A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IT programátor -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zabezpečuje transformáciu požadovanej funkcionality na základe zadaných požiadaviek, resp. funkčnej špecifikácie do podoby počítačového programu.</w:t>
      </w:r>
      <w:r w:rsidDel="00000000" w:rsidR="00000000" w:rsidRPr="00000000">
        <w:rPr>
          <w:rtl w:val="0"/>
        </w:rPr>
      </w:r>
    </w:p>
    <w:p w:rsidR="00000000" w:rsidDel="00000000" w:rsidP="00000000" w:rsidRDefault="00000000" w:rsidRPr="00000000" w14:paraId="000003B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Špecialista na bezpečnosť</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definuje alebo prípadne aj vykonáva činnosti zabezpečujúce ochranu RPO a jeho zložiek proti bezpečnostným hrozbám.</w:t>
      </w:r>
    </w:p>
    <w:p w:rsidR="00000000" w:rsidDel="00000000" w:rsidP="00000000" w:rsidRDefault="00000000" w:rsidRPr="00000000" w14:paraId="000003B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Tester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zabezpečuje overovanie implementovanej funkcionality podľa zadania ako aj hľadanie chýb v rámci dodaného IS.</w:t>
      </w:r>
    </w:p>
    <w:p w:rsidR="00000000" w:rsidDel="00000000" w:rsidP="00000000" w:rsidRDefault="00000000" w:rsidRPr="00000000" w14:paraId="000003B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52.00000000000003"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Špecialista pre infraštruktúru-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inštaluje, konfiguruje, diagnostikuje, opravuje, upgraduje / rozširuje hardvér a súvisiace technické zariadenia a spolupracuje pri nasadzovaní súvisiaceho softvéru. Pomáha pri optimalizácií prevádzky a výkonu IT infraštruktúry.</w:t>
      </w:r>
    </w:p>
    <w:p w:rsidR="00000000" w:rsidDel="00000000" w:rsidP="00000000" w:rsidRDefault="00000000" w:rsidRPr="00000000" w14:paraId="000003B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52.00000000000003"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Systémový administrátor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inštaluje, konfiguruje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diagnostikuje, opravuje, upgraduje / rozširuje SW komponenty súvisiaceho softvéru.</w:t>
      </w:r>
    </w:p>
    <w:p w:rsidR="00000000" w:rsidDel="00000000" w:rsidP="00000000" w:rsidRDefault="00000000" w:rsidRPr="00000000" w14:paraId="000003B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52.00000000000003"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Školiteľ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zabezpečuje školenia ako aj prípravu príslušných školiacich materiálov.</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B5">
      <w:pPr>
        <w:keepNext w:val="1"/>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60" w:before="120" w:line="252.00000000000003" w:lineRule="auto"/>
        <w:ind w:left="851" w:right="0" w:hanging="851"/>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Podmienky poskytovania služieb rozvoja</w:t>
      </w:r>
    </w:p>
    <w:p w:rsidR="00000000" w:rsidDel="00000000" w:rsidP="00000000" w:rsidRDefault="00000000" w:rsidRPr="00000000" w14:paraId="000003B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Úspešný uchádzač sa zaväzuje v rámci predmetu zákazky na poskytovanie ďalších služieb v rámci ďalšieho rozvoja RPO na základe požiadaviek verejného obstarávateľa a/alebo zmeny legislatívy Slovenskej republiky. </w:t>
      </w:r>
    </w:p>
    <w:p w:rsidR="00000000" w:rsidDel="00000000" w:rsidP="00000000" w:rsidRDefault="00000000" w:rsidRPr="00000000" w14:paraId="000003B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RPO je budovaný tak, aby v budúcnosti umožňoval zapracovanie legislatívnych zmien vyplývajúcich z úprav legislatívneho prostredia v Slovenskej republike a Európskej únii a vyplývajúcich z požiadaviek na prepojenie a interoperabilitu s inými aplikáciami verejného obstarávateľa, resp. s inými informačnými systémami verejnej správy v zmysle platných štandardov. </w:t>
      </w:r>
    </w:p>
    <w:p w:rsidR="00000000" w:rsidDel="00000000" w:rsidP="00000000" w:rsidRDefault="00000000" w:rsidRPr="00000000" w14:paraId="000003B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Za interpretáciu a/alebo definovanie požiadaviek vyplývajúcich z legislatívnych zmien a prepojenia a interoperability je zodpovedný verejný obstarávateľ.</w:t>
      </w:r>
    </w:p>
    <w:p w:rsidR="00000000" w:rsidDel="00000000" w:rsidP="00000000" w:rsidRDefault="00000000" w:rsidRPr="00000000" w14:paraId="000003B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Služby ďalšieho rozvoja sa budú poskytovať po konzultácii s úspešným uchádzačom o rozsahu a obsahu služieb nevyhnutných na dosiahnutie požadovaného výsledku. Verejný obstarávateľ najprv predloží úspešnému uchádzačovi nezáväznú písomnú objednávku, ktorá bude obsahovať predmet, rozsah a termín poskytnutia požadovaných služieb. Na základe nezáväznej objednávky verejného obstarávateľa úspešný uchádzač vypracuje a predloží verejnému obstarávateľovi cenovú kalkuláciu požadovaných služieb, a to uvedením jednotlivých rolí podľa bodu (V.i.) ods. (V) Kapitoly B.1 Opis predmetu zákazky súťažných podkladov, s uvedením počtu človekodní vynaložených každou jednotlivou rolou a zmluvnou cenovou sadzbou každej jednotlivej role. Cenová kalkulácia bude obsahovať aj podrobný návrh riešenia, vrátane analýzy dopadov a predpokladaného harmonogramu prác s uvedením navrhovaného termínu poskytnutia služieb a plán ich realizácie. </w:t>
      </w:r>
    </w:p>
    <w:p w:rsidR="00000000" w:rsidDel="00000000" w:rsidP="00000000" w:rsidRDefault="00000000" w:rsidRPr="00000000" w14:paraId="000003B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 verejný obstarávateľ schváli cenovú kalkuláciu navrhnutú úspešným uchádzačom, predloží úspešnému uchádzačovi záväznú písomnú objednávku, ktorá bude obsahovať predmet, rozsah, termín poskytnutia a cenovú kalkuláciu požadovaných služieb. Objednávky budú uzatvárané v listinnej podobe a budú doručované prostredníctvom e-mailu. </w:t>
      </w:r>
    </w:p>
    <w:p w:rsidR="00000000" w:rsidDel="00000000" w:rsidP="00000000" w:rsidRDefault="00000000" w:rsidRPr="00000000" w14:paraId="000003B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Každá objednávka akceptovaná úspešným uchádzačom sa stáva neoddeliteľnou súčasťou zmluvy. Prevzatie a akceptáciu služieb uvedených v objednávke verejný obstarávateľ potvrdí podpisom preberacieho protokolu, spôsobom dohodnutým v zmluve.</w:t>
      </w:r>
    </w:p>
    <w:p w:rsidR="00000000" w:rsidDel="00000000" w:rsidP="00000000" w:rsidRDefault="00000000" w:rsidRPr="00000000" w14:paraId="000003BC">
      <w:pPr>
        <w:spacing w:after="200" w:line="276" w:lineRule="auto"/>
        <w:rPr>
          <w:b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3BD">
      <w:pPr>
        <w:keepNext w:val="1"/>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240" w:line="252.00000000000003" w:lineRule="auto"/>
        <w:ind w:left="567" w:right="0" w:hanging="567"/>
        <w:jc w:val="lef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Ďalšie požiadavky verejného obstarávateľa v súvislosti s plnením Zmluvy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o poskytovaní služieb podpory prevádzky, údržby a rozvoja informačných systémov</w:t>
      </w:r>
    </w:p>
    <w:p w:rsidR="00000000" w:rsidDel="00000000" w:rsidP="00000000" w:rsidRDefault="00000000" w:rsidRPr="00000000" w14:paraId="000003BE">
      <w:pPr>
        <w:keepNext w:val="0"/>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60" w:before="120" w:line="252.00000000000003" w:lineRule="auto"/>
        <w:ind w:left="851" w:right="0" w:hanging="851"/>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Zdrojový kód</w:t>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Úspešný uchádzač bude povinný odovzdať verejnému obstarávateľovi zdrojový kód v rámci každej jednotlivej časti poskytovania predmetu zákazky, ktorá je počítačovým programom, a to za podmienok bližšie definovaných v Článku 10. Zmluvy o poskytovaní služieb podpory prevádzky, údržby a rozvoja informačných systémov.</w:t>
      </w:r>
    </w:p>
    <w:p w:rsidR="00000000" w:rsidDel="00000000" w:rsidP="00000000" w:rsidRDefault="00000000" w:rsidRPr="00000000" w14:paraId="000003C0">
      <w:pPr>
        <w:keepNext w:val="0"/>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60" w:before="120" w:line="252.00000000000003" w:lineRule="auto"/>
        <w:ind w:left="851" w:right="0" w:hanging="851"/>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Práva duševného vlastníctva</w:t>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Vzhľadom na to, že výsledkom poskytovania predmetu zákazky je aj plnenie, ktoré môže napĺňať znaky autorského diela v zmysle ust. zákona č. 185/2015 Z. z. Autorský zákon v znení neskorších predpisov, úspešný uchádzač k týmto výsledkom poskytuje licenciu za podmienok bližšie definovaných v Článku 11. Zmluvy o poskytovaní služieb podpory prevádzky, údržby a rozvoja informačných systémov.</w:t>
      </w:r>
    </w:p>
    <w:p w:rsidR="00000000" w:rsidDel="00000000" w:rsidP="00000000" w:rsidRDefault="00000000" w:rsidRPr="00000000" w14:paraId="000003C2">
      <w:pPr>
        <w:keepNext w:val="0"/>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60" w:before="120" w:line="252.00000000000003" w:lineRule="auto"/>
        <w:ind w:left="851" w:right="0" w:hanging="851"/>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Poskytnutie súčinnosti novému budúcemu poskytovateľovi predmetu zákazky</w:t>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Súčasťou predmetu zákazky je aj poskytovanie súčinnosti novému budúcemu poskytovateľovi predmetu zákazky. Úspešný uchádzač sa zaväzuje po ukončení platnosti Zmluvy o poskytovaní služieb podpory prevádzky, údržby a rozvoja informačných systémov poskytovať súčinnosť novému budúcemu poskytovateľovi predmetu zákazky, a to počas najmenej šesť (6) mesiacov odo dňa nadobudnutia účinnosti zmluvy s novým budúcim poskytovateľom predmetu zákazky, v rozsahu desať (5) človekodní mesačne, za podmienok bližšie definovaných v Článku 15., bod 15.4 Zmluvy o poskytovaní služieb podpory prevádzky, údržby a rozvoja informačných systémov.</w:t>
      </w:r>
    </w:p>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9">
      <w:pPr>
        <w:keepNext w:val="1"/>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240" w:line="252.00000000000003" w:lineRule="auto"/>
        <w:ind w:left="567" w:right="0" w:hanging="567"/>
        <w:jc w:val="lef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Ďalšie požiadavky verejného obstarávateľa v súvislosti s plnením Zmluvy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o poskytovaní služieb podpory prevádzky, údržby a rozvoja informačných systémov</w:t>
      </w:r>
    </w:p>
    <w:p w:rsidR="00000000" w:rsidDel="00000000" w:rsidP="00000000" w:rsidRDefault="00000000" w:rsidRPr="00000000" w14:paraId="000003D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52.00000000000003" w:lineRule="auto"/>
        <w:ind w:left="567" w:right="0" w:firstLine="0"/>
        <w:jc w:val="lef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Verejný obstarávateľ požaduje vypracovanie požadovaného návrhu riešenia pre nasledovné požiadavky RFC_001 a RFC_002, ktorý bude v zmysle Vyhlášky Ministerstva investícií, regionálneho rozvoja </w:t>
        <w:br w:type="textWrapping"/>
        <w:t xml:space="preserve">a informatizácie Slovenskej republiky č. 401/2023 Z. z o riadení projektov a zmenových požiadaviek </w:t>
        <w:br w:type="textWrapping"/>
        <w:t xml:space="preserve">v prevádzke informačných technológií verejnej správy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obsahovať opis navrhovaného riešenia, architektúru riešenia projektu na úrovni biznis vrstvy, aplikačnej vrstvy, dátovej vrstvy, technologickej vrstvy, infraštruktúry navrhovaného riešenia, bezpečnostnej architektúry, špecifikáciu údajov spracovaných v projekte, čistenie údajov, prevádzku a údržbu výstupov projektu, prevádzkové požiadavky, požiadavky na zdrojové kódy, dodávané riešenie musí byť v súlade so zákonom, zároveň opisuje aj implementáciu projektu a preberanie výstupov projektu.</w:t>
      </w:r>
      <w:r w:rsidDel="00000000" w:rsidR="00000000" w:rsidRPr="00000000">
        <w:rPr>
          <w:rtl w:val="0"/>
        </w:rPr>
      </w:r>
    </w:p>
    <w:tbl>
      <w:tblPr>
        <w:tblStyle w:val="Table5"/>
        <w:tblpPr w:leftFromText="141" w:rightFromText="141" w:topFromText="0" w:bottomFromText="0" w:vertAnchor="text" w:horzAnchor="text" w:tblpX="0" w:tblpY="510"/>
        <w:tblW w:w="10302.0" w:type="dxa"/>
        <w:jc w:val="left"/>
        <w:tblLayout w:type="fixed"/>
        <w:tblLook w:val="0400"/>
      </w:tblPr>
      <w:tblGrid>
        <w:gridCol w:w="1859"/>
        <w:gridCol w:w="2311"/>
        <w:gridCol w:w="4591"/>
        <w:gridCol w:w="1541"/>
        <w:tblGridChange w:id="0">
          <w:tblGrid>
            <w:gridCol w:w="1859"/>
            <w:gridCol w:w="2311"/>
            <w:gridCol w:w="4591"/>
            <w:gridCol w:w="1541"/>
          </w:tblGrid>
        </w:tblGridChange>
      </w:tblGrid>
      <w:tr>
        <w:trPr>
          <w:cantSplit w:val="0"/>
          <w:trHeight w:val="468" w:hRule="atLeast"/>
          <w:tblHeader w:val="0"/>
        </w:trPr>
        <w:tc>
          <w:tcPr>
            <w:tcBorders>
              <w:top w:color="999999" w:space="0" w:sz="8" w:val="single"/>
              <w:left w:color="999999" w:space="0" w:sz="8" w:val="single"/>
              <w:bottom w:color="666666" w:space="0" w:sz="12" w:val="single"/>
              <w:right w:color="999999" w:space="0" w:sz="8" w:val="single"/>
            </w:tcBorders>
            <w:tcMar>
              <w:top w:w="0.0" w:type="dxa"/>
              <w:left w:w="108.0" w:type="dxa"/>
              <w:bottom w:w="0.0" w:type="dxa"/>
              <w:right w:w="108.0" w:type="dxa"/>
            </w:tcMar>
          </w:tcPr>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Číslo požiadavky</w:t>
            </w:r>
          </w:p>
        </w:tc>
        <w:tc>
          <w:tcPr>
            <w:tcBorders>
              <w:top w:color="999999" w:space="0" w:sz="8" w:val="single"/>
              <w:left w:color="000000" w:space="0" w:sz="0" w:val="nil"/>
              <w:bottom w:color="666666" w:space="0" w:sz="12" w:val="single"/>
              <w:right w:color="999999" w:space="0" w:sz="8" w:val="single"/>
            </w:tcBorders>
            <w:tcMar>
              <w:top w:w="0.0" w:type="dxa"/>
              <w:left w:w="108.0" w:type="dxa"/>
              <w:bottom w:w="0.0" w:type="dxa"/>
              <w:right w:w="108.0" w:type="dxa"/>
            </w:tcMar>
          </w:tcPr>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Názov </w:t>
            </w:r>
          </w:p>
        </w:tc>
        <w:tc>
          <w:tcPr>
            <w:tcBorders>
              <w:top w:color="999999" w:space="0" w:sz="8" w:val="single"/>
              <w:left w:color="000000" w:space="0" w:sz="0" w:val="nil"/>
              <w:bottom w:color="666666" w:space="0" w:sz="12" w:val="single"/>
              <w:right w:color="999999" w:space="0" w:sz="8" w:val="single"/>
            </w:tcBorders>
            <w:tcMar>
              <w:top w:w="0.0" w:type="dxa"/>
              <w:left w:w="108.0" w:type="dxa"/>
              <w:bottom w:w="0.0" w:type="dxa"/>
              <w:right w:w="108.0" w:type="dxa"/>
            </w:tcMar>
          </w:tcPr>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Popis</w:t>
            </w:r>
          </w:p>
        </w:tc>
        <w:tc>
          <w:tcPr>
            <w:tcBorders>
              <w:top w:color="999999" w:space="0" w:sz="8" w:val="single"/>
              <w:left w:color="000000" w:space="0" w:sz="0" w:val="nil"/>
              <w:bottom w:color="666666" w:space="0" w:sz="12" w:val="single"/>
              <w:right w:color="999999" w:space="0" w:sz="8" w:val="single"/>
            </w:tcBorders>
            <w:tcMar>
              <w:top w:w="0.0" w:type="dxa"/>
              <w:left w:w="108.0" w:type="dxa"/>
              <w:bottom w:w="0.0" w:type="dxa"/>
              <w:right w:w="108.0" w:type="dxa"/>
            </w:tcMar>
          </w:tcPr>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Časť systému</w:t>
            </w:r>
          </w:p>
        </w:tc>
      </w:tr>
      <w:tr>
        <w:trPr>
          <w:cantSplit w:val="0"/>
          <w:trHeight w:val="1672" w:hRule="atLeast"/>
          <w:tblHeader w:val="0"/>
        </w:trPr>
        <w:tc>
          <w:tcPr>
            <w:tcBorders>
              <w:top w:color="000000" w:space="0" w:sz="0" w:val="nil"/>
              <w:left w:color="999999" w:space="0" w:sz="8" w:val="single"/>
              <w:bottom w:color="999999" w:space="0" w:sz="8" w:val="single"/>
              <w:right w:color="999999" w:space="0" w:sz="8" w:val="single"/>
            </w:tcBorders>
            <w:tcMar>
              <w:top w:w="0.0" w:type="dxa"/>
              <w:left w:w="108.0" w:type="dxa"/>
              <w:bottom w:w="0.0" w:type="dxa"/>
              <w:right w:w="108.0" w:type="dxa"/>
            </w:tcMar>
          </w:tcPr>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RFC_001</w:t>
            </w:r>
          </w:p>
        </w:tc>
        <w:tc>
          <w:tcPr>
            <w:tcBorders>
              <w:top w:color="000000" w:space="0" w:sz="0" w:val="nil"/>
              <w:left w:color="000000" w:space="0" w:sz="0" w:val="nil"/>
              <w:bottom w:color="999999" w:space="0" w:sz="8" w:val="single"/>
              <w:right w:color="999999" w:space="0" w:sz="8" w:val="single"/>
            </w:tcBorders>
            <w:tcMar>
              <w:top w:w="0.0" w:type="dxa"/>
              <w:left w:w="108.0" w:type="dxa"/>
              <w:bottom w:w="0.0" w:type="dxa"/>
              <w:right w:w="108.0" w:type="dxa"/>
            </w:tcMar>
          </w:tcPr>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Úprava zápisu údajov do GR RPO o zainteresovaných osobách a štatutárnych orgánoch</w:t>
            </w:r>
          </w:p>
        </w:tc>
        <w:tc>
          <w:tcPr>
            <w:tcBorders>
              <w:top w:color="000000" w:space="0" w:sz="0" w:val="nil"/>
              <w:left w:color="000000" w:space="0" w:sz="0" w:val="nil"/>
              <w:bottom w:color="999999" w:space="0" w:sz="8" w:val="single"/>
              <w:right w:color="999999" w:space="0" w:sz="8" w:val="single"/>
            </w:tcBorders>
            <w:tcMar>
              <w:top w:w="0.0" w:type="dxa"/>
              <w:left w:w="108.0" w:type="dxa"/>
              <w:bottom w:w="0.0" w:type="dxa"/>
              <w:right w:w="108.0" w:type="dxa"/>
            </w:tcMar>
          </w:tcPr>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Rozšírenie zápisu údajov do GR RPO o zainteresovaných osobách a štatutárnych orgánoch o zápis osobných identifikátorov zahraničnej fyzickej osoby a identifikátorov zahraničných právnických osôb, ktorým sa neprideľuje IČO, v súlade s čl. I bod 9 zákona č. 302/2023 Z. z. (§ 3 ods. 10 a ods. 11).</w:t>
            </w:r>
          </w:p>
        </w:tc>
        <w:tc>
          <w:tcPr>
            <w:tcBorders>
              <w:top w:color="000000" w:space="0" w:sz="0" w:val="nil"/>
              <w:left w:color="000000" w:space="0" w:sz="0" w:val="nil"/>
              <w:bottom w:color="999999" w:space="0" w:sz="8" w:val="single"/>
              <w:right w:color="999999" w:space="0" w:sz="8" w:val="single"/>
            </w:tcBorders>
            <w:tcMar>
              <w:top w:w="0.0" w:type="dxa"/>
              <w:left w:w="108.0" w:type="dxa"/>
              <w:bottom w:w="0.0" w:type="dxa"/>
              <w:right w:w="108.0" w:type="dxa"/>
            </w:tcMar>
          </w:tcPr>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GR RPO</w:t>
            </w:r>
          </w:p>
        </w:tc>
      </w:tr>
      <w:tr>
        <w:trPr>
          <w:cantSplit w:val="0"/>
          <w:trHeight w:val="2648" w:hRule="atLeast"/>
          <w:tblHeader w:val="0"/>
        </w:trPr>
        <w:tc>
          <w:tcPr>
            <w:tcBorders>
              <w:top w:color="000000" w:space="0" w:sz="0" w:val="nil"/>
              <w:left w:color="999999" w:space="0" w:sz="8" w:val="single"/>
              <w:bottom w:color="999999" w:space="0" w:sz="8" w:val="single"/>
              <w:right w:color="999999" w:space="0" w:sz="8" w:val="single"/>
            </w:tcBorders>
            <w:tcMar>
              <w:top w:w="0.0" w:type="dxa"/>
              <w:left w:w="108.0" w:type="dxa"/>
              <w:bottom w:w="0.0" w:type="dxa"/>
              <w:right w:w="108.0" w:type="dxa"/>
            </w:tcMar>
          </w:tcPr>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RFC_002</w:t>
            </w:r>
          </w:p>
        </w:tc>
        <w:tc>
          <w:tcPr>
            <w:tcBorders>
              <w:top w:color="000000" w:space="0" w:sz="0" w:val="nil"/>
              <w:left w:color="000000" w:space="0" w:sz="0" w:val="nil"/>
              <w:bottom w:color="999999" w:space="0" w:sz="8" w:val="single"/>
              <w:right w:color="999999" w:space="0" w:sz="8" w:val="single"/>
            </w:tcBorders>
            <w:tcMar>
              <w:top w:w="0.0" w:type="dxa"/>
              <w:left w:w="108.0" w:type="dxa"/>
              <w:bottom w:w="0.0" w:type="dxa"/>
              <w:right w:w="108.0" w:type="dxa"/>
            </w:tcMar>
          </w:tcPr>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Systémové, databázové a aplikačné oddelenie registra KÚV</w:t>
            </w:r>
          </w:p>
        </w:tc>
        <w:tc>
          <w:tcPr>
            <w:tcBorders>
              <w:top w:color="000000" w:space="0" w:sz="0" w:val="nil"/>
              <w:left w:color="000000" w:space="0" w:sz="0" w:val="nil"/>
              <w:bottom w:color="999999" w:space="0" w:sz="8" w:val="single"/>
              <w:right w:color="999999" w:space="0" w:sz="8" w:val="single"/>
            </w:tcBorders>
            <w:tcMar>
              <w:top w:w="0.0" w:type="dxa"/>
              <w:left w:w="108.0" w:type="dxa"/>
              <w:bottom w:w="0.0" w:type="dxa"/>
              <w:right w:w="108.0" w:type="dxa"/>
            </w:tcMar>
          </w:tcPr>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sqyw64" w:id="60"/>
            <w:bookmarkEnd w:id="6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Systémové, databázové a aplikačné oddelenie registra KÚV vrátane dát a správy od registra RPO pri zachovaní referencovania referenčných údajov ostávajúcich v IS RPO na RPO</w:t>
            </w:r>
          </w:p>
        </w:tc>
        <w:tc>
          <w:tcPr>
            <w:tcBorders>
              <w:top w:color="000000" w:space="0" w:sz="0" w:val="nil"/>
              <w:left w:color="000000" w:space="0" w:sz="0" w:val="nil"/>
              <w:bottom w:color="999999" w:space="0" w:sz="8" w:val="single"/>
              <w:right w:color="999999" w:space="0" w:sz="8" w:val="single"/>
            </w:tcBorders>
            <w:tcMar>
              <w:top w:w="0.0" w:type="dxa"/>
              <w:left w:w="108.0" w:type="dxa"/>
              <w:bottom w:w="0.0" w:type="dxa"/>
              <w:right w:w="108.0" w:type="dxa"/>
            </w:tcMar>
          </w:tcPr>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KÚV</w:t>
            </w:r>
          </w:p>
        </w:tc>
      </w:tr>
    </w:tbl>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1">
      <w:pPr>
        <w:pStyle w:val="Heading2"/>
        <w:widowControl w:val="1"/>
        <w:rPr/>
      </w:pPr>
      <w:bookmarkStart w:colFirst="0" w:colLast="0" w:name="_heading=h.3cqmetx" w:id="61"/>
      <w:bookmarkEnd w:id="61"/>
      <w:r w:rsidDel="00000000" w:rsidR="00000000" w:rsidRPr="00000000">
        <w:rPr>
          <w:rtl w:val="0"/>
        </w:rPr>
        <w:t xml:space="preserve">KAPITOLA B.2 SPÔSOB URČENIA CENY</w:t>
      </w:r>
    </w:p>
    <w:p w:rsidR="00000000" w:rsidDel="00000000" w:rsidP="00000000" w:rsidRDefault="00000000" w:rsidRPr="00000000" w14:paraId="000003F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Uchádzačom navrhovaná celková cena za poskytovanie predmetu zákazky podľa predpokladaného čerpania, vypočítaná a vyjadrená v EUR s DPH, zaokrúhlená na dve (2) desatinné miesta musí byť stanovená v súlade s ust. zákona č. 18/1996 Z. z. o cenách v znení neskorších predpisov a v súlade s ust. vyhlášky Ministerstva financií Slovenskej republiky č. 87/1996 Z. z. ktorou sa vykonáva zákon Národnej rady Slovenskej republiky č. 18/1996 Z. z. o cenách v znení neskorších predpisov.</w:t>
      </w:r>
    </w:p>
    <w:p w:rsidR="00000000" w:rsidDel="00000000" w:rsidP="00000000" w:rsidRDefault="00000000" w:rsidRPr="00000000" w14:paraId="000003F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celkovej cene musia byť započítané všetky ekonomicky oprávnené náklady a primeraný zisk podľa § 2 a § 3 zákona č. 18/1996 Z. z. o cenách v znení neskorších predpisov a § 3 vyhlášky č. 87/1996 Z. z., ktorou sa vykonáva zákon č. 18/1996 Z. z. o cenách v znení neskorších predpisov. Súčasťou celkovej ceny je aj príslušná spotrebná daň a pri dovážanom tovare aj clo a iné platby vyberané v rámci uplatňovania nesadzobných opatrení ustanovených osobitnými predpismi.</w:t>
      </w:r>
    </w:p>
    <w:p w:rsidR="00000000" w:rsidDel="00000000" w:rsidP="00000000" w:rsidRDefault="00000000" w:rsidRPr="00000000" w14:paraId="000003F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Cena musí byť stanovená v mene euro (EUR).</w:t>
      </w:r>
    </w:p>
    <w:p w:rsidR="00000000" w:rsidDel="00000000" w:rsidP="00000000" w:rsidRDefault="00000000" w:rsidRPr="00000000" w14:paraId="000003F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Navrhovanú cenu za poskytovanie predmetu zákazky podľa predpokladaného čerpania uvedie uchádzač v zložení tak, ako je to uvedené (požadované) v Prílohe č. 12 súťažných podkladov. Uchádzač vypĺňa odomknuté bunky podfarbené žltou farbou </w:t>
      </w:r>
      <w:r w:rsidDel="00000000" w:rsidR="00000000" w:rsidRPr="00000000">
        <w:rPr>
          <w:rFonts w:ascii="Times New Roman" w:cs="Times New Roman" w:eastAsia="Times New Roman" w:hAnsi="Times New Roman"/>
          <w:b w:val="0"/>
          <w:i w:val="0"/>
          <w:smallCaps w:val="0"/>
          <w:strike w:val="0"/>
          <w:color w:val="ffffcc"/>
          <w:sz w:val="22"/>
          <w:szCs w:val="22"/>
          <w:u w:val="none"/>
          <w:shd w:fill="auto" w:val="clear"/>
          <w:vertAlign w:val="baseline"/>
        </w:rPr>
        <w:drawing>
          <wp:inline distB="0" distT="0" distL="0" distR="0">
            <wp:extent cx="1085911" cy="152398"/>
            <wp:effectExtent b="0" l="0" r="0" t="0"/>
            <wp:docPr id="1643524201"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085911" cy="152398"/>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Za účelom zabezpečenia on-line sprístupnenia ponúk prostredníctvom funkcionality systému JOSEPHINE verejný obstarávateľ požaduje, aby uchádzač v rámci predkladania ponuky vyplnil návrh na plnenie kritérií aj prostredníctvom funkcionality systému JOSEPHINE (pri vkladaní do systému JOSEPHINE označené ako „Celková cena za poskytovanie predmetu zákazky podľa predpokladaného čerpania, vypočítaná a vyjadrená v EUR s DPH, zaokrúhlená na dve (2) desatinné miesta“).</w:t>
      </w:r>
    </w:p>
    <w:p w:rsidR="00000000" w:rsidDel="00000000" w:rsidP="00000000" w:rsidRDefault="00000000" w:rsidRPr="00000000" w14:paraId="000003F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 uchádzač nie je platiteľom DPH v Slovenskej republike, na skutočnosť, že nie je platiteľom DPH v Slovenskej republike, upozorní označením „Nie som platiteľom DPH“. DPH bude účtovaná vo výške v zmysle platných právnych predpisov v čase fakturácie.</w:t>
      </w:r>
    </w:p>
    <w:p w:rsidR="00000000" w:rsidDel="00000000" w:rsidP="00000000" w:rsidRDefault="00000000" w:rsidRPr="00000000" w14:paraId="000003F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Určenie ceny a spôsob jej určenia musí byť zrozumiteľný a jasný.</w:t>
      </w:r>
    </w:p>
    <w:p w:rsidR="00000000" w:rsidDel="00000000" w:rsidP="00000000" w:rsidRDefault="00000000" w:rsidRPr="00000000" w14:paraId="000003F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Celková navrhovaná cena za poskytovanie predmetu zákazky podľa predpokladaného čerpania musí obsahovať cenu za celý predmet zákazky uvedený v Kapitole B.1 Opis predmetu zákazky súťažných podkladov a ďalších príslušných častiach súťažných podkladov.</w:t>
      </w:r>
    </w:p>
    <w:p w:rsidR="00000000" w:rsidDel="00000000" w:rsidP="00000000" w:rsidRDefault="00000000" w:rsidRPr="00000000" w14:paraId="000003F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Ponúknutá cena musí obsahovať všetky náklady úspešného uchádzača potrebné na splnenie (poskytovanie) predmetu zákazky.</w:t>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B">
      <w:pPr>
        <w:spacing w:after="60" w:before="60" w:line="252.00000000000003" w:lineRule="auto"/>
        <w:jc w:val="both"/>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3FC">
      <w:pPr>
        <w:pStyle w:val="Heading2"/>
        <w:widowControl w:val="1"/>
        <w:rPr/>
      </w:pPr>
      <w:bookmarkStart w:colFirst="0" w:colLast="0" w:name="_heading=h.1rvwp1q" w:id="62"/>
      <w:bookmarkEnd w:id="62"/>
      <w:r w:rsidDel="00000000" w:rsidR="00000000" w:rsidRPr="00000000">
        <w:rPr>
          <w:rtl w:val="0"/>
        </w:rPr>
        <w:t xml:space="preserve">KAPITOLA B.3 OBCHODNÉ PODMIENKY POSKYTOVANIA PREDMETU ZÁKAZKY</w:t>
      </w:r>
    </w:p>
    <w:p w:rsidR="00000000" w:rsidDel="00000000" w:rsidP="00000000" w:rsidRDefault="00000000" w:rsidRPr="00000000" w14:paraId="000003FD">
      <w:pPr>
        <w:pStyle w:val="Heading3"/>
        <w:widowControl w:val="1"/>
        <w:rPr/>
      </w:pPr>
      <w:bookmarkStart w:colFirst="0" w:colLast="0" w:name="_heading=h.4bvk7pj" w:id="63"/>
      <w:bookmarkEnd w:id="63"/>
      <w:r w:rsidDel="00000000" w:rsidR="00000000" w:rsidRPr="00000000">
        <w:rPr>
          <w:rtl w:val="0"/>
        </w:rPr>
        <w:t xml:space="preserve">ČASŤ I. VŠEOBECNÉ INFORMÁCIE</w:t>
      </w:r>
    </w:p>
    <w:p w:rsidR="00000000" w:rsidDel="00000000" w:rsidP="00000000" w:rsidRDefault="00000000" w:rsidRPr="00000000" w14:paraId="000003F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uzatvorí s jediným úspešným uchádzačom Zmluvu o poskytovaní služieb podpory prevádzky, údržby a rozvoja informačných systémov podľa § 269 ods. 2 zákona č. 513/1991 Zb. Obchodný zákonník v znení neskorších predpisov, ktorá má charakter rámcovej dohody podľa ust. § 83 zákona o verejnom obstarávaní. </w:t>
      </w:r>
    </w:p>
    <w:p w:rsidR="00000000" w:rsidDel="00000000" w:rsidP="00000000" w:rsidRDefault="00000000" w:rsidRPr="00000000" w14:paraId="000003F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60" w:line="252.00000000000003" w:lineRule="auto"/>
        <w:ind w:left="567"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trvá na stanovených obchodných podmienkach (návrhu zmluvy). Uchádzač obsahom ponuky predloží čestné vyhlásenie uchádzača, že sa v celom rozsahu oboznámil s podmienky verejného obstarávateľa, týkajúcimi sa verejnej súťaže, uvedenými v Oznámení o vyhlásení verejného obstarávania, v súťažných podkladoch a ďalších dokumentoch potrebných na vypracovanie ponuky a na preukázanie splnenia podmienok účasti, vrátane ich doplnení a/alebo zmien, poskytnutých verejným obstarávateľom, s dokumentáciou k Registru a identifikátoru právnických osôb a podnikateľov nevynímajúc, že v celom rozsahu, že v celom rozsahu a bez akýchkoľvek výhrad akceptuje všetky podmienky verejného obstarávateľa</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týkajúce sa verejnej súťaže a v prípade, že ponuka uchádzača bude úspešná a bude prijatá zo strany verejného obstarávateľa, uchádzač sa zaväzuje uzatvoriť zmluvu v súlade s podmienkami uvedenými v Kapitole B.3 Obchodné podmienky poskytovania predmetu zákazky súťažných podkladov a ďalších príslušných častí súťažných podkladov, v rozsahu podľa Prílohy č. 5 súťažných podkladov.</w:t>
      </w:r>
    </w:p>
    <w:p w:rsidR="00000000" w:rsidDel="00000000" w:rsidP="00000000" w:rsidRDefault="00000000" w:rsidRPr="00000000" w14:paraId="00000400">
      <w:pPr>
        <w:pStyle w:val="Heading3"/>
        <w:widowControl w:val="1"/>
        <w:rPr/>
      </w:pPr>
      <w:bookmarkStart w:colFirst="0" w:colLast="0" w:name="_heading=h.2r0uhxc" w:id="64"/>
      <w:bookmarkEnd w:id="64"/>
      <w:r w:rsidDel="00000000" w:rsidR="00000000" w:rsidRPr="00000000">
        <w:rPr>
          <w:rtl w:val="0"/>
        </w:rPr>
        <w:t xml:space="preserve">ČASŤ II. NÁVRH ZMLUVY </w:t>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ako súčasť dokumentov k zákazke uverejní v prostredí systému JOSEPHINE návrh zmluvy ako samostatný dokument, ktorý tvorí neoddeliteľnú súčasť súťažných podkladov.</w:t>
      </w:r>
    </w:p>
    <w:p w:rsidR="00000000" w:rsidDel="00000000" w:rsidP="00000000" w:rsidRDefault="00000000" w:rsidRPr="00000000" w14:paraId="00000402">
      <w:pPr>
        <w:spacing w:after="200" w:line="252.00000000000003" w:lineRule="auto"/>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403">
      <w:pPr>
        <w:pStyle w:val="Heading2"/>
        <w:widowControl w:val="1"/>
        <w:rPr/>
      </w:pPr>
      <w:bookmarkStart w:colFirst="0" w:colLast="0" w:name="_heading=h.1664s55" w:id="65"/>
      <w:bookmarkEnd w:id="65"/>
      <w:r w:rsidDel="00000000" w:rsidR="00000000" w:rsidRPr="00000000">
        <w:rPr>
          <w:smallCaps w:val="0"/>
          <w:rtl w:val="0"/>
        </w:rPr>
        <w:t xml:space="preserve">PRÍLOHY Č. 1 - 18 SÚŤAŽNÝCH PODKLADOV</w:t>
      </w:r>
      <w:r w:rsidDel="00000000" w:rsidR="00000000" w:rsidRPr="00000000">
        <w:rPr>
          <w:rtl w:val="0"/>
        </w:rPr>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Verejný obstarávateľ ako súčasť dokumentov k zákazke uverejní v prostredí systému JOSEPHINE Prílohy č. 1 - 18 súťažných podkladov ako samostatný dokument, ktorý tvorí neoddeliteľnú súčasť súťažných podkladov.</w:t>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2.00000000000003"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sectPr>
      <w:footerReference r:id="rId20" w:type="first"/>
      <w:type w:val="nextPage"/>
      <w:pgSz w:h="16838" w:w="11906" w:orient="portrait"/>
      <w:pgMar w:bottom="1418" w:top="1418" w:left="1418" w:right="1418"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alibri"/>
  <w:font w:name="Cambria"/>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0"/>
        <w:tab w:val="right" w:leader="none" w:pos="9070"/>
      </w:tabs>
      <w:spacing w:after="60" w:before="6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Štatistický úrad Slovenskej republiky</w:t>
      <w:tab/>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6"/>
      <w:tblW w:w="9070.0" w:type="dxa"/>
      <w:jc w:val="center"/>
      <w:tblLayout w:type="fixed"/>
      <w:tblLook w:val="0400"/>
    </w:tblPr>
    <w:tblGrid>
      <w:gridCol w:w="2180"/>
      <w:gridCol w:w="6890"/>
      <w:tblGridChange w:id="0">
        <w:tblGrid>
          <w:gridCol w:w="2180"/>
          <w:gridCol w:w="6890"/>
        </w:tblGrid>
      </w:tblGridChange>
    </w:tblGrid>
    <w:tr>
      <w:trPr>
        <w:cantSplit w:val="1"/>
        <w:tblHeader w:val="0"/>
      </w:trPr>
      <w:tc>
        <w:tcPr>
          <w:vAlign w:val="center"/>
        </w:tcPr>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Pr>
            <w:drawing>
              <wp:inline distB="0" distT="0" distL="0" distR="0">
                <wp:extent cx="1295400" cy="573186"/>
                <wp:effectExtent b="0" l="0" r="0" t="0"/>
                <wp:docPr id="1643524200"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295400" cy="573186"/>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60" w:before="60" w:line="252.00000000000003"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Štatistický úrad Slovenskej republiky</w:t>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Lamačská cesta 3/C, 840 05 Bratislava 45, Slovenská republika</w:t>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60" w:before="60" w:line="252.00000000000003"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Súťažné podklady na predmet zákazky: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Služby podpory prevádzky a rozvoja diela Register a identifikátor právnických osôb a podnikateľov</w:t>
          </w:r>
        </w:p>
      </w:tc>
    </w:tr>
  </w:tbl>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7"/>
      <w:tblW w:w="9070.0" w:type="dxa"/>
      <w:jc w:val="center"/>
      <w:tblLayout w:type="fixed"/>
      <w:tblLook w:val="0400"/>
    </w:tblPr>
    <w:tblGrid>
      <w:gridCol w:w="2180"/>
      <w:gridCol w:w="6890"/>
      <w:tblGridChange w:id="0">
        <w:tblGrid>
          <w:gridCol w:w="2180"/>
          <w:gridCol w:w="6890"/>
        </w:tblGrid>
      </w:tblGridChange>
    </w:tblGrid>
    <w:tr>
      <w:trPr>
        <w:cantSplit w:val="1"/>
        <w:tblHeader w:val="0"/>
      </w:trPr>
      <w:tc>
        <w:tcPr>
          <w:vAlign w:val="center"/>
        </w:tcPr>
        <w:p w:rsidR="00000000" w:rsidDel="00000000" w:rsidP="00000000" w:rsidRDefault="00000000" w:rsidRPr="00000000" w14:paraId="0000040D">
          <w:pPr>
            <w:widowControl w:val="0"/>
            <w:spacing w:after="60" w:before="60" w:line="252.00000000000003" w:lineRule="auto"/>
            <w:jc w:val="both"/>
            <w:rPr>
              <w:rFonts w:ascii="Arial" w:cs="Arial" w:eastAsia="Arial" w:hAnsi="Arial"/>
              <w:b w:val="1"/>
              <w:sz w:val="20"/>
              <w:szCs w:val="20"/>
            </w:rPr>
          </w:pPr>
          <w:r w:rsidDel="00000000" w:rsidR="00000000" w:rsidRPr="00000000">
            <w:rPr>
              <w:b w:val="1"/>
              <w:sz w:val="18"/>
              <w:szCs w:val="18"/>
            </w:rPr>
            <w:drawing>
              <wp:inline distB="0" distT="0" distL="0" distR="0">
                <wp:extent cx="1295400" cy="573186"/>
                <wp:effectExtent b="0" l="0" r="0" t="0"/>
                <wp:docPr id="164352420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295400" cy="573186"/>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60" w:before="60" w:line="252.00000000000003"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Štatistický úrad Slovenskej republiky</w:t>
          </w:r>
        </w:p>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60" w:before="6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Lamačská cesta 3/C, 840 05 Bratislava 45, Slovenská republika</w:t>
          </w:r>
        </w:p>
        <w:p w:rsidR="00000000" w:rsidDel="00000000" w:rsidP="00000000" w:rsidRDefault="00000000" w:rsidRPr="00000000" w14:paraId="00000410">
          <w:pPr>
            <w:widowControl w:val="0"/>
            <w:spacing w:after="60" w:before="60" w:line="252.00000000000003" w:lineRule="auto"/>
            <w:jc w:val="both"/>
            <w:rPr>
              <w:b w:val="1"/>
            </w:rPr>
          </w:pPr>
          <w:r w:rsidDel="00000000" w:rsidR="00000000" w:rsidRPr="00000000">
            <w:rPr>
              <w:sz w:val="20"/>
              <w:szCs w:val="20"/>
              <w:rtl w:val="0"/>
            </w:rPr>
            <w:t xml:space="preserve">Súťažné podklady na predmet zákazky: </w:t>
          </w:r>
          <w:r w:rsidDel="00000000" w:rsidR="00000000" w:rsidRPr="00000000">
            <w:rPr>
              <w:b w:val="1"/>
              <w:color w:val="000000"/>
              <w:sz w:val="20"/>
              <w:szCs w:val="20"/>
              <w:rtl w:val="0"/>
            </w:rPr>
            <w:t xml:space="preserve">Služby podpory prevádzky a rozvoja diela Register a identifikátor právnických osôb a podnikateľov</w:t>
          </w:r>
          <w:r w:rsidDel="00000000" w:rsidR="00000000" w:rsidRPr="00000000">
            <w:rPr>
              <w:rtl w:val="0"/>
            </w:rPr>
          </w:r>
        </w:p>
      </w:tc>
    </w:tr>
  </w:tbl>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778" w:hanging="360"/>
      </w:pPr>
      <w:rPr>
        <w:rFonts w:ascii="Noto Sans Symbols" w:cs="Noto Sans Symbols" w:eastAsia="Noto Sans Symbols" w:hAnsi="Noto Sans Symbols"/>
      </w:rPr>
    </w:lvl>
    <w:lvl w:ilvl="1">
      <w:start w:val="1"/>
      <w:numFmt w:val="bullet"/>
      <w:lvlText w:val="o"/>
      <w:lvlJc w:val="left"/>
      <w:pPr>
        <w:ind w:left="2498" w:hanging="360"/>
      </w:pPr>
      <w:rPr>
        <w:rFonts w:ascii="Courier New" w:cs="Courier New" w:eastAsia="Courier New" w:hAnsi="Courier New"/>
      </w:rPr>
    </w:lvl>
    <w:lvl w:ilvl="2">
      <w:start w:val="1"/>
      <w:numFmt w:val="bullet"/>
      <w:lvlText w:val="▪"/>
      <w:lvlJc w:val="left"/>
      <w:pPr>
        <w:ind w:left="3218" w:hanging="360"/>
      </w:pPr>
      <w:rPr>
        <w:rFonts w:ascii="Noto Sans Symbols" w:cs="Noto Sans Symbols" w:eastAsia="Noto Sans Symbols" w:hAnsi="Noto Sans Symbols"/>
      </w:rPr>
    </w:lvl>
    <w:lvl w:ilvl="3">
      <w:start w:val="1"/>
      <w:numFmt w:val="bullet"/>
      <w:lvlText w:val="●"/>
      <w:lvlJc w:val="left"/>
      <w:pPr>
        <w:ind w:left="3938" w:hanging="360"/>
      </w:pPr>
      <w:rPr>
        <w:rFonts w:ascii="Noto Sans Symbols" w:cs="Noto Sans Symbols" w:eastAsia="Noto Sans Symbols" w:hAnsi="Noto Sans Symbols"/>
      </w:rPr>
    </w:lvl>
    <w:lvl w:ilvl="4">
      <w:start w:val="1"/>
      <w:numFmt w:val="bullet"/>
      <w:lvlText w:val="o"/>
      <w:lvlJc w:val="left"/>
      <w:pPr>
        <w:ind w:left="4658" w:hanging="360"/>
      </w:pPr>
      <w:rPr>
        <w:rFonts w:ascii="Courier New" w:cs="Courier New" w:eastAsia="Courier New" w:hAnsi="Courier New"/>
      </w:rPr>
    </w:lvl>
    <w:lvl w:ilvl="5">
      <w:start w:val="1"/>
      <w:numFmt w:val="bullet"/>
      <w:lvlText w:val="▪"/>
      <w:lvlJc w:val="left"/>
      <w:pPr>
        <w:ind w:left="5378" w:hanging="360"/>
      </w:pPr>
      <w:rPr>
        <w:rFonts w:ascii="Noto Sans Symbols" w:cs="Noto Sans Symbols" w:eastAsia="Noto Sans Symbols" w:hAnsi="Noto Sans Symbols"/>
      </w:rPr>
    </w:lvl>
    <w:lvl w:ilvl="6">
      <w:start w:val="1"/>
      <w:numFmt w:val="bullet"/>
      <w:lvlText w:val="●"/>
      <w:lvlJc w:val="left"/>
      <w:pPr>
        <w:ind w:left="6098" w:hanging="360"/>
      </w:pPr>
      <w:rPr>
        <w:rFonts w:ascii="Noto Sans Symbols" w:cs="Noto Sans Symbols" w:eastAsia="Noto Sans Symbols" w:hAnsi="Noto Sans Symbols"/>
      </w:rPr>
    </w:lvl>
    <w:lvl w:ilvl="7">
      <w:start w:val="1"/>
      <w:numFmt w:val="bullet"/>
      <w:lvlText w:val="o"/>
      <w:lvlJc w:val="left"/>
      <w:pPr>
        <w:ind w:left="6818" w:hanging="360"/>
      </w:pPr>
      <w:rPr>
        <w:rFonts w:ascii="Courier New" w:cs="Courier New" w:eastAsia="Courier New" w:hAnsi="Courier New"/>
      </w:rPr>
    </w:lvl>
    <w:lvl w:ilvl="8">
      <w:start w:val="1"/>
      <w:numFmt w:val="bullet"/>
      <w:lvlText w:val="▪"/>
      <w:lvlJc w:val="left"/>
      <w:pPr>
        <w:ind w:left="7538" w:hanging="360"/>
      </w:pPr>
      <w:rPr>
        <w:rFonts w:ascii="Noto Sans Symbols" w:cs="Noto Sans Symbols" w:eastAsia="Noto Sans Symbols" w:hAnsi="Noto Sans Symbols"/>
      </w:rPr>
    </w:lvl>
  </w:abstractNum>
  <w:abstractNum w:abstractNumId="2">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1400" w:hanging="360"/>
      </w:pPr>
      <w:rPr/>
    </w:lvl>
    <w:lvl w:ilvl="1">
      <w:start w:val="1"/>
      <w:numFmt w:val="bullet"/>
      <w:lvlText w:val="o"/>
      <w:lvlJc w:val="left"/>
      <w:pPr>
        <w:ind w:left="2120" w:hanging="360"/>
      </w:pPr>
      <w:rPr>
        <w:rFonts w:ascii="Courier New" w:cs="Courier New" w:eastAsia="Courier New" w:hAnsi="Courier New"/>
      </w:rPr>
    </w:lvl>
    <w:lvl w:ilvl="2">
      <w:start w:val="1"/>
      <w:numFmt w:val="bullet"/>
      <w:lvlText w:val="▪"/>
      <w:lvlJc w:val="left"/>
      <w:pPr>
        <w:ind w:left="2840" w:hanging="360"/>
      </w:pPr>
      <w:rPr>
        <w:rFonts w:ascii="Noto Sans Symbols" w:cs="Noto Sans Symbols" w:eastAsia="Noto Sans Symbols" w:hAnsi="Noto Sans Symbols"/>
      </w:rPr>
    </w:lvl>
    <w:lvl w:ilvl="3">
      <w:start w:val="1"/>
      <w:numFmt w:val="bullet"/>
      <w:lvlText w:val="●"/>
      <w:lvlJc w:val="left"/>
      <w:pPr>
        <w:ind w:left="3560" w:hanging="360"/>
      </w:pPr>
      <w:rPr>
        <w:rFonts w:ascii="Noto Sans Symbols" w:cs="Noto Sans Symbols" w:eastAsia="Noto Sans Symbols" w:hAnsi="Noto Sans Symbols"/>
      </w:rPr>
    </w:lvl>
    <w:lvl w:ilvl="4">
      <w:start w:val="1"/>
      <w:numFmt w:val="bullet"/>
      <w:lvlText w:val="o"/>
      <w:lvlJc w:val="left"/>
      <w:pPr>
        <w:ind w:left="4280" w:hanging="360"/>
      </w:pPr>
      <w:rPr>
        <w:rFonts w:ascii="Courier New" w:cs="Courier New" w:eastAsia="Courier New" w:hAnsi="Courier New"/>
      </w:rPr>
    </w:lvl>
    <w:lvl w:ilvl="5">
      <w:start w:val="1"/>
      <w:numFmt w:val="bullet"/>
      <w:lvlText w:val="▪"/>
      <w:lvlJc w:val="left"/>
      <w:pPr>
        <w:ind w:left="5000" w:hanging="360"/>
      </w:pPr>
      <w:rPr>
        <w:rFonts w:ascii="Noto Sans Symbols" w:cs="Noto Sans Symbols" w:eastAsia="Noto Sans Symbols" w:hAnsi="Noto Sans Symbols"/>
      </w:rPr>
    </w:lvl>
    <w:lvl w:ilvl="6">
      <w:start w:val="1"/>
      <w:numFmt w:val="bullet"/>
      <w:lvlText w:val="●"/>
      <w:lvlJc w:val="left"/>
      <w:pPr>
        <w:ind w:left="5720" w:hanging="360"/>
      </w:pPr>
      <w:rPr>
        <w:rFonts w:ascii="Noto Sans Symbols" w:cs="Noto Sans Symbols" w:eastAsia="Noto Sans Symbols" w:hAnsi="Noto Sans Symbols"/>
      </w:rPr>
    </w:lvl>
    <w:lvl w:ilvl="7">
      <w:start w:val="1"/>
      <w:numFmt w:val="bullet"/>
      <w:lvlText w:val="o"/>
      <w:lvlJc w:val="left"/>
      <w:pPr>
        <w:ind w:left="6440" w:hanging="360"/>
      </w:pPr>
      <w:rPr>
        <w:rFonts w:ascii="Courier New" w:cs="Courier New" w:eastAsia="Courier New" w:hAnsi="Courier New"/>
      </w:rPr>
    </w:lvl>
    <w:lvl w:ilvl="8">
      <w:start w:val="1"/>
      <w:numFmt w:val="bullet"/>
      <w:lvlText w:val="▪"/>
      <w:lvlJc w:val="left"/>
      <w:pPr>
        <w:ind w:left="7160" w:hanging="360"/>
      </w:pPr>
      <w:rPr>
        <w:rFonts w:ascii="Noto Sans Symbols" w:cs="Noto Sans Symbols" w:eastAsia="Noto Sans Symbols" w:hAnsi="Noto Sans Symbols"/>
      </w:rPr>
    </w:lvl>
  </w:abstractNum>
  <w:abstractNum w:abstractNumId="7">
    <w:lvl w:ilvl="0">
      <w:start w:val="1"/>
      <w:numFmt w:val="decimal"/>
      <w:lvlText w:val="%1."/>
      <w:lvlJc w:val="left"/>
      <w:pPr>
        <w:ind w:left="927" w:hanging="360"/>
      </w:pPr>
      <w:rPr/>
    </w:lvl>
    <w:lvl w:ilvl="1">
      <w:start w:val="1"/>
      <w:numFmt w:val="decimal"/>
      <w:lvlText w:val="%1.%2."/>
      <w:lvlJc w:val="left"/>
      <w:pPr>
        <w:ind w:left="927" w:hanging="360"/>
      </w:pPr>
      <w:rPr/>
    </w:lvl>
    <w:lvl w:ilvl="2">
      <w:start w:val="1"/>
      <w:numFmt w:val="decimal"/>
      <w:lvlText w:val="%1.%2.%3."/>
      <w:lvlJc w:val="left"/>
      <w:pPr>
        <w:ind w:left="1287" w:hanging="720.0000000000001"/>
      </w:pPr>
      <w:rPr/>
    </w:lvl>
    <w:lvl w:ilvl="3">
      <w:start w:val="1"/>
      <w:numFmt w:val="decimal"/>
      <w:lvlText w:val="%1.%2.%3.%4."/>
      <w:lvlJc w:val="left"/>
      <w:pPr>
        <w:ind w:left="1287" w:hanging="720.0000000000001"/>
      </w:pPr>
      <w:rPr/>
    </w:lvl>
    <w:lvl w:ilvl="4">
      <w:start w:val="1"/>
      <w:numFmt w:val="decimal"/>
      <w:lvlText w:val="%1.%2.%3.%4.%5."/>
      <w:lvlJc w:val="left"/>
      <w:pPr>
        <w:ind w:left="1647" w:hanging="1080"/>
      </w:pPr>
      <w:rPr/>
    </w:lvl>
    <w:lvl w:ilvl="5">
      <w:start w:val="1"/>
      <w:numFmt w:val="decimal"/>
      <w:lvlText w:val="%1.%2.%3.%4.%5.%6."/>
      <w:lvlJc w:val="left"/>
      <w:pPr>
        <w:ind w:left="1647" w:hanging="1080"/>
      </w:pPr>
      <w:rPr/>
    </w:lvl>
    <w:lvl w:ilvl="6">
      <w:start w:val="1"/>
      <w:numFmt w:val="decimal"/>
      <w:lvlText w:val="%1.%2.%3.%4.%5.%6.%7."/>
      <w:lvlJc w:val="left"/>
      <w:pPr>
        <w:ind w:left="2007" w:hanging="1440"/>
      </w:pPr>
      <w:rPr/>
    </w:lvl>
    <w:lvl w:ilvl="7">
      <w:start w:val="1"/>
      <w:numFmt w:val="decimal"/>
      <w:lvlText w:val="%1.%2.%3.%4.%5.%6.%7.%8."/>
      <w:lvlJc w:val="left"/>
      <w:pPr>
        <w:ind w:left="2007" w:hanging="1440"/>
      </w:pPr>
      <w:rPr/>
    </w:lvl>
    <w:lvl w:ilvl="8">
      <w:start w:val="1"/>
      <w:numFmt w:val="decimal"/>
      <w:lvlText w:val="%1.%2.%3.%4.%5.%6.%7.%8.%9."/>
      <w:lvlJc w:val="left"/>
      <w:pPr>
        <w:ind w:left="2367" w:hanging="1800"/>
      </w:pPr>
      <w:rPr/>
    </w:lvl>
  </w:abstractNum>
  <w:abstractNum w:abstractNumId="8">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644" w:hanging="359.99999999999994"/>
      </w:pPr>
      <w:rPr>
        <w:color w:val="366091"/>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10">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11">
    <w:lvl w:ilvl="0">
      <w:start w:val="1"/>
      <w:numFmt w:val="lowerLetter"/>
      <w:lvlText w:val="%1."/>
      <w:lvlJc w:val="left"/>
      <w:pPr>
        <w:ind w:left="1364"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lvl>
    <w:lvl w:ilvl="1">
      <w:start w:val="1"/>
      <w:numFmt w:val="decimal"/>
      <w:lvlText w:val="%1.%2"/>
      <w:lvlJc w:val="left"/>
      <w:pPr>
        <w:ind w:left="570" w:hanging="570"/>
      </w:pPr>
      <w:rPr>
        <w:b w:val="0"/>
        <w:color w:val="000000"/>
      </w:rPr>
    </w:lvl>
    <w:lvl w:ilvl="2">
      <w:start w:val="1"/>
      <w:numFmt w:val="decimal"/>
      <w:lvlText w:val="%1.%2.%3"/>
      <w:lvlJc w:val="left"/>
      <w:pPr>
        <w:ind w:left="1713" w:hanging="719.9999999999999"/>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3">
    <w:lvl w:ilvl="0">
      <w:start w:val="1"/>
      <w:numFmt w:val="lowerRoman"/>
      <w:lvlText w:val="%1."/>
      <w:lvlJc w:val="right"/>
      <w:pPr>
        <w:ind w:left="2084" w:hanging="18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lvl>
    <w:lvl w:ilvl="1">
      <w:start w:val="1"/>
      <w:numFmt w:val="decimal"/>
      <w:lvlText w:val="%1.%2"/>
      <w:lvlJc w:val="left"/>
      <w:pPr>
        <w:ind w:left="570" w:hanging="570"/>
      </w:pPr>
      <w:rPr>
        <w:b w:val="0"/>
        <w:color w:val="000000"/>
      </w:rPr>
    </w:lvl>
    <w:lvl w:ilvl="2">
      <w:start w:val="1"/>
      <w:numFmt w:val="decimal"/>
      <w:lvlText w:val="%1.%2.%3"/>
      <w:lvlJc w:val="left"/>
      <w:pPr>
        <w:ind w:left="1713" w:hanging="719.9999999999999"/>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5">
    <w:lvl w:ilvl="0">
      <w:start w:val="1"/>
      <w:numFmt w:val="lowerLetter"/>
      <w:lvlText w:val="%1."/>
      <w:lvlJc w:val="left"/>
      <w:pPr>
        <w:ind w:left="1364"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lowerLetter"/>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lowerLetter"/>
      <w:lvlText w:val="%1)"/>
      <w:lvlJc w:val="left"/>
      <w:pPr>
        <w:ind w:left="720" w:hanging="360"/>
      </w:pPr>
      <w:rPr/>
    </w:lvl>
    <w:lvl w:ilvl="1">
      <w:start w:val="4"/>
      <w:numFmt w:val="bullet"/>
      <w:lvlText w:val="•"/>
      <w:lvlJc w:val="left"/>
      <w:pPr>
        <w:ind w:left="1440" w:hanging="360"/>
      </w:pPr>
      <w:rPr>
        <w:rFonts w:ascii="Times New Roman" w:cs="Times New Roman" w:eastAsia="Times New Roman" w:hAnsi="Times New Roman"/>
      </w:rPr>
    </w:lvl>
    <w:lvl w:ilvl="2">
      <w:start w:val="1"/>
      <w:numFmt w:val="decimal"/>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bullet"/>
      <w:lvlText w:val="▪"/>
      <w:lvlJc w:val="left"/>
      <w:pPr>
        <w:ind w:left="1400" w:hanging="360"/>
      </w:pPr>
      <w:rPr>
        <w:rFonts w:ascii="Noto Sans Symbols" w:cs="Noto Sans Symbols" w:eastAsia="Noto Sans Symbols" w:hAnsi="Noto Sans Symbols"/>
      </w:rPr>
    </w:lvl>
    <w:lvl w:ilvl="1">
      <w:start w:val="1"/>
      <w:numFmt w:val="bullet"/>
      <w:lvlText w:val="o"/>
      <w:lvlJc w:val="left"/>
      <w:pPr>
        <w:ind w:left="2120" w:hanging="360"/>
      </w:pPr>
      <w:rPr>
        <w:rFonts w:ascii="Courier New" w:cs="Courier New" w:eastAsia="Courier New" w:hAnsi="Courier New"/>
      </w:rPr>
    </w:lvl>
    <w:lvl w:ilvl="2">
      <w:start w:val="1"/>
      <w:numFmt w:val="bullet"/>
      <w:lvlText w:val="▪"/>
      <w:lvlJc w:val="left"/>
      <w:pPr>
        <w:ind w:left="2840" w:hanging="360"/>
      </w:pPr>
      <w:rPr>
        <w:rFonts w:ascii="Noto Sans Symbols" w:cs="Noto Sans Symbols" w:eastAsia="Noto Sans Symbols" w:hAnsi="Noto Sans Symbols"/>
      </w:rPr>
    </w:lvl>
    <w:lvl w:ilvl="3">
      <w:start w:val="1"/>
      <w:numFmt w:val="bullet"/>
      <w:lvlText w:val="●"/>
      <w:lvlJc w:val="left"/>
      <w:pPr>
        <w:ind w:left="3560" w:hanging="360"/>
      </w:pPr>
      <w:rPr>
        <w:rFonts w:ascii="Noto Sans Symbols" w:cs="Noto Sans Symbols" w:eastAsia="Noto Sans Symbols" w:hAnsi="Noto Sans Symbols"/>
      </w:rPr>
    </w:lvl>
    <w:lvl w:ilvl="4">
      <w:start w:val="1"/>
      <w:numFmt w:val="bullet"/>
      <w:lvlText w:val="o"/>
      <w:lvlJc w:val="left"/>
      <w:pPr>
        <w:ind w:left="4280" w:hanging="360"/>
      </w:pPr>
      <w:rPr>
        <w:rFonts w:ascii="Courier New" w:cs="Courier New" w:eastAsia="Courier New" w:hAnsi="Courier New"/>
      </w:rPr>
    </w:lvl>
    <w:lvl w:ilvl="5">
      <w:start w:val="1"/>
      <w:numFmt w:val="bullet"/>
      <w:lvlText w:val="▪"/>
      <w:lvlJc w:val="left"/>
      <w:pPr>
        <w:ind w:left="5000" w:hanging="360"/>
      </w:pPr>
      <w:rPr>
        <w:rFonts w:ascii="Noto Sans Symbols" w:cs="Noto Sans Symbols" w:eastAsia="Noto Sans Symbols" w:hAnsi="Noto Sans Symbols"/>
      </w:rPr>
    </w:lvl>
    <w:lvl w:ilvl="6">
      <w:start w:val="1"/>
      <w:numFmt w:val="bullet"/>
      <w:lvlText w:val="●"/>
      <w:lvlJc w:val="left"/>
      <w:pPr>
        <w:ind w:left="5720" w:hanging="360"/>
      </w:pPr>
      <w:rPr>
        <w:rFonts w:ascii="Noto Sans Symbols" w:cs="Noto Sans Symbols" w:eastAsia="Noto Sans Symbols" w:hAnsi="Noto Sans Symbols"/>
      </w:rPr>
    </w:lvl>
    <w:lvl w:ilvl="7">
      <w:start w:val="1"/>
      <w:numFmt w:val="bullet"/>
      <w:lvlText w:val="o"/>
      <w:lvlJc w:val="left"/>
      <w:pPr>
        <w:ind w:left="6440" w:hanging="360"/>
      </w:pPr>
      <w:rPr>
        <w:rFonts w:ascii="Courier New" w:cs="Courier New" w:eastAsia="Courier New" w:hAnsi="Courier New"/>
      </w:rPr>
    </w:lvl>
    <w:lvl w:ilvl="8">
      <w:start w:val="1"/>
      <w:numFmt w:val="bullet"/>
      <w:lvlText w:val="▪"/>
      <w:lvlJc w:val="left"/>
      <w:pPr>
        <w:ind w:left="7160" w:hanging="360"/>
      </w:pPr>
      <w:rPr>
        <w:rFonts w:ascii="Noto Sans Symbols" w:cs="Noto Sans Symbols" w:eastAsia="Noto Sans Symbols" w:hAnsi="Noto Sans Symbols"/>
      </w:rPr>
    </w:lvl>
  </w:abstractNum>
  <w:abstractNum w:abstractNumId="20">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21">
    <w:lvl w:ilvl="0">
      <w:start w:val="1"/>
      <w:numFmt w:val="upperRoman"/>
      <w:lvlText w:val="(%1)"/>
      <w:lvlJc w:val="left"/>
      <w:pPr>
        <w:ind w:left="1080" w:hanging="720"/>
      </w:pPr>
      <w:rPr/>
    </w:lvl>
    <w:lvl w:ilvl="1">
      <w:start w:val="1"/>
      <w:numFmt w:val="lowerRoman"/>
      <w:lvlText w:val="(I.%2.)"/>
      <w:lvlJc w:val="left"/>
      <w:pPr>
        <w:ind w:left="1440" w:hanging="360"/>
      </w:pPr>
      <w:rPr>
        <w:b w:val="0"/>
      </w:rPr>
    </w:lvl>
    <w:lvl w:ilvl="2">
      <w:start w:val="1"/>
      <w:numFmt w:val="lowerRoman"/>
      <w:lvlText w:val="(%1.%3.)"/>
      <w:lvlJc w:val="left"/>
      <w:pPr>
        <w:ind w:left="606" w:hanging="180"/>
      </w:pPr>
      <w:rPr>
        <w:b w:val="1"/>
      </w:rPr>
    </w:lvl>
    <w:lvl w:ilvl="3">
      <w:start w:val="1"/>
      <w:numFmt w:val="lowerRoman"/>
      <w:lvlText w:val="(%1.%3.%4.)"/>
      <w:lvlJc w:val="left"/>
      <w:pPr>
        <w:ind w:left="2062" w:hanging="360"/>
      </w:pPr>
      <w:rPr/>
    </w:lvl>
    <w:lvl w:ilvl="4">
      <w:start w:val="1"/>
      <w:numFmt w:val="lowerRoman"/>
      <w:lvlText w:val="(VII.%5.)"/>
      <w:lvlJc w:val="left"/>
      <w:pPr>
        <w:ind w:left="720" w:hanging="360"/>
      </w:pPr>
      <w:rPr>
        <w:b w:val="0"/>
      </w:rPr>
    </w:lvl>
    <w:lvl w:ilvl="5">
      <w:start w:val="1"/>
      <w:numFmt w:val="lowerRoman"/>
      <w:lvlText w:val="(III.%6.)"/>
      <w:lvlJc w:val="left"/>
      <w:pPr>
        <w:ind w:left="4500" w:hanging="36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23">
    <w:lvl w:ilvl="0">
      <w:start w:val="1"/>
      <w:numFmt w:val="lowerLetter"/>
      <w:lvlText w:val="%1."/>
      <w:lvlJc w:val="left"/>
      <w:pPr>
        <w:ind w:left="3555" w:hanging="360"/>
      </w:pPr>
      <w:rPr/>
    </w:lvl>
    <w:lvl w:ilvl="1">
      <w:start w:val="1"/>
      <w:numFmt w:val="lowerLetter"/>
      <w:lvlText w:val="%2."/>
      <w:lvlJc w:val="left"/>
      <w:pPr>
        <w:ind w:left="4275" w:hanging="360"/>
      </w:pPr>
      <w:rPr/>
    </w:lvl>
    <w:lvl w:ilvl="2">
      <w:start w:val="1"/>
      <w:numFmt w:val="lowerRoman"/>
      <w:lvlText w:val="%3."/>
      <w:lvlJc w:val="right"/>
      <w:pPr>
        <w:ind w:left="4995" w:hanging="180"/>
      </w:pPr>
      <w:rPr/>
    </w:lvl>
    <w:lvl w:ilvl="3">
      <w:start w:val="1"/>
      <w:numFmt w:val="decimal"/>
      <w:lvlText w:val="%4."/>
      <w:lvlJc w:val="left"/>
      <w:pPr>
        <w:ind w:left="5715" w:hanging="360"/>
      </w:pPr>
      <w:rPr/>
    </w:lvl>
    <w:lvl w:ilvl="4">
      <w:start w:val="1"/>
      <w:numFmt w:val="lowerLetter"/>
      <w:lvlText w:val="%5."/>
      <w:lvlJc w:val="left"/>
      <w:pPr>
        <w:ind w:left="6435" w:hanging="360"/>
      </w:pPr>
      <w:rPr/>
    </w:lvl>
    <w:lvl w:ilvl="5">
      <w:start w:val="1"/>
      <w:numFmt w:val="lowerRoman"/>
      <w:lvlText w:val="%6."/>
      <w:lvlJc w:val="right"/>
      <w:pPr>
        <w:ind w:left="7155" w:hanging="180"/>
      </w:pPr>
      <w:rPr/>
    </w:lvl>
    <w:lvl w:ilvl="6">
      <w:start w:val="1"/>
      <w:numFmt w:val="decimal"/>
      <w:lvlText w:val="%7."/>
      <w:lvlJc w:val="left"/>
      <w:pPr>
        <w:ind w:left="7875" w:hanging="360"/>
      </w:pPr>
      <w:rPr/>
    </w:lvl>
    <w:lvl w:ilvl="7">
      <w:start w:val="1"/>
      <w:numFmt w:val="lowerLetter"/>
      <w:lvlText w:val="%8."/>
      <w:lvlJc w:val="left"/>
      <w:pPr>
        <w:ind w:left="8595" w:hanging="360"/>
      </w:pPr>
      <w:rPr/>
    </w:lvl>
    <w:lvl w:ilvl="8">
      <w:start w:val="1"/>
      <w:numFmt w:val="lowerRoman"/>
      <w:lvlText w:val="%9."/>
      <w:lvlJc w:val="right"/>
      <w:pPr>
        <w:ind w:left="9315" w:hanging="180"/>
      </w:pPr>
      <w:rPr/>
    </w:lvl>
  </w:abstractNum>
  <w:abstractNum w:abstractNumId="2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lowerLetter"/>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26">
    <w:lvl w:ilvl="0">
      <w:start w:val="1"/>
      <w:numFmt w:val="lowerRoman"/>
      <w:lvlText w:val="%1."/>
      <w:lvlJc w:val="right"/>
      <w:pPr>
        <w:ind w:left="2084" w:hanging="18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lowerLetter"/>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28">
    <w:lvl w:ilvl="0">
      <w:start w:val="0"/>
      <w:numFmt w:val="bullet"/>
      <w:lvlText w:val="●"/>
      <w:lvlJc w:val="left"/>
      <w:pPr>
        <w:ind w:left="927" w:hanging="360"/>
      </w:pPr>
      <w:rPr>
        <w:rFonts w:ascii="Noto Sans Symbols" w:cs="Noto Sans Symbols" w:eastAsia="Noto Sans Symbols" w:hAnsi="Noto Sans Symbols"/>
        <w:b w:val="1"/>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29">
    <w:lvl w:ilvl="0">
      <w:start w:val="1"/>
      <w:numFmt w:val="lowerLetter"/>
      <w:lvlText w:val="%1)"/>
      <w:lvlJc w:val="left"/>
      <w:pPr>
        <w:ind w:left="1778" w:hanging="360"/>
      </w:pPr>
      <w:rPr/>
    </w:lvl>
    <w:lvl w:ilvl="1">
      <w:start w:val="1"/>
      <w:numFmt w:val="lowerLetter"/>
      <w:lvlText w:val="%2."/>
      <w:lvlJc w:val="left"/>
      <w:pPr>
        <w:ind w:left="2498" w:hanging="360"/>
      </w:pPr>
      <w:rPr/>
    </w:lvl>
    <w:lvl w:ilvl="2">
      <w:start w:val="1"/>
      <w:numFmt w:val="lowerRoman"/>
      <w:lvlText w:val="%3."/>
      <w:lvlJc w:val="right"/>
      <w:pPr>
        <w:ind w:left="3218" w:hanging="180"/>
      </w:pPr>
      <w:rPr/>
    </w:lvl>
    <w:lvl w:ilvl="3">
      <w:start w:val="1"/>
      <w:numFmt w:val="decimal"/>
      <w:lvlText w:val="%4."/>
      <w:lvlJc w:val="left"/>
      <w:pPr>
        <w:ind w:left="3938" w:hanging="360"/>
      </w:pPr>
      <w:rPr/>
    </w:lvl>
    <w:lvl w:ilvl="4">
      <w:start w:val="1"/>
      <w:numFmt w:val="lowerLetter"/>
      <w:lvlText w:val="%5."/>
      <w:lvlJc w:val="left"/>
      <w:pPr>
        <w:ind w:left="4658" w:hanging="360"/>
      </w:pPr>
      <w:rPr/>
    </w:lvl>
    <w:lvl w:ilvl="5">
      <w:start w:val="1"/>
      <w:numFmt w:val="lowerRoman"/>
      <w:lvlText w:val="%6."/>
      <w:lvlJc w:val="right"/>
      <w:pPr>
        <w:ind w:left="5378" w:hanging="180"/>
      </w:pPr>
      <w:rPr/>
    </w:lvl>
    <w:lvl w:ilvl="6">
      <w:start w:val="1"/>
      <w:numFmt w:val="decimal"/>
      <w:lvlText w:val="%7."/>
      <w:lvlJc w:val="left"/>
      <w:pPr>
        <w:ind w:left="6098" w:hanging="360"/>
      </w:pPr>
      <w:rPr/>
    </w:lvl>
    <w:lvl w:ilvl="7">
      <w:start w:val="1"/>
      <w:numFmt w:val="lowerLetter"/>
      <w:lvlText w:val="%8."/>
      <w:lvlJc w:val="left"/>
      <w:pPr>
        <w:ind w:left="6818" w:hanging="360"/>
      </w:pPr>
      <w:rPr/>
    </w:lvl>
    <w:lvl w:ilvl="8">
      <w:start w:val="1"/>
      <w:numFmt w:val="lowerRoman"/>
      <w:lvlText w:val="%9."/>
      <w:lvlJc w:val="right"/>
      <w:pPr>
        <w:ind w:left="7538" w:hanging="180"/>
      </w:pPr>
      <w:rPr/>
    </w:lvl>
  </w:abstractNum>
  <w:abstractNum w:abstractNumId="30">
    <w:lvl w:ilvl="0">
      <w:start w:val="1"/>
      <w:numFmt w:val="bullet"/>
      <w:lvlText w:val="●"/>
      <w:lvlJc w:val="left"/>
      <w:pPr>
        <w:ind w:left="1778" w:hanging="360"/>
      </w:pPr>
      <w:rPr>
        <w:rFonts w:ascii="Noto Sans Symbols" w:cs="Noto Sans Symbols" w:eastAsia="Noto Sans Symbols" w:hAnsi="Noto Sans Symbols"/>
      </w:rPr>
    </w:lvl>
    <w:lvl w:ilvl="1">
      <w:start w:val="1"/>
      <w:numFmt w:val="bullet"/>
      <w:lvlText w:val="o"/>
      <w:lvlJc w:val="left"/>
      <w:pPr>
        <w:ind w:left="2498" w:hanging="360"/>
      </w:pPr>
      <w:rPr>
        <w:rFonts w:ascii="Courier New" w:cs="Courier New" w:eastAsia="Courier New" w:hAnsi="Courier New"/>
      </w:rPr>
    </w:lvl>
    <w:lvl w:ilvl="2">
      <w:start w:val="1"/>
      <w:numFmt w:val="bullet"/>
      <w:lvlText w:val="▪"/>
      <w:lvlJc w:val="left"/>
      <w:pPr>
        <w:ind w:left="3218" w:hanging="360"/>
      </w:pPr>
      <w:rPr>
        <w:rFonts w:ascii="Noto Sans Symbols" w:cs="Noto Sans Symbols" w:eastAsia="Noto Sans Symbols" w:hAnsi="Noto Sans Symbols"/>
      </w:rPr>
    </w:lvl>
    <w:lvl w:ilvl="3">
      <w:start w:val="1"/>
      <w:numFmt w:val="bullet"/>
      <w:lvlText w:val="●"/>
      <w:lvlJc w:val="left"/>
      <w:pPr>
        <w:ind w:left="3938" w:hanging="360"/>
      </w:pPr>
      <w:rPr>
        <w:rFonts w:ascii="Noto Sans Symbols" w:cs="Noto Sans Symbols" w:eastAsia="Noto Sans Symbols" w:hAnsi="Noto Sans Symbols"/>
      </w:rPr>
    </w:lvl>
    <w:lvl w:ilvl="4">
      <w:start w:val="1"/>
      <w:numFmt w:val="bullet"/>
      <w:lvlText w:val="o"/>
      <w:lvlJc w:val="left"/>
      <w:pPr>
        <w:ind w:left="4658" w:hanging="360"/>
      </w:pPr>
      <w:rPr>
        <w:rFonts w:ascii="Courier New" w:cs="Courier New" w:eastAsia="Courier New" w:hAnsi="Courier New"/>
      </w:rPr>
    </w:lvl>
    <w:lvl w:ilvl="5">
      <w:start w:val="1"/>
      <w:numFmt w:val="bullet"/>
      <w:lvlText w:val="▪"/>
      <w:lvlJc w:val="left"/>
      <w:pPr>
        <w:ind w:left="5378" w:hanging="360"/>
      </w:pPr>
      <w:rPr>
        <w:rFonts w:ascii="Noto Sans Symbols" w:cs="Noto Sans Symbols" w:eastAsia="Noto Sans Symbols" w:hAnsi="Noto Sans Symbols"/>
      </w:rPr>
    </w:lvl>
    <w:lvl w:ilvl="6">
      <w:start w:val="1"/>
      <w:numFmt w:val="bullet"/>
      <w:lvlText w:val="●"/>
      <w:lvlJc w:val="left"/>
      <w:pPr>
        <w:ind w:left="6098" w:hanging="360"/>
      </w:pPr>
      <w:rPr>
        <w:rFonts w:ascii="Noto Sans Symbols" w:cs="Noto Sans Symbols" w:eastAsia="Noto Sans Symbols" w:hAnsi="Noto Sans Symbols"/>
      </w:rPr>
    </w:lvl>
    <w:lvl w:ilvl="7">
      <w:start w:val="1"/>
      <w:numFmt w:val="bullet"/>
      <w:lvlText w:val="o"/>
      <w:lvlJc w:val="left"/>
      <w:pPr>
        <w:ind w:left="6818" w:hanging="360"/>
      </w:pPr>
      <w:rPr>
        <w:rFonts w:ascii="Courier New" w:cs="Courier New" w:eastAsia="Courier New" w:hAnsi="Courier New"/>
      </w:rPr>
    </w:lvl>
    <w:lvl w:ilvl="8">
      <w:start w:val="1"/>
      <w:numFmt w:val="bullet"/>
      <w:lvlText w:val="▪"/>
      <w:lvlJc w:val="left"/>
      <w:pPr>
        <w:ind w:left="753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sk-S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rPr>
  </w:style>
  <w:style w:type="paragraph" w:styleId="Heading2">
    <w:name w:val="heading 2"/>
    <w:basedOn w:val="Normal"/>
    <w:next w:val="Normal"/>
    <w:pPr>
      <w:keepNext w:val="1"/>
      <w:widowControl w:val="0"/>
      <w:spacing w:after="120" w:before="240" w:line="252.00000000000003" w:lineRule="auto"/>
      <w:jc w:val="center"/>
    </w:pPr>
    <w:rPr>
      <w:b w:val="1"/>
      <w:smallCaps w:val="1"/>
      <w:sz w:val="32"/>
      <w:szCs w:val="32"/>
    </w:rPr>
  </w:style>
  <w:style w:type="paragraph" w:styleId="Heading3">
    <w:name w:val="heading 3"/>
    <w:basedOn w:val="Normal"/>
    <w:next w:val="Normal"/>
    <w:pPr>
      <w:keepNext w:val="1"/>
      <w:widowControl w:val="0"/>
      <w:spacing w:after="120" w:before="240" w:line="252.00000000000003" w:lineRule="auto"/>
      <w:jc w:val="center"/>
    </w:pPr>
    <w:rPr>
      <w:b w:val="1"/>
      <w:smallCaps w:val="1"/>
    </w:rPr>
  </w:style>
  <w:style w:type="paragraph" w:styleId="Heading4">
    <w:name w:val="heading 4"/>
    <w:basedOn w:val="Normal"/>
    <w:next w:val="Normal"/>
    <w:pPr>
      <w:keepNext w:val="1"/>
      <w:widowControl w:val="0"/>
      <w:spacing w:after="120" w:before="240" w:line="252.00000000000003" w:lineRule="auto"/>
      <w:ind w:left="567" w:hanging="567"/>
      <w:jc w:val="both"/>
    </w:pPr>
    <w:rPr>
      <w:rFonts w:ascii="Times New Roman" w:cs="Times New Roman" w:eastAsia="Times New Roman" w:hAnsi="Times New Roman"/>
      <w:b w:val="1"/>
      <w:smallCaps w:val="1"/>
      <w:sz w:val="24"/>
      <w:szCs w:val="24"/>
    </w:rPr>
  </w:style>
  <w:style w:type="paragraph" w:styleId="Heading5">
    <w:name w:val="heading 5"/>
    <w:basedOn w:val="Normal"/>
    <w:next w:val="Normal"/>
    <w:pPr>
      <w:keepNext w:val="1"/>
      <w:jc w:val="center"/>
    </w:pPr>
    <w:rPr>
      <w:rFonts w:ascii="Arial" w:cs="Arial" w:eastAsia="Arial" w:hAnsi="Arial"/>
      <w:b w:val="1"/>
      <w:sz w:val="28"/>
      <w:szCs w:val="28"/>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jc w:val="center"/>
    </w:pPr>
    <w:rPr>
      <w:b w:val="1"/>
      <w:sz w:val="32"/>
      <w:szCs w:val="32"/>
    </w:rPr>
  </w:style>
  <w:style w:type="paragraph" w:styleId="Normlny" w:default="1">
    <w:name w:val="Normal"/>
    <w:qFormat w:val="1"/>
    <w:rsid w:val="00C66BBF"/>
    <w:pPr>
      <w:overflowPunct w:val="0"/>
      <w:autoSpaceDE w:val="0"/>
      <w:autoSpaceDN w:val="0"/>
      <w:adjustRightInd w:val="0"/>
      <w:spacing w:after="0" w:line="240" w:lineRule="auto"/>
    </w:pPr>
    <w:rPr>
      <w:rFonts w:ascii="Times New Roman" w:cs="Times New Roman" w:hAnsi="Times New Roman" w:eastAsiaTheme="minorEastAsia"/>
      <w:sz w:val="24"/>
      <w:szCs w:val="24"/>
      <w:lang w:eastAsia="sk-SK"/>
    </w:rPr>
  </w:style>
  <w:style w:type="paragraph" w:styleId="Nadpis1">
    <w:name w:val="heading 1"/>
    <w:basedOn w:val="Normlny"/>
    <w:next w:val="Normlny"/>
    <w:link w:val="Nadpis1Char"/>
    <w:qFormat w:val="1"/>
    <w:rsid w:val="006D3212"/>
    <w:pPr>
      <w:keepNext w:val="1"/>
      <w:outlineLvl w:val="0"/>
    </w:pPr>
    <w:rPr>
      <w:b w:val="1"/>
      <w:bCs w:val="1"/>
    </w:rPr>
  </w:style>
  <w:style w:type="paragraph" w:styleId="Nadpis2">
    <w:name w:val="heading 2"/>
    <w:aliases w:val="Úroveň nadpisu 1"/>
    <w:basedOn w:val="Normlny"/>
    <w:next w:val="Normlny"/>
    <w:link w:val="Nadpis2Char"/>
    <w:unhideWhenUsed w:val="1"/>
    <w:qFormat w:val="1"/>
    <w:rsid w:val="009C1352"/>
    <w:pPr>
      <w:keepNext w:val="1"/>
      <w:widowControl w:val="0"/>
      <w:spacing w:after="120" w:before="240" w:line="252" w:lineRule="auto"/>
      <w:jc w:val="center"/>
      <w:outlineLvl w:val="1"/>
    </w:pPr>
    <w:rPr>
      <w:b w:val="1"/>
      <w:caps w:val="1"/>
      <w:sz w:val="32"/>
      <w:szCs w:val="28"/>
    </w:rPr>
  </w:style>
  <w:style w:type="paragraph" w:styleId="Nadpis3">
    <w:name w:val="heading 3"/>
    <w:aliases w:val="Úroveň nadpisu 2,B119Title 3"/>
    <w:basedOn w:val="Nadpis1"/>
    <w:next w:val="Normlny"/>
    <w:link w:val="Nadpis3Char"/>
    <w:unhideWhenUsed w:val="1"/>
    <w:qFormat w:val="1"/>
    <w:rsid w:val="009C1352"/>
    <w:pPr>
      <w:widowControl w:val="0"/>
      <w:spacing w:after="120" w:before="240" w:line="252" w:lineRule="auto"/>
      <w:jc w:val="center"/>
      <w:outlineLvl w:val="2"/>
    </w:pPr>
    <w:rPr>
      <w:caps w:val="1"/>
    </w:rPr>
  </w:style>
  <w:style w:type="paragraph" w:styleId="Nadpis4">
    <w:name w:val="heading 4"/>
    <w:aliases w:val="Úroveň nadpisu 3"/>
    <w:basedOn w:val="Odsekzoznamu"/>
    <w:next w:val="Normlny"/>
    <w:link w:val="Nadpis4Char"/>
    <w:uiPriority w:val="9"/>
    <w:unhideWhenUsed w:val="1"/>
    <w:qFormat w:val="1"/>
    <w:rsid w:val="009C1352"/>
    <w:pPr>
      <w:keepNext w:val="1"/>
      <w:widowControl w:val="0"/>
      <w:numPr>
        <w:numId w:val="3"/>
      </w:numPr>
      <w:spacing w:after="120" w:before="240" w:line="252" w:lineRule="auto"/>
      <w:ind w:left="567" w:hanging="567"/>
      <w:jc w:val="both"/>
      <w:outlineLvl w:val="3"/>
    </w:pPr>
    <w:rPr>
      <w:rFonts w:ascii="Times New Roman" w:hAnsi="Times New Roman"/>
      <w:b w:val="1"/>
      <w:smallCaps w:val="1"/>
      <w:sz w:val="24"/>
      <w:szCs w:val="24"/>
    </w:rPr>
  </w:style>
  <w:style w:type="paragraph" w:styleId="Nadpis5">
    <w:name w:val="heading 5"/>
    <w:basedOn w:val="Normlny"/>
    <w:next w:val="Normlny"/>
    <w:link w:val="Nadpis5Char"/>
    <w:qFormat w:val="1"/>
    <w:rsid w:val="00AB3F7E"/>
    <w:pPr>
      <w:keepNext w:val="1"/>
      <w:overflowPunct w:val="1"/>
      <w:adjustRightInd w:val="1"/>
      <w:jc w:val="center"/>
      <w:outlineLvl w:val="4"/>
    </w:pPr>
    <w:rPr>
      <w:rFonts w:ascii="Arial" w:cs="Arial" w:eastAsia="Times New Roman" w:hAnsi="Arial"/>
      <w:b w:val="1"/>
      <w:bCs w:val="1"/>
      <w:noProof w:val="1"/>
      <w:sz w:val="28"/>
      <w:szCs w:val="28"/>
      <w:lang w:val="en-US"/>
    </w:rPr>
  </w:style>
  <w:style w:type="paragraph" w:styleId="Nadpis6">
    <w:name w:val="heading 6"/>
    <w:basedOn w:val="Normlny"/>
    <w:next w:val="Normlny"/>
    <w:link w:val="Nadpis6Char"/>
    <w:qFormat w:val="1"/>
    <w:rsid w:val="00AB3F7E"/>
    <w:pPr>
      <w:overflowPunct w:val="1"/>
      <w:adjustRightInd w:val="1"/>
      <w:spacing w:after="60" w:before="240"/>
      <w:outlineLvl w:val="5"/>
    </w:pPr>
    <w:rPr>
      <w:rFonts w:ascii="Calibri" w:eastAsia="Times New Roman" w:hAnsi="Calibri"/>
      <w:b w:val="1"/>
      <w:bCs w:val="1"/>
      <w:sz w:val="22"/>
      <w:szCs w:val="22"/>
    </w:rPr>
  </w:style>
  <w:style w:type="paragraph" w:styleId="Nadpis7">
    <w:name w:val="heading 7"/>
    <w:basedOn w:val="Normlny"/>
    <w:next w:val="Normlny"/>
    <w:link w:val="Nadpis7Char"/>
    <w:qFormat w:val="1"/>
    <w:rsid w:val="00AB3F7E"/>
    <w:pPr>
      <w:keepNext w:val="1"/>
      <w:overflowPunct w:val="1"/>
      <w:adjustRightInd w:val="1"/>
      <w:spacing w:line="360" w:lineRule="auto"/>
      <w:jc w:val="both"/>
      <w:outlineLvl w:val="6"/>
    </w:pPr>
    <w:rPr>
      <w:rFonts w:ascii="Arial" w:cs="Arial" w:eastAsia="Times New Roman" w:hAnsi="Arial"/>
      <w:b w:val="1"/>
      <w:bCs w:val="1"/>
      <w:noProof w:val="1"/>
      <w:sz w:val="22"/>
      <w:szCs w:val="22"/>
      <w:u w:val="single"/>
      <w:lang w:val="en-US"/>
    </w:rPr>
  </w:style>
  <w:style w:type="paragraph" w:styleId="Nadpis8">
    <w:name w:val="heading 8"/>
    <w:basedOn w:val="Normlny"/>
    <w:next w:val="Normlny"/>
    <w:link w:val="Nadpis8Char"/>
    <w:qFormat w:val="1"/>
    <w:rsid w:val="00AB3F7E"/>
    <w:pPr>
      <w:keepNext w:val="1"/>
      <w:overflowPunct w:val="1"/>
      <w:adjustRightInd w:val="1"/>
      <w:spacing w:before="120"/>
      <w:jc w:val="both"/>
      <w:outlineLvl w:val="7"/>
    </w:pPr>
    <w:rPr>
      <w:rFonts w:ascii="Arial" w:cs="Arial" w:eastAsia="Times New Roman" w:hAnsi="Arial"/>
      <w:i w:val="1"/>
      <w:iCs w:val="1"/>
      <w:sz w:val="22"/>
      <w:szCs w:val="22"/>
      <w:u w:val="single"/>
    </w:rPr>
  </w:style>
  <w:style w:type="paragraph" w:styleId="Nadpis9">
    <w:name w:val="heading 9"/>
    <w:basedOn w:val="Normlny"/>
    <w:next w:val="Normlny"/>
    <w:link w:val="Nadpis9Char"/>
    <w:qFormat w:val="1"/>
    <w:rsid w:val="00AB3F7E"/>
    <w:pPr>
      <w:overflowPunct w:val="1"/>
      <w:adjustRightInd w:val="1"/>
      <w:spacing w:after="60" w:before="240"/>
      <w:outlineLvl w:val="8"/>
    </w:pPr>
    <w:rPr>
      <w:rFonts w:ascii="Cambria" w:eastAsia="Times New Roman" w:hAnsi="Cambria"/>
      <w:sz w:val="22"/>
      <w:szCs w:val="22"/>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character" w:styleId="Nadpis1Char" w:customStyle="1">
    <w:name w:val="Nadpis 1 Char"/>
    <w:basedOn w:val="Predvolenpsmoodseku"/>
    <w:link w:val="Nadpis1"/>
    <w:rsid w:val="006D3212"/>
    <w:rPr>
      <w:rFonts w:ascii="Times New Roman" w:cs="Times New Roman" w:hAnsi="Times New Roman" w:eastAsiaTheme="minorEastAsia"/>
      <w:b w:val="1"/>
      <w:bCs w:val="1"/>
      <w:sz w:val="24"/>
      <w:szCs w:val="24"/>
      <w:lang w:eastAsia="sk-SK"/>
    </w:rPr>
  </w:style>
  <w:style w:type="paragraph" w:styleId="Hlavika">
    <w:name w:val="header"/>
    <w:basedOn w:val="Normlny"/>
    <w:link w:val="HlavikaChar"/>
    <w:uiPriority w:val="99"/>
    <w:unhideWhenUsed w:val="1"/>
    <w:rsid w:val="006D3212"/>
    <w:pPr>
      <w:tabs>
        <w:tab w:val="center" w:pos="4536"/>
        <w:tab w:val="right" w:pos="9072"/>
      </w:tabs>
    </w:pPr>
    <w:rPr>
      <w:sz w:val="20"/>
      <w:szCs w:val="20"/>
    </w:rPr>
  </w:style>
  <w:style w:type="character" w:styleId="HlavikaChar" w:customStyle="1">
    <w:name w:val="Hlavička Char"/>
    <w:basedOn w:val="Predvolenpsmoodseku"/>
    <w:link w:val="Hlavika"/>
    <w:uiPriority w:val="99"/>
    <w:rsid w:val="006D3212"/>
    <w:rPr>
      <w:rFonts w:ascii="Times New Roman" w:cs="Times New Roman" w:hAnsi="Times New Roman" w:eastAsiaTheme="minorEastAsia"/>
      <w:sz w:val="20"/>
      <w:szCs w:val="20"/>
      <w:lang w:eastAsia="sk-SK"/>
    </w:rPr>
  </w:style>
  <w:style w:type="paragraph" w:styleId="Pta">
    <w:name w:val="footer"/>
    <w:basedOn w:val="Normlny"/>
    <w:link w:val="PtaChar"/>
    <w:uiPriority w:val="99"/>
    <w:unhideWhenUsed w:val="1"/>
    <w:rsid w:val="006D3212"/>
    <w:pPr>
      <w:tabs>
        <w:tab w:val="center" w:pos="4536"/>
        <w:tab w:val="right" w:pos="9072"/>
      </w:tabs>
    </w:pPr>
  </w:style>
  <w:style w:type="character" w:styleId="PtaChar" w:customStyle="1">
    <w:name w:val="Päta Char"/>
    <w:basedOn w:val="Predvolenpsmoodseku"/>
    <w:link w:val="Pta"/>
    <w:uiPriority w:val="99"/>
    <w:rsid w:val="006D3212"/>
    <w:rPr>
      <w:rFonts w:ascii="Times New Roman" w:cs="Times New Roman" w:hAnsi="Times New Roman" w:eastAsiaTheme="minorEastAsia"/>
      <w:sz w:val="24"/>
      <w:szCs w:val="24"/>
      <w:lang w:eastAsia="sk-SK"/>
    </w:rPr>
  </w:style>
  <w:style w:type="paragraph" w:styleId="VEC" w:customStyle="1">
    <w:name w:val="VEC:"/>
    <w:basedOn w:val="Normlnysozarkami"/>
    <w:next w:val="Normlnysozarkami"/>
    <w:uiPriority w:val="99"/>
    <w:rsid w:val="006D3212"/>
    <w:pPr>
      <w:spacing w:before="4080" w:line="240" w:lineRule="atLeast"/>
      <w:jc w:val="both"/>
    </w:pPr>
    <w:rPr>
      <w:b w:val="1"/>
      <w:bCs w:val="1"/>
      <w:u w:val="single"/>
    </w:rPr>
  </w:style>
  <w:style w:type="character" w:styleId="ra" w:customStyle="1">
    <w:name w:val="ra"/>
    <w:basedOn w:val="Predvolenpsmoodseku"/>
    <w:rsid w:val="006D3212"/>
  </w:style>
  <w:style w:type="paragraph" w:styleId="Normlnysozarkami">
    <w:name w:val="Normal Indent"/>
    <w:basedOn w:val="Normlny"/>
    <w:unhideWhenUsed w:val="1"/>
    <w:rsid w:val="006D3212"/>
    <w:pPr>
      <w:ind w:left="708"/>
    </w:pPr>
  </w:style>
  <w:style w:type="paragraph" w:styleId="Textbubliny">
    <w:name w:val="Balloon Text"/>
    <w:basedOn w:val="Normlny"/>
    <w:link w:val="TextbublinyChar"/>
    <w:semiHidden w:val="1"/>
    <w:unhideWhenUsed w:val="1"/>
    <w:rsid w:val="006D3212"/>
    <w:rPr>
      <w:rFonts w:ascii="Tahoma" w:cs="Tahoma" w:hAnsi="Tahoma"/>
      <w:sz w:val="16"/>
      <w:szCs w:val="16"/>
    </w:rPr>
  </w:style>
  <w:style w:type="character" w:styleId="TextbublinyChar" w:customStyle="1">
    <w:name w:val="Text bubliny Char"/>
    <w:basedOn w:val="Predvolenpsmoodseku"/>
    <w:link w:val="Textbubliny"/>
    <w:semiHidden w:val="1"/>
    <w:rsid w:val="006D3212"/>
    <w:rPr>
      <w:rFonts w:ascii="Tahoma" w:cs="Tahoma" w:hAnsi="Tahoma" w:eastAsiaTheme="minorEastAsia"/>
      <w:sz w:val="16"/>
      <w:szCs w:val="16"/>
      <w:lang w:eastAsia="sk-SK"/>
    </w:rPr>
  </w:style>
  <w:style w:type="paragraph" w:styleId="pridan1" w:customStyle="1">
    <w:name w:val="pridaný1"/>
    <w:basedOn w:val="Normlny"/>
    <w:autoRedefine w:val="1"/>
    <w:rsid w:val="00B91142"/>
    <w:pPr>
      <w:tabs>
        <w:tab w:val="left" w:pos="0"/>
        <w:tab w:val="left" w:pos="5580"/>
      </w:tabs>
      <w:overflowPunct w:val="1"/>
      <w:autoSpaceDE w:val="1"/>
      <w:autoSpaceDN w:val="1"/>
      <w:adjustRightInd w:val="1"/>
      <w:jc w:val="both"/>
    </w:pPr>
    <w:rPr>
      <w:rFonts w:eastAsia="Times New Roman"/>
    </w:rPr>
  </w:style>
  <w:style w:type="paragraph" w:styleId="Zarkazkladnhotextu">
    <w:name w:val="Body Text Indent"/>
    <w:basedOn w:val="Normlny"/>
    <w:link w:val="ZarkazkladnhotextuChar"/>
    <w:unhideWhenUsed w:val="1"/>
    <w:rsid w:val="009B41A4"/>
    <w:pPr>
      <w:overflowPunct w:val="1"/>
      <w:autoSpaceDE w:val="1"/>
      <w:autoSpaceDN w:val="1"/>
      <w:adjustRightInd w:val="1"/>
      <w:spacing w:after="120" w:line="276" w:lineRule="auto"/>
      <w:ind w:left="283"/>
    </w:pPr>
    <w:rPr>
      <w:rFonts w:ascii="Calibri" w:hAnsi="Calibri" w:eastAsiaTheme="minorHAnsi"/>
      <w:sz w:val="22"/>
      <w:szCs w:val="22"/>
      <w:lang w:eastAsia="en-US"/>
    </w:rPr>
  </w:style>
  <w:style w:type="character" w:styleId="ZarkazkladnhotextuChar" w:customStyle="1">
    <w:name w:val="Zarážka základného textu Char"/>
    <w:basedOn w:val="Predvolenpsmoodseku"/>
    <w:link w:val="Zarkazkladnhotextu"/>
    <w:rsid w:val="009B41A4"/>
    <w:rPr>
      <w:rFonts w:ascii="Calibri" w:cs="Times New Roman" w:hAnsi="Calibri"/>
    </w:rPr>
  </w:style>
  <w:style w:type="paragraph" w:styleId="Odsekzoznamu">
    <w:name w:val="List Paragraph"/>
    <w:aliases w:val="Odsek,lp1,Table,Bullet List,FooterText,numbered,Paragraphe de liste1,Bullet Number,lp11,List Paragraph11,Bullet 1,Use Case List Paragraph,Table of contents numbered,body,ODRAZKY PRVA UROVEN,Colorful List - Accent 11,Odsek zoznamu2,ZOZNAM"/>
    <w:basedOn w:val="Normlny"/>
    <w:link w:val="OdsekzoznamuChar"/>
    <w:uiPriority w:val="34"/>
    <w:qFormat w:val="1"/>
    <w:rsid w:val="009B41A4"/>
    <w:pPr>
      <w:overflowPunct w:val="1"/>
      <w:autoSpaceDE w:val="1"/>
      <w:autoSpaceDN w:val="1"/>
      <w:adjustRightInd w:val="1"/>
      <w:ind w:left="720"/>
    </w:pPr>
    <w:rPr>
      <w:rFonts w:ascii="Calibri" w:hAnsi="Calibri" w:eastAsiaTheme="minorHAnsi"/>
      <w:sz w:val="22"/>
      <w:szCs w:val="22"/>
      <w:lang w:eastAsia="en-US"/>
    </w:rPr>
  </w:style>
  <w:style w:type="paragraph" w:styleId="Zkladntext21" w:customStyle="1">
    <w:name w:val="Základný text 21"/>
    <w:basedOn w:val="Normlny"/>
    <w:rsid w:val="009B41A4"/>
    <w:pPr>
      <w:adjustRightInd w:val="1"/>
      <w:jc w:val="both"/>
    </w:pPr>
    <w:rPr>
      <w:rFonts w:ascii="Arial" w:cs="Arial" w:hAnsi="Arial" w:eastAsiaTheme="minorHAnsi"/>
      <w:lang w:eastAsia="cs-CZ"/>
    </w:rPr>
  </w:style>
  <w:style w:type="paragraph" w:styleId="slovaniepomocoupsmen" w:customStyle="1">
    <w:name w:val="Číslovanie pomocou písmen"/>
    <w:basedOn w:val="Normlny"/>
    <w:rsid w:val="009B41A4"/>
    <w:pPr>
      <w:numPr>
        <w:numId w:val="1"/>
      </w:numPr>
      <w:overflowPunct w:val="1"/>
      <w:adjustRightInd w:val="1"/>
      <w:jc w:val="both"/>
    </w:pPr>
    <w:rPr>
      <w:rFonts w:ascii="Arial" w:cs="Arial" w:hAnsi="Arial" w:eastAsiaTheme="minorHAnsi"/>
      <w:sz w:val="20"/>
      <w:szCs w:val="20"/>
      <w:lang w:eastAsia="en-US"/>
    </w:rPr>
  </w:style>
  <w:style w:type="paragraph" w:styleId="slovantext2" w:customStyle="1">
    <w:name w:val="Číslovaný text ú2"/>
    <w:basedOn w:val="Normlny"/>
    <w:uiPriority w:val="99"/>
    <w:rsid w:val="00935CDA"/>
    <w:pPr>
      <w:numPr>
        <w:ilvl w:val="1"/>
        <w:numId w:val="2"/>
      </w:numPr>
      <w:tabs>
        <w:tab w:val="left" w:pos="-1620"/>
      </w:tabs>
      <w:spacing w:after="60"/>
    </w:pPr>
    <w:rPr>
      <w:rFonts w:ascii="Arial" w:cs="Arial" w:eastAsia="Times New Roman" w:hAnsi="Arial"/>
      <w:color w:val="000000"/>
      <w:sz w:val="22"/>
      <w:szCs w:val="22"/>
      <w:lang w:eastAsia="cs-CZ"/>
    </w:rPr>
  </w:style>
  <w:style w:type="paragraph" w:styleId="slovantext3" w:customStyle="1">
    <w:name w:val="Číslovaný text ú3"/>
    <w:basedOn w:val="slovantext2"/>
    <w:uiPriority w:val="99"/>
    <w:rsid w:val="00935CDA"/>
    <w:pPr>
      <w:numPr>
        <w:ilvl w:val="2"/>
      </w:numPr>
      <w:tabs>
        <w:tab w:val="clear" w:pos="-1620"/>
        <w:tab w:val="left" w:pos="1800"/>
        <w:tab w:val="num" w:pos="2160"/>
      </w:tabs>
      <w:spacing w:after="0"/>
    </w:pPr>
  </w:style>
  <w:style w:type="paragraph" w:styleId="slovantext4" w:customStyle="1">
    <w:name w:val="Číslovaný text ú4"/>
    <w:basedOn w:val="slovantext3"/>
    <w:autoRedefine w:val="1"/>
    <w:uiPriority w:val="99"/>
    <w:rsid w:val="00935CDA"/>
    <w:pPr>
      <w:numPr>
        <w:ilvl w:val="3"/>
      </w:numPr>
      <w:tabs>
        <w:tab w:val="clear" w:pos="1800"/>
        <w:tab w:val="clear" w:pos="2160"/>
        <w:tab w:val="num" w:pos="1395"/>
        <w:tab w:val="left" w:pos="2520"/>
        <w:tab w:val="num" w:pos="2880"/>
      </w:tabs>
    </w:pPr>
  </w:style>
  <w:style w:type="character" w:styleId="Nadpis2Char" w:customStyle="1">
    <w:name w:val="Nadpis 2 Char"/>
    <w:aliases w:val="Úroveň nadpisu 1 Char"/>
    <w:basedOn w:val="Predvolenpsmoodseku"/>
    <w:link w:val="Nadpis2"/>
    <w:rsid w:val="009C1352"/>
    <w:rPr>
      <w:rFonts w:ascii="Times New Roman" w:cs="Times New Roman" w:hAnsi="Times New Roman" w:eastAsiaTheme="minorEastAsia"/>
      <w:b w:val="1"/>
      <w:caps w:val="1"/>
      <w:sz w:val="32"/>
      <w:szCs w:val="28"/>
      <w:lang w:eastAsia="sk-SK"/>
    </w:rPr>
  </w:style>
  <w:style w:type="paragraph" w:styleId="l4" w:customStyle="1">
    <w:name w:val="l4"/>
    <w:basedOn w:val="Normlny"/>
    <w:rsid w:val="00596FF9"/>
    <w:pPr>
      <w:overflowPunct w:val="1"/>
      <w:autoSpaceDE w:val="1"/>
      <w:autoSpaceDN w:val="1"/>
      <w:adjustRightInd w:val="1"/>
      <w:spacing w:after="100" w:afterAutospacing="1" w:before="100" w:beforeAutospacing="1"/>
    </w:pPr>
    <w:rPr>
      <w:rFonts w:eastAsia="Times New Roman"/>
    </w:rPr>
  </w:style>
  <w:style w:type="paragraph" w:styleId="l5" w:customStyle="1">
    <w:name w:val="l5"/>
    <w:basedOn w:val="Normlny"/>
    <w:rsid w:val="00596FF9"/>
    <w:pPr>
      <w:overflowPunct w:val="1"/>
      <w:autoSpaceDE w:val="1"/>
      <w:autoSpaceDN w:val="1"/>
      <w:adjustRightInd w:val="1"/>
      <w:spacing w:after="100" w:afterAutospacing="1" w:before="100" w:beforeAutospacing="1"/>
    </w:pPr>
    <w:rPr>
      <w:rFonts w:eastAsia="Times New Roman"/>
    </w:rPr>
  </w:style>
  <w:style w:type="character" w:styleId="num" w:customStyle="1">
    <w:name w:val="num"/>
    <w:basedOn w:val="Predvolenpsmoodseku"/>
    <w:rsid w:val="00596FF9"/>
  </w:style>
  <w:style w:type="character" w:styleId="apple-converted-space" w:customStyle="1">
    <w:name w:val="apple-converted-space"/>
    <w:basedOn w:val="Predvolenpsmoodseku"/>
    <w:rsid w:val="00596FF9"/>
  </w:style>
  <w:style w:type="character" w:styleId="Zvraznenie">
    <w:name w:val="Emphasis"/>
    <w:basedOn w:val="Predvolenpsmoodseku"/>
    <w:qFormat w:val="1"/>
    <w:rsid w:val="007E3623"/>
    <w:rPr>
      <w:i w:val="1"/>
      <w:iCs w:val="1"/>
    </w:rPr>
  </w:style>
  <w:style w:type="paragraph" w:styleId="Default" w:customStyle="1">
    <w:name w:val="Default"/>
    <w:rsid w:val="00766F47"/>
    <w:pPr>
      <w:autoSpaceDE w:val="0"/>
      <w:autoSpaceDN w:val="0"/>
      <w:adjustRightInd w:val="0"/>
      <w:spacing w:after="0" w:line="240" w:lineRule="auto"/>
    </w:pPr>
    <w:rPr>
      <w:rFonts w:ascii="Times New Roman" w:cs="Times New Roman" w:hAnsi="Times New Roman"/>
      <w:color w:val="000000"/>
      <w:sz w:val="24"/>
      <w:szCs w:val="24"/>
    </w:rPr>
  </w:style>
  <w:style w:type="character" w:styleId="Hypertextovprepojenie">
    <w:name w:val="Hyperlink"/>
    <w:basedOn w:val="Predvolenpsmoodseku"/>
    <w:uiPriority w:val="99"/>
    <w:unhideWhenUsed w:val="1"/>
    <w:rsid w:val="00D615A1"/>
    <w:rPr>
      <w:color w:val="0000ff" w:themeColor="hyperlink"/>
      <w:u w:val="single"/>
    </w:rPr>
  </w:style>
  <w:style w:type="character" w:styleId="Nadpis3Char" w:customStyle="1">
    <w:name w:val="Nadpis 3 Char"/>
    <w:aliases w:val="Úroveň nadpisu 2 Char,B119Title 3 Char"/>
    <w:basedOn w:val="Predvolenpsmoodseku"/>
    <w:link w:val="Nadpis3"/>
    <w:rsid w:val="009C1352"/>
    <w:rPr>
      <w:rFonts w:ascii="Times New Roman" w:cs="Times New Roman" w:hAnsi="Times New Roman" w:eastAsiaTheme="minorEastAsia"/>
      <w:b w:val="1"/>
      <w:bCs w:val="1"/>
      <w:caps w:val="1"/>
      <w:sz w:val="24"/>
      <w:szCs w:val="24"/>
      <w:lang w:eastAsia="sk-SK"/>
    </w:rPr>
  </w:style>
  <w:style w:type="character" w:styleId="Nadpis4Char" w:customStyle="1">
    <w:name w:val="Nadpis 4 Char"/>
    <w:aliases w:val="Úroveň nadpisu 3 Char"/>
    <w:basedOn w:val="Predvolenpsmoodseku"/>
    <w:link w:val="Nadpis4"/>
    <w:uiPriority w:val="9"/>
    <w:rsid w:val="009C1352"/>
    <w:rPr>
      <w:rFonts w:ascii="Times New Roman" w:cs="Times New Roman" w:hAnsi="Times New Roman"/>
      <w:b w:val="1"/>
      <w:smallCaps w:val="1"/>
      <w:sz w:val="24"/>
      <w:szCs w:val="24"/>
    </w:rPr>
  </w:style>
  <w:style w:type="paragraph" w:styleId="Bezriadkovania">
    <w:name w:val="No Spacing"/>
    <w:aliases w:val="Klasický text"/>
    <w:basedOn w:val="Normlny"/>
    <w:uiPriority w:val="1"/>
    <w:qFormat w:val="1"/>
    <w:rsid w:val="00686F78"/>
    <w:pPr>
      <w:spacing w:after="60" w:line="252" w:lineRule="auto"/>
      <w:ind w:left="567"/>
    </w:pPr>
    <w:rPr>
      <w:sz w:val="22"/>
      <w:lang w:eastAsia="en-US"/>
    </w:rPr>
  </w:style>
  <w:style w:type="paragraph" w:styleId="Obsah1">
    <w:name w:val="toc 1"/>
    <w:basedOn w:val="Normlny"/>
    <w:next w:val="Normlny"/>
    <w:autoRedefine w:val="1"/>
    <w:uiPriority w:val="39"/>
    <w:unhideWhenUsed w:val="1"/>
    <w:rsid w:val="005B3DB5"/>
    <w:pPr>
      <w:spacing w:after="100"/>
    </w:pPr>
  </w:style>
  <w:style w:type="paragraph" w:styleId="Obsah2">
    <w:name w:val="toc 2"/>
    <w:basedOn w:val="Normlny"/>
    <w:next w:val="Normlny"/>
    <w:autoRedefine w:val="1"/>
    <w:uiPriority w:val="39"/>
    <w:unhideWhenUsed w:val="1"/>
    <w:rsid w:val="000D1860"/>
    <w:pPr>
      <w:tabs>
        <w:tab w:val="right" w:leader="dot" w:pos="9060"/>
      </w:tabs>
      <w:spacing w:after="60" w:before="60" w:line="252" w:lineRule="auto"/>
    </w:pPr>
    <w:rPr>
      <w:b w:val="1"/>
      <w:bCs w:val="1"/>
      <w:noProof w:val="1"/>
      <w:sz w:val="22"/>
      <w:szCs w:val="22"/>
    </w:rPr>
  </w:style>
  <w:style w:type="paragraph" w:styleId="Obsah3">
    <w:name w:val="toc 3"/>
    <w:basedOn w:val="Normlny"/>
    <w:next w:val="Normlny"/>
    <w:autoRedefine w:val="1"/>
    <w:uiPriority w:val="39"/>
    <w:unhideWhenUsed w:val="1"/>
    <w:rsid w:val="007F5078"/>
    <w:pPr>
      <w:tabs>
        <w:tab w:val="right" w:leader="dot" w:pos="9060"/>
      </w:tabs>
      <w:spacing w:after="60" w:line="252" w:lineRule="auto"/>
      <w:jc w:val="both"/>
    </w:pPr>
  </w:style>
  <w:style w:type="paragraph" w:styleId="Obsah4">
    <w:name w:val="toc 4"/>
    <w:basedOn w:val="Normlny"/>
    <w:next w:val="Normlny"/>
    <w:autoRedefine w:val="1"/>
    <w:uiPriority w:val="39"/>
    <w:unhideWhenUsed w:val="1"/>
    <w:rsid w:val="008A21EE"/>
    <w:pPr>
      <w:tabs>
        <w:tab w:val="left" w:pos="1134"/>
        <w:tab w:val="right" w:leader="dot" w:pos="9060"/>
      </w:tabs>
      <w:spacing w:after="60" w:line="252" w:lineRule="auto"/>
      <w:ind w:left="567"/>
    </w:pPr>
  </w:style>
  <w:style w:type="character" w:styleId="Odkaznakomentr">
    <w:name w:val="annotation reference"/>
    <w:uiPriority w:val="99"/>
    <w:qFormat w:val="1"/>
    <w:rsid w:val="0025576F"/>
    <w:rPr>
      <w:sz w:val="16"/>
      <w:szCs w:val="16"/>
    </w:rPr>
  </w:style>
  <w:style w:type="paragraph" w:styleId="Textkomentra">
    <w:name w:val="annotation text"/>
    <w:basedOn w:val="Normlny"/>
    <w:link w:val="TextkomentraChar"/>
    <w:uiPriority w:val="99"/>
    <w:qFormat w:val="1"/>
    <w:rsid w:val="0025576F"/>
    <w:pPr>
      <w:overflowPunct w:val="1"/>
      <w:autoSpaceDE w:val="1"/>
      <w:autoSpaceDN w:val="1"/>
      <w:adjustRightInd w:val="1"/>
    </w:pPr>
    <w:rPr>
      <w:rFonts w:eastAsia="Times New Roman"/>
      <w:sz w:val="20"/>
      <w:szCs w:val="20"/>
    </w:rPr>
  </w:style>
  <w:style w:type="character" w:styleId="TextkomentraChar" w:customStyle="1">
    <w:name w:val="Text komentára Char"/>
    <w:basedOn w:val="Predvolenpsmoodseku"/>
    <w:link w:val="Textkomentra"/>
    <w:uiPriority w:val="99"/>
    <w:qFormat w:val="1"/>
    <w:rsid w:val="0025576F"/>
    <w:rPr>
      <w:rFonts w:ascii="Times New Roman" w:cs="Times New Roman" w:eastAsia="Times New Roman" w:hAnsi="Times New Roman"/>
      <w:sz w:val="20"/>
      <w:szCs w:val="20"/>
      <w:lang w:eastAsia="sk-SK"/>
    </w:rPr>
  </w:style>
  <w:style w:type="table" w:styleId="Mriekatabuky">
    <w:name w:val="Table Grid"/>
    <w:aliases w:val="Deloitte table 3"/>
    <w:basedOn w:val="Normlnatabuka"/>
    <w:uiPriority w:val="59"/>
    <w:rsid w:val="00174C3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vysvetlivky">
    <w:name w:val="endnote text"/>
    <w:basedOn w:val="Normlny"/>
    <w:link w:val="TextvysvetlivkyChar"/>
    <w:uiPriority w:val="99"/>
    <w:semiHidden w:val="1"/>
    <w:unhideWhenUsed w:val="1"/>
    <w:rsid w:val="0044477A"/>
    <w:rPr>
      <w:sz w:val="20"/>
      <w:szCs w:val="20"/>
    </w:rPr>
  </w:style>
  <w:style w:type="character" w:styleId="TextvysvetlivkyChar" w:customStyle="1">
    <w:name w:val="Text vysvetlivky Char"/>
    <w:basedOn w:val="Predvolenpsmoodseku"/>
    <w:link w:val="Textvysvetlivky"/>
    <w:uiPriority w:val="99"/>
    <w:semiHidden w:val="1"/>
    <w:rsid w:val="0044477A"/>
    <w:rPr>
      <w:rFonts w:ascii="Times New Roman" w:cs="Times New Roman" w:hAnsi="Times New Roman" w:eastAsiaTheme="minorEastAsia"/>
      <w:sz w:val="20"/>
      <w:szCs w:val="20"/>
      <w:lang w:eastAsia="sk-SK"/>
    </w:rPr>
  </w:style>
  <w:style w:type="character" w:styleId="Odkaznavysvetlivku">
    <w:name w:val="endnote reference"/>
    <w:basedOn w:val="Predvolenpsmoodseku"/>
    <w:uiPriority w:val="99"/>
    <w:semiHidden w:val="1"/>
    <w:unhideWhenUsed w:val="1"/>
    <w:rsid w:val="0044477A"/>
    <w:rPr>
      <w:vertAlign w:val="superscript"/>
    </w:rPr>
  </w:style>
  <w:style w:type="paragraph" w:styleId="Textpoznmkypodiarou">
    <w:name w:val="footnote text"/>
    <w:basedOn w:val="Normlny"/>
    <w:link w:val="TextpoznmkypodiarouChar"/>
    <w:semiHidden w:val="1"/>
    <w:unhideWhenUsed w:val="1"/>
    <w:rsid w:val="0044477A"/>
    <w:rPr>
      <w:sz w:val="20"/>
      <w:szCs w:val="20"/>
    </w:rPr>
  </w:style>
  <w:style w:type="character" w:styleId="TextpoznmkypodiarouChar" w:customStyle="1">
    <w:name w:val="Text poznámky pod čiarou Char"/>
    <w:basedOn w:val="Predvolenpsmoodseku"/>
    <w:link w:val="Textpoznmkypodiarou"/>
    <w:semiHidden w:val="1"/>
    <w:rsid w:val="0044477A"/>
    <w:rPr>
      <w:rFonts w:ascii="Times New Roman" w:cs="Times New Roman" w:hAnsi="Times New Roman" w:eastAsiaTheme="minorEastAsia"/>
      <w:sz w:val="20"/>
      <w:szCs w:val="20"/>
      <w:lang w:eastAsia="sk-SK"/>
    </w:rPr>
  </w:style>
  <w:style w:type="character" w:styleId="Odkaznapoznmkupodiarou">
    <w:name w:val="footnote reference"/>
    <w:basedOn w:val="Predvolenpsmoodseku"/>
    <w:semiHidden w:val="1"/>
    <w:unhideWhenUsed w:val="1"/>
    <w:rsid w:val="0044477A"/>
    <w:rPr>
      <w:vertAlign w:val="superscript"/>
    </w:rPr>
  </w:style>
  <w:style w:type="paragraph" w:styleId="Predmetkomentra">
    <w:name w:val="annotation subject"/>
    <w:basedOn w:val="Textkomentra"/>
    <w:next w:val="Textkomentra"/>
    <w:link w:val="PredmetkomentraChar"/>
    <w:uiPriority w:val="99"/>
    <w:semiHidden w:val="1"/>
    <w:unhideWhenUsed w:val="1"/>
    <w:rsid w:val="002615E6"/>
    <w:pPr>
      <w:overflowPunct w:val="0"/>
      <w:autoSpaceDE w:val="0"/>
      <w:autoSpaceDN w:val="0"/>
      <w:adjustRightInd w:val="0"/>
    </w:pPr>
    <w:rPr>
      <w:rFonts w:eastAsiaTheme="minorEastAsia"/>
      <w:b w:val="1"/>
      <w:bCs w:val="1"/>
    </w:rPr>
  </w:style>
  <w:style w:type="character" w:styleId="PredmetkomentraChar" w:customStyle="1">
    <w:name w:val="Predmet komentára Char"/>
    <w:basedOn w:val="TextkomentraChar"/>
    <w:link w:val="Predmetkomentra"/>
    <w:uiPriority w:val="99"/>
    <w:semiHidden w:val="1"/>
    <w:rsid w:val="002615E6"/>
    <w:rPr>
      <w:rFonts w:ascii="Times New Roman" w:cs="Times New Roman" w:hAnsi="Times New Roman" w:eastAsiaTheme="minorEastAsia"/>
      <w:b w:val="1"/>
      <w:bCs w:val="1"/>
      <w:sz w:val="20"/>
      <w:szCs w:val="20"/>
      <w:lang w:eastAsia="sk-SK"/>
    </w:rPr>
  </w:style>
  <w:style w:type="character" w:styleId="Siln">
    <w:name w:val="Strong"/>
    <w:qFormat w:val="1"/>
    <w:rsid w:val="006C19A3"/>
    <w:rPr>
      <w:b w:val="1"/>
    </w:rPr>
  </w:style>
  <w:style w:type="paragraph" w:styleId="Nzov">
    <w:name w:val="Title"/>
    <w:basedOn w:val="Normlny"/>
    <w:link w:val="NzovChar"/>
    <w:qFormat w:val="1"/>
    <w:rsid w:val="00926C49"/>
    <w:pPr>
      <w:overflowPunct w:val="1"/>
      <w:autoSpaceDE w:val="1"/>
      <w:autoSpaceDN w:val="1"/>
      <w:adjustRightInd w:val="1"/>
      <w:jc w:val="center"/>
    </w:pPr>
    <w:rPr>
      <w:rFonts w:eastAsia="Times New Roman"/>
      <w:b w:val="1"/>
      <w:bCs w:val="1"/>
      <w:sz w:val="32"/>
      <w:lang w:eastAsia="x-none" w:val="x-none"/>
    </w:rPr>
  </w:style>
  <w:style w:type="character" w:styleId="NzovChar" w:customStyle="1">
    <w:name w:val="Názov Char"/>
    <w:basedOn w:val="Predvolenpsmoodseku"/>
    <w:link w:val="Nzov"/>
    <w:rsid w:val="00926C49"/>
    <w:rPr>
      <w:rFonts w:ascii="Times New Roman" w:cs="Times New Roman" w:eastAsia="Times New Roman" w:hAnsi="Times New Roman"/>
      <w:b w:val="1"/>
      <w:bCs w:val="1"/>
      <w:sz w:val="32"/>
      <w:szCs w:val="24"/>
      <w:lang w:eastAsia="x-none" w:val="x-none"/>
    </w:rPr>
  </w:style>
  <w:style w:type="character" w:styleId="FontStyle33" w:customStyle="1">
    <w:name w:val="Font Style33"/>
    <w:rsid w:val="00953214"/>
    <w:rPr>
      <w:rFonts w:ascii="Times New Roman" w:hAnsi="Times New Roman"/>
      <w:sz w:val="20"/>
    </w:rPr>
  </w:style>
  <w:style w:type="paragraph" w:styleId="Podtitul">
    <w:name w:val="Subtitle"/>
    <w:basedOn w:val="Normlny"/>
    <w:next w:val="Normlny"/>
    <w:link w:val="PodtitulChar"/>
    <w:uiPriority w:val="11"/>
    <w:qFormat w:val="1"/>
    <w:rsid w:val="00801FC6"/>
    <w:pPr>
      <w:numPr>
        <w:ilvl w:val="1"/>
      </w:numPr>
    </w:pPr>
    <w:rPr>
      <w:rFonts w:asciiTheme="majorHAnsi" w:cstheme="majorBidi" w:eastAsiaTheme="majorEastAsia" w:hAnsiTheme="majorHAnsi"/>
      <w:i w:val="1"/>
      <w:iCs w:val="1"/>
      <w:color w:val="4f81bd" w:themeColor="accent1"/>
      <w:spacing w:val="15"/>
    </w:rPr>
  </w:style>
  <w:style w:type="character" w:styleId="PodtitulChar" w:customStyle="1">
    <w:name w:val="Podtitul Char"/>
    <w:basedOn w:val="Predvolenpsmoodseku"/>
    <w:link w:val="Podtitul"/>
    <w:uiPriority w:val="11"/>
    <w:rsid w:val="00801FC6"/>
    <w:rPr>
      <w:rFonts w:asciiTheme="majorHAnsi" w:cstheme="majorBidi" w:eastAsiaTheme="majorEastAsia" w:hAnsiTheme="majorHAnsi"/>
      <w:i w:val="1"/>
      <w:iCs w:val="1"/>
      <w:color w:val="4f81bd" w:themeColor="accent1"/>
      <w:spacing w:val="15"/>
      <w:sz w:val="24"/>
      <w:szCs w:val="24"/>
      <w:lang w:eastAsia="sk-SK"/>
    </w:rPr>
  </w:style>
  <w:style w:type="table" w:styleId="Mriekatabuky1" w:customStyle="1">
    <w:name w:val="Mriežka tabuľky1"/>
    <w:basedOn w:val="Normlnatabuka"/>
    <w:next w:val="Mriekatabuky"/>
    <w:uiPriority w:val="59"/>
    <w:rsid w:val="004D681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Nadpis5Char" w:customStyle="1">
    <w:name w:val="Nadpis 5 Char"/>
    <w:basedOn w:val="Predvolenpsmoodseku"/>
    <w:link w:val="Nadpis5"/>
    <w:rsid w:val="00AB3F7E"/>
    <w:rPr>
      <w:rFonts w:ascii="Arial" w:cs="Arial" w:eastAsia="Times New Roman" w:hAnsi="Arial"/>
      <w:b w:val="1"/>
      <w:bCs w:val="1"/>
      <w:noProof w:val="1"/>
      <w:sz w:val="28"/>
      <w:szCs w:val="28"/>
      <w:lang w:eastAsia="sk-SK" w:val="en-US"/>
    </w:rPr>
  </w:style>
  <w:style w:type="character" w:styleId="Nadpis6Char" w:customStyle="1">
    <w:name w:val="Nadpis 6 Char"/>
    <w:basedOn w:val="Predvolenpsmoodseku"/>
    <w:link w:val="Nadpis6"/>
    <w:rsid w:val="00AB3F7E"/>
    <w:rPr>
      <w:rFonts w:ascii="Calibri" w:cs="Times New Roman" w:eastAsia="Times New Roman" w:hAnsi="Calibri"/>
      <w:b w:val="1"/>
      <w:bCs w:val="1"/>
      <w:lang w:eastAsia="sk-SK"/>
    </w:rPr>
  </w:style>
  <w:style w:type="character" w:styleId="Nadpis7Char" w:customStyle="1">
    <w:name w:val="Nadpis 7 Char"/>
    <w:basedOn w:val="Predvolenpsmoodseku"/>
    <w:link w:val="Nadpis7"/>
    <w:rsid w:val="00AB3F7E"/>
    <w:rPr>
      <w:rFonts w:ascii="Arial" w:cs="Arial" w:eastAsia="Times New Roman" w:hAnsi="Arial"/>
      <w:b w:val="1"/>
      <w:bCs w:val="1"/>
      <w:noProof w:val="1"/>
      <w:u w:val="single"/>
      <w:lang w:eastAsia="sk-SK" w:val="en-US"/>
    </w:rPr>
  </w:style>
  <w:style w:type="character" w:styleId="Nadpis8Char" w:customStyle="1">
    <w:name w:val="Nadpis 8 Char"/>
    <w:basedOn w:val="Predvolenpsmoodseku"/>
    <w:link w:val="Nadpis8"/>
    <w:rsid w:val="00AB3F7E"/>
    <w:rPr>
      <w:rFonts w:ascii="Arial" w:cs="Arial" w:eastAsia="Times New Roman" w:hAnsi="Arial"/>
      <w:i w:val="1"/>
      <w:iCs w:val="1"/>
      <w:u w:val="single"/>
      <w:lang w:eastAsia="sk-SK"/>
    </w:rPr>
  </w:style>
  <w:style w:type="character" w:styleId="Nadpis9Char" w:customStyle="1">
    <w:name w:val="Nadpis 9 Char"/>
    <w:basedOn w:val="Predvolenpsmoodseku"/>
    <w:link w:val="Nadpis9"/>
    <w:rsid w:val="00AB3F7E"/>
    <w:rPr>
      <w:rFonts w:ascii="Cambria" w:cs="Times New Roman" w:eastAsia="Times New Roman" w:hAnsi="Cambria"/>
      <w:lang w:eastAsia="sk-SK"/>
    </w:rPr>
  </w:style>
  <w:style w:type="paragraph" w:styleId="Zkladntext3">
    <w:name w:val="Body Text 3"/>
    <w:basedOn w:val="Normlny"/>
    <w:link w:val="Zkladntext3Char"/>
    <w:rsid w:val="00AB3F7E"/>
    <w:pPr>
      <w:overflowPunct w:val="1"/>
      <w:adjustRightInd w:val="1"/>
      <w:jc w:val="center"/>
    </w:pPr>
    <w:rPr>
      <w:rFonts w:ascii="Arial" w:cs="Arial" w:eastAsia="Times New Roman" w:hAnsi="Arial"/>
      <w:noProof w:val="1"/>
      <w:sz w:val="28"/>
      <w:szCs w:val="28"/>
      <w:lang w:val="en-US"/>
    </w:rPr>
  </w:style>
  <w:style w:type="character" w:styleId="Zkladntext3Char" w:customStyle="1">
    <w:name w:val="Základný text 3 Char"/>
    <w:basedOn w:val="Predvolenpsmoodseku"/>
    <w:link w:val="Zkladntext3"/>
    <w:rsid w:val="00AB3F7E"/>
    <w:rPr>
      <w:rFonts w:ascii="Arial" w:cs="Arial" w:eastAsia="Times New Roman" w:hAnsi="Arial"/>
      <w:noProof w:val="1"/>
      <w:sz w:val="28"/>
      <w:szCs w:val="28"/>
      <w:lang w:eastAsia="sk-SK" w:val="en-US"/>
    </w:rPr>
  </w:style>
  <w:style w:type="paragraph" w:styleId="Zarkazkladnhotextu2">
    <w:name w:val="Body Text Indent 2"/>
    <w:basedOn w:val="Normlny"/>
    <w:link w:val="Zarkazkladnhotextu2Char"/>
    <w:rsid w:val="00AB3F7E"/>
    <w:pPr>
      <w:overflowPunct w:val="1"/>
      <w:adjustRightInd w:val="1"/>
      <w:ind w:left="360"/>
      <w:jc w:val="both"/>
    </w:pPr>
    <w:rPr>
      <w:rFonts w:ascii="Arial" w:cs="Arial" w:eastAsia="Times New Roman" w:hAnsi="Arial"/>
      <w:noProof w:val="1"/>
      <w:sz w:val="22"/>
      <w:szCs w:val="22"/>
      <w:lang w:val="en-US"/>
    </w:rPr>
  </w:style>
  <w:style w:type="character" w:styleId="Zarkazkladnhotextu2Char" w:customStyle="1">
    <w:name w:val="Zarážka základného textu 2 Char"/>
    <w:basedOn w:val="Predvolenpsmoodseku"/>
    <w:link w:val="Zarkazkladnhotextu2"/>
    <w:rsid w:val="00AB3F7E"/>
    <w:rPr>
      <w:rFonts w:ascii="Arial" w:cs="Arial" w:eastAsia="Times New Roman" w:hAnsi="Arial"/>
      <w:noProof w:val="1"/>
      <w:lang w:eastAsia="sk-SK" w:val="en-US"/>
    </w:rPr>
  </w:style>
  <w:style w:type="paragraph" w:styleId="Zkladntext2">
    <w:name w:val="Body Text 2"/>
    <w:basedOn w:val="Normlny"/>
    <w:link w:val="Zkladntext2Char"/>
    <w:rsid w:val="00AB3F7E"/>
    <w:pPr>
      <w:tabs>
        <w:tab w:val="left" w:pos="900"/>
      </w:tabs>
      <w:overflowPunct w:val="1"/>
      <w:autoSpaceDE w:val="1"/>
      <w:autoSpaceDN w:val="1"/>
      <w:adjustRightInd w:val="1"/>
      <w:ind w:left="900"/>
      <w:jc w:val="both"/>
    </w:pPr>
    <w:rPr>
      <w:rFonts w:eastAsia="Times New Roman"/>
      <w:sz w:val="20"/>
      <w:szCs w:val="20"/>
    </w:rPr>
  </w:style>
  <w:style w:type="character" w:styleId="Zkladntext2Char" w:customStyle="1">
    <w:name w:val="Základný text 2 Char"/>
    <w:basedOn w:val="Predvolenpsmoodseku"/>
    <w:link w:val="Zkladntext2"/>
    <w:rsid w:val="00AB3F7E"/>
    <w:rPr>
      <w:rFonts w:ascii="Times New Roman" w:cs="Times New Roman" w:eastAsia="Times New Roman" w:hAnsi="Times New Roman"/>
      <w:sz w:val="20"/>
      <w:szCs w:val="20"/>
      <w:lang w:eastAsia="sk-SK"/>
    </w:rPr>
  </w:style>
  <w:style w:type="paragraph" w:styleId="Zkladntext">
    <w:name w:val="Body Text"/>
    <w:basedOn w:val="Normlny"/>
    <w:link w:val="ZkladntextChar"/>
    <w:rsid w:val="00AB3F7E"/>
    <w:pPr>
      <w:overflowPunct w:val="1"/>
      <w:adjustRightInd w:val="1"/>
      <w:jc w:val="both"/>
    </w:pPr>
    <w:rPr>
      <w:rFonts w:ascii="Arial" w:cs="Arial" w:eastAsia="Times New Roman" w:hAnsi="Arial"/>
      <w:noProof w:val="1"/>
      <w:sz w:val="22"/>
      <w:szCs w:val="22"/>
      <w:lang w:val="en-US"/>
    </w:rPr>
  </w:style>
  <w:style w:type="character" w:styleId="ZkladntextChar" w:customStyle="1">
    <w:name w:val="Základný text Char"/>
    <w:basedOn w:val="Predvolenpsmoodseku"/>
    <w:link w:val="Zkladntext"/>
    <w:rsid w:val="00AB3F7E"/>
    <w:rPr>
      <w:rFonts w:ascii="Arial" w:cs="Arial" w:eastAsia="Times New Roman" w:hAnsi="Arial"/>
      <w:noProof w:val="1"/>
      <w:lang w:eastAsia="sk-SK" w:val="en-US"/>
    </w:rPr>
  </w:style>
  <w:style w:type="paragraph" w:styleId="xl25" w:customStyle="1">
    <w:name w:val="xl25"/>
    <w:basedOn w:val="Normlny"/>
    <w:rsid w:val="00AB3F7E"/>
    <w:pPr>
      <w:overflowPunct w:val="1"/>
      <w:autoSpaceDE w:val="1"/>
      <w:autoSpaceDN w:val="1"/>
      <w:adjustRightInd w:val="1"/>
      <w:spacing w:after="100" w:afterAutospacing="1" w:before="100" w:beforeAutospacing="1"/>
    </w:pPr>
    <w:rPr>
      <w:rFonts w:ascii="Arial" w:eastAsia="Times New Roman" w:hAnsi="Arial"/>
      <w:b w:val="1"/>
      <w:bCs w:val="1"/>
    </w:rPr>
  </w:style>
  <w:style w:type="paragraph" w:styleId="xl110" w:customStyle="1">
    <w:name w:val="xl110"/>
    <w:basedOn w:val="Normlny"/>
    <w:rsid w:val="00AB3F7E"/>
    <w:pPr>
      <w:overflowPunct w:val="1"/>
      <w:autoSpaceDE w:val="1"/>
      <w:autoSpaceDN w:val="1"/>
      <w:adjustRightInd w:val="1"/>
      <w:spacing w:after="100" w:afterAutospacing="1" w:before="100" w:beforeAutospacing="1"/>
      <w:jc w:val="center"/>
    </w:pPr>
    <w:rPr>
      <w:rFonts w:ascii="Arial" w:eastAsia="Times New Roman" w:hAnsi="Arial"/>
      <w:b w:val="1"/>
      <w:bCs w:val="1"/>
    </w:rPr>
  </w:style>
  <w:style w:type="paragraph" w:styleId="Oznaitext">
    <w:name w:val="Block Text"/>
    <w:basedOn w:val="Normlny"/>
    <w:rsid w:val="00AB3F7E"/>
    <w:pPr>
      <w:overflowPunct w:val="1"/>
      <w:autoSpaceDE w:val="1"/>
      <w:autoSpaceDN w:val="1"/>
      <w:adjustRightInd w:val="1"/>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val="1"/>
      <w:autoSpaceDE w:val="1"/>
      <w:autoSpaceDN w:val="1"/>
      <w:adjustRightInd w:val="1"/>
      <w:spacing w:after="100" w:afterAutospacing="1" w:before="100" w:beforeAutospacing="1"/>
      <w:ind w:left="540"/>
    </w:pPr>
    <w:rPr>
      <w:rFonts w:ascii="Arial Unicode MS" w:eastAsia="Arial Unicode MS" w:hAnsi="Arial Unicode MS"/>
      <w:b w:val="1"/>
      <w:color w:val="000000"/>
      <w:sz w:val="20"/>
      <w:szCs w:val="20"/>
    </w:rPr>
  </w:style>
  <w:style w:type="paragraph" w:styleId="slovanie" w:customStyle="1">
    <w:name w:val="Číslovanie"/>
    <w:rsid w:val="00AB3F7E"/>
    <w:pPr>
      <w:numPr>
        <w:numId w:val="8"/>
      </w:numPr>
      <w:autoSpaceDE w:val="0"/>
      <w:autoSpaceDN w:val="0"/>
      <w:spacing w:after="0" w:line="360" w:lineRule="auto"/>
      <w:jc w:val="both"/>
    </w:pPr>
    <w:rPr>
      <w:rFonts w:ascii="Times New Roman" w:cs="Times New Roman" w:eastAsia="Times New Roman" w:hAnsi="Times New Roman"/>
      <w:sz w:val="24"/>
      <w:szCs w:val="24"/>
    </w:rPr>
  </w:style>
  <w:style w:type="paragraph" w:styleId="NormlnsWWW1" w:customStyle="1">
    <w:name w:val="Normální (síť WWW)1"/>
    <w:basedOn w:val="Normlny"/>
    <w:rsid w:val="00AB3F7E"/>
    <w:pPr>
      <w:overflowPunct w:val="1"/>
      <w:autoSpaceDE w:val="1"/>
      <w:autoSpaceDN w:val="1"/>
      <w:adjustRightInd w:val="1"/>
      <w:spacing w:after="100" w:afterAutospacing="1" w:before="100" w:beforeAutospacing="1"/>
    </w:pPr>
    <w:rPr>
      <w:rFonts w:ascii="Tahoma" w:cs="Tahoma" w:eastAsia="Arial Unicode MS" w:hAnsi="Tahoma"/>
      <w:sz w:val="17"/>
      <w:szCs w:val="17"/>
      <w:lang w:eastAsia="cs-CZ" w:val="cs-CZ"/>
    </w:rPr>
  </w:style>
  <w:style w:type="paragraph" w:styleId="BodyText26" w:customStyle="1">
    <w:name w:val="Body Text 26"/>
    <w:basedOn w:val="Normlny"/>
    <w:uiPriority w:val="99"/>
    <w:rsid w:val="00AB3F7E"/>
    <w:pPr>
      <w:tabs>
        <w:tab w:val="left" w:pos="540"/>
      </w:tabs>
      <w:spacing w:before="200"/>
      <w:ind w:left="539" w:hanging="539"/>
      <w:jc w:val="both"/>
      <w:textAlignment w:val="baseline"/>
    </w:pPr>
    <w:rPr>
      <w:rFonts w:ascii="Arial" w:cs="Arial" w:eastAsia="Times New Roman" w:hAnsi="Arial"/>
      <w:noProof w:val="1"/>
      <w:sz w:val="20"/>
      <w:szCs w:val="20"/>
    </w:rPr>
  </w:style>
  <w:style w:type="paragraph" w:styleId="BodyTextIndent22" w:customStyle="1">
    <w:name w:val="Body Text Indent 22"/>
    <w:basedOn w:val="Normlny"/>
    <w:uiPriority w:val="99"/>
    <w:rsid w:val="00AB3F7E"/>
    <w:pPr>
      <w:ind w:left="360"/>
      <w:jc w:val="both"/>
      <w:textAlignment w:val="baseline"/>
    </w:pPr>
    <w:rPr>
      <w:rFonts w:eastAsia="Times New Roman"/>
      <w:noProof w:val="1"/>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cs="Arial" w:eastAsia="Times New Roman" w:hAnsi="Arial"/>
      <w:noProof w:val="1"/>
      <w:sz w:val="20"/>
      <w:szCs w:val="20"/>
    </w:rPr>
  </w:style>
  <w:style w:type="character" w:styleId="Zarkazkladnhotextu3Char" w:customStyle="1">
    <w:name w:val="Zarážka základného textu 3 Char"/>
    <w:basedOn w:val="Predvolenpsmoodseku"/>
    <w:link w:val="Zarkazkladnhotextu3"/>
    <w:rsid w:val="00AB3F7E"/>
    <w:rPr>
      <w:rFonts w:ascii="Arial" w:cs="Arial" w:eastAsia="Times New Roman" w:hAnsi="Arial"/>
      <w:noProof w:val="1"/>
      <w:sz w:val="20"/>
      <w:szCs w:val="20"/>
      <w:lang w:eastAsia="sk-SK"/>
    </w:rPr>
  </w:style>
  <w:style w:type="character" w:styleId="PsacstrojHTML">
    <w:name w:val="HTML Typewriter"/>
    <w:uiPriority w:val="99"/>
    <w:rsid w:val="00AB3F7E"/>
    <w:rPr>
      <w:rFonts w:ascii="Courier New" w:cs="Courier New" w:hAnsi="Courier New"/>
      <w:sz w:val="20"/>
      <w:szCs w:val="20"/>
    </w:rPr>
  </w:style>
  <w:style w:type="paragraph" w:styleId="Skupina" w:customStyle="1">
    <w:name w:val="Skupina"/>
    <w:basedOn w:val="Normlny"/>
    <w:next w:val="Opercia"/>
    <w:uiPriority w:val="99"/>
    <w:rsid w:val="00AB3F7E"/>
    <w:pPr>
      <w:keepNext w:val="1"/>
      <w:keepLines w:val="1"/>
      <w:suppressAutoHyphens w:val="1"/>
      <w:spacing w:after="120" w:before="240"/>
      <w:ind w:left="284"/>
      <w:textAlignment w:val="baseline"/>
    </w:pPr>
    <w:rPr>
      <w:rFonts w:ascii="Arial" w:cs="Arial" w:eastAsia="Times New Roman" w:hAnsi="Arial"/>
      <w:b w:val="1"/>
      <w:bCs w:val="1"/>
      <w:caps w:val="1"/>
      <w:u w:val="single"/>
    </w:rPr>
  </w:style>
  <w:style w:type="paragraph" w:styleId="Opercia" w:customStyle="1">
    <w:name w:val="Operácia"/>
    <w:basedOn w:val="Normlny"/>
    <w:uiPriority w:val="99"/>
    <w:rsid w:val="00AB3F7E"/>
    <w:pPr>
      <w:keepLines w:val="1"/>
      <w:spacing w:before="60"/>
      <w:jc w:val="both"/>
      <w:textAlignment w:val="baseline"/>
    </w:pPr>
    <w:rPr>
      <w:rFonts w:ascii="Arial Narrow" w:cs="Arial Narrow" w:eastAsia="Times New Roman" w:hAnsi="Arial Narrow"/>
    </w:rPr>
  </w:style>
  <w:style w:type="paragraph" w:styleId="Prehliadka" w:customStyle="1">
    <w:name w:val="Prehliadka"/>
    <w:basedOn w:val="Normlny"/>
    <w:uiPriority w:val="99"/>
    <w:rsid w:val="00AB3F7E"/>
    <w:pPr>
      <w:keepLines w:val="1"/>
      <w:spacing w:before="60"/>
      <w:jc w:val="center"/>
      <w:textAlignment w:val="baseline"/>
    </w:pPr>
    <w:rPr>
      <w:rFonts w:ascii="Arial" w:cs="Arial" w:eastAsia="Times New Roman" w:hAnsi="Arial"/>
      <w:caps w:val="1"/>
    </w:rPr>
  </w:style>
  <w:style w:type="paragraph" w:styleId="Opercianov" w:customStyle="1">
    <w:name w:val="Operácia nová"/>
    <w:basedOn w:val="Opercia"/>
    <w:uiPriority w:val="99"/>
    <w:rsid w:val="00AB3F7E"/>
    <w:rPr>
      <w:color w:val="008000"/>
    </w:rPr>
  </w:style>
  <w:style w:type="paragraph" w:styleId="Profesia" w:customStyle="1">
    <w:name w:val="Profesia"/>
    <w:basedOn w:val="Prehliadka"/>
    <w:uiPriority w:val="99"/>
    <w:rsid w:val="00AB3F7E"/>
  </w:style>
  <w:style w:type="paragraph" w:styleId="Eas" w:customStyle="1">
    <w:name w:val="Eas"/>
    <w:basedOn w:val="Normlny"/>
    <w:uiPriority w:val="99"/>
    <w:rsid w:val="00AB3F7E"/>
    <w:pPr>
      <w:keepLines w:val="1"/>
      <w:spacing w:before="60"/>
      <w:ind w:right="113"/>
      <w:jc w:val="right"/>
      <w:textAlignment w:val="baseline"/>
    </w:pPr>
    <w:rPr>
      <w:rFonts w:ascii="Arial" w:cs="Arial" w:eastAsia="Times New Roman" w:hAnsi="Arial"/>
    </w:rPr>
  </w:style>
  <w:style w:type="paragraph" w:styleId="Operciazruen" w:customStyle="1">
    <w:name w:val="Operácia zrušená"/>
    <w:basedOn w:val="Opercia"/>
    <w:uiPriority w:val="99"/>
    <w:rsid w:val="00AB3F7E"/>
    <w:rPr>
      <w:color w:val="ff0000"/>
    </w:rPr>
  </w:style>
  <w:style w:type="paragraph" w:styleId="Nadpistabulky" w:customStyle="1">
    <w:name w:val="Nadpis tabulky"/>
    <w:basedOn w:val="Normlny"/>
    <w:uiPriority w:val="99"/>
    <w:rsid w:val="00AB3F7E"/>
    <w:pPr>
      <w:keepNext w:val="1"/>
      <w:widowControl w:val="0"/>
      <w:spacing w:after="240" w:before="120" w:line="240" w:lineRule="atLeast"/>
      <w:ind w:right="335"/>
      <w:jc w:val="center"/>
      <w:textAlignment w:val="baseline"/>
    </w:pPr>
    <w:rPr>
      <w:rFonts w:eastAsia="Times New Roman"/>
      <w:b w:val="1"/>
      <w:bCs w:val="1"/>
      <w:caps w:val="1"/>
    </w:rPr>
  </w:style>
  <w:style w:type="paragraph" w:styleId="Tarifntrieda" w:customStyle="1">
    <w:name w:val="Tarifná trieda"/>
    <w:basedOn w:val="Profesia"/>
    <w:uiPriority w:val="99"/>
    <w:rsid w:val="00AB3F7E"/>
    <w:rPr>
      <w:caps w:val="0"/>
    </w:rPr>
  </w:style>
  <w:style w:type="paragraph" w:styleId="Kapitola" w:customStyle="1">
    <w:name w:val="Kapitola"/>
    <w:basedOn w:val="Normlny"/>
    <w:next w:val="Nadpis1"/>
    <w:uiPriority w:val="99"/>
    <w:rsid w:val="00AB3F7E"/>
    <w:pPr>
      <w:jc w:val="center"/>
      <w:textAlignment w:val="baseline"/>
    </w:pPr>
    <w:rPr>
      <w:rFonts w:ascii="Arial" w:cs="Arial" w:eastAsia="Times New Roman" w:hAnsi="Arial"/>
      <w:b w:val="1"/>
      <w:bCs w:val="1"/>
      <w:color w:val="000000"/>
      <w:sz w:val="28"/>
      <w:szCs w:val="28"/>
      <w:lang w:eastAsia="cs-CZ"/>
    </w:rPr>
  </w:style>
  <w:style w:type="character" w:styleId="nadpismaly" w:customStyle="1">
    <w:name w:val="nadpis_maly"/>
    <w:basedOn w:val="Predvolenpsmoodseku"/>
    <w:rsid w:val="00AB3F7E"/>
  </w:style>
  <w:style w:type="character" w:styleId="menu" w:customStyle="1">
    <w:name w:val="menu"/>
    <w:basedOn w:val="Predvolenpsmoodseku"/>
    <w:rsid w:val="00AB3F7E"/>
  </w:style>
  <w:style w:type="character" w:styleId="Siln1" w:customStyle="1">
    <w:name w:val="Silný1"/>
    <w:rsid w:val="00AB3F7E"/>
    <w:rPr>
      <w:b w:val="1"/>
    </w:rPr>
  </w:style>
  <w:style w:type="paragraph" w:styleId="Normlnywebov1" w:customStyle="1">
    <w:name w:val="Normálny (webový)1"/>
    <w:basedOn w:val="Normlny"/>
    <w:rsid w:val="00AB3F7E"/>
    <w:pPr>
      <w:overflowPunct w:val="1"/>
      <w:autoSpaceDE w:val="1"/>
      <w:autoSpaceDN w:val="1"/>
      <w:adjustRightInd w:val="1"/>
      <w:spacing w:after="100" w:afterAutospacing="1" w:before="100" w:beforeAutospacing="1"/>
    </w:pPr>
    <w:rPr>
      <w:rFonts w:ascii="Arial Unicode MS" w:cs="Arial Unicode MS" w:eastAsia="Arial Unicode MS" w:hAnsi="Arial Unicode MS"/>
    </w:rPr>
  </w:style>
  <w:style w:type="paragraph" w:styleId="Blockquote" w:customStyle="1">
    <w:name w:val="Blockquote"/>
    <w:basedOn w:val="Normlny"/>
    <w:rsid w:val="00AB3F7E"/>
    <w:pPr>
      <w:spacing w:after="100" w:before="100"/>
      <w:ind w:left="360" w:right="360"/>
      <w:textAlignment w:val="baseline"/>
    </w:pPr>
    <w:rPr>
      <w:rFonts w:eastAsia="Times New Roman"/>
    </w:rPr>
  </w:style>
  <w:style w:type="paragraph" w:styleId="Styl1" w:customStyle="1">
    <w:name w:val="Styl1"/>
    <w:basedOn w:val="Normlny"/>
    <w:rsid w:val="00AB3F7E"/>
    <w:pPr>
      <w:overflowPunct w:val="1"/>
      <w:autoSpaceDE w:val="1"/>
      <w:autoSpaceDN w:val="1"/>
      <w:adjustRightInd w:val="1"/>
      <w:jc w:val="both"/>
    </w:pPr>
    <w:rPr>
      <w:rFonts w:ascii="Arial" w:cs="Arial" w:eastAsia="Times New Roman" w:hAnsi="Arial"/>
      <w:lang w:eastAsia="cs-CZ"/>
    </w:rPr>
  </w:style>
  <w:style w:type="paragraph" w:styleId="slovanzoznam4">
    <w:name w:val="List Number 4"/>
    <w:basedOn w:val="slovanzoznam"/>
    <w:rsid w:val="00AB3F7E"/>
    <w:pPr>
      <w:keepLines w:val="1"/>
      <w:tabs>
        <w:tab w:val="clear" w:pos="360"/>
        <w:tab w:val="left" w:pos="1636"/>
      </w:tabs>
      <w:overflowPunct w:val="0"/>
      <w:autoSpaceDE w:val="0"/>
      <w:autoSpaceDN w:val="0"/>
      <w:adjustRightInd w:val="0"/>
      <w:spacing w:after="40" w:before="40"/>
      <w:ind w:left="1559"/>
      <w:jc w:val="both"/>
      <w:textAlignment w:val="baseline"/>
    </w:pPr>
    <w:rPr>
      <w:rFonts w:ascii="Arial" w:hAnsi="Arial"/>
      <w:szCs w:val="20"/>
    </w:rPr>
  </w:style>
  <w:style w:type="paragraph" w:styleId="slovanzoznam">
    <w:name w:val="List Number"/>
    <w:basedOn w:val="Normlny"/>
    <w:rsid w:val="00AB3F7E"/>
    <w:pPr>
      <w:numPr>
        <w:numId w:val="9"/>
      </w:numPr>
      <w:overflowPunct w:val="1"/>
      <w:autoSpaceDE w:val="1"/>
      <w:autoSpaceDN w:val="1"/>
      <w:adjustRightInd w:val="1"/>
    </w:pPr>
    <w:rPr>
      <w:rFonts w:eastAsia="Times New Roman"/>
    </w:rPr>
  </w:style>
  <w:style w:type="paragraph" w:styleId="Zkladntext22" w:customStyle="1">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styleId="JASPInormlny" w:customStyle="1">
    <w:name w:val="JASPI normálny"/>
    <w:basedOn w:val="Normlny"/>
    <w:rsid w:val="00AB3F7E"/>
    <w:pPr>
      <w:overflowPunct w:val="1"/>
      <w:autoSpaceDE w:val="1"/>
      <w:autoSpaceDN w:val="1"/>
      <w:adjustRightInd w:val="1"/>
      <w:jc w:val="both"/>
    </w:pPr>
    <w:rPr>
      <w:rFonts w:eastAsia="Times New Roman"/>
      <w:lang w:eastAsia="cs-CZ"/>
    </w:rPr>
  </w:style>
  <w:style w:type="paragraph" w:styleId="text-3mezera" w:customStyle="1">
    <w:name w:val="text - 3 mezera"/>
    <w:basedOn w:val="Normlny"/>
    <w:rsid w:val="00AB3F7E"/>
    <w:pPr>
      <w:widowControl w:val="0"/>
      <w:overflowPunct w:val="1"/>
      <w:autoSpaceDE w:val="1"/>
      <w:autoSpaceDN w:val="1"/>
      <w:adjustRightInd w:val="1"/>
      <w:spacing w:before="60" w:line="240" w:lineRule="exact"/>
      <w:jc w:val="both"/>
    </w:pPr>
    <w:rPr>
      <w:rFonts w:ascii="Arial" w:eastAsia="Times New Roman" w:hAnsi="Arial"/>
      <w:szCs w:val="20"/>
      <w:lang w:val="cs-CZ"/>
    </w:rPr>
  </w:style>
  <w:style w:type="paragraph" w:styleId="tabulka" w:customStyle="1">
    <w:name w:val="tabulka"/>
    <w:basedOn w:val="Normlny"/>
    <w:rsid w:val="00AB3F7E"/>
    <w:pPr>
      <w:widowControl w:val="0"/>
      <w:overflowPunct w:val="1"/>
      <w:autoSpaceDE w:val="1"/>
      <w:autoSpaceDN w:val="1"/>
      <w:adjustRightInd w:val="1"/>
      <w:spacing w:before="120" w:line="240" w:lineRule="exact"/>
      <w:jc w:val="center"/>
    </w:pPr>
    <w:rPr>
      <w:rFonts w:ascii="Arial" w:eastAsia="Times New Roman" w:hAnsi="Arial"/>
      <w:sz w:val="20"/>
      <w:szCs w:val="20"/>
      <w:lang w:val="cs-CZ"/>
    </w:rPr>
  </w:style>
  <w:style w:type="paragraph" w:styleId="Text" w:customStyle="1">
    <w:name w:val="Text"/>
    <w:basedOn w:val="Normlny"/>
    <w:rsid w:val="00AB3F7E"/>
    <w:pPr>
      <w:tabs>
        <w:tab w:val="left" w:pos="2268"/>
        <w:tab w:val="left" w:pos="4678"/>
      </w:tabs>
      <w:overflowPunct w:val="1"/>
      <w:adjustRightInd w:val="1"/>
      <w:spacing w:after="120" w:line="280" w:lineRule="exact"/>
      <w:ind w:left="1418"/>
      <w:jc w:val="both"/>
    </w:pPr>
    <w:rPr>
      <w:rFonts w:ascii="Arial" w:cs="Arial" w:eastAsia="Times New Roman" w:hAnsi="Arial"/>
      <w:sz w:val="20"/>
      <w:szCs w:val="20"/>
      <w:lang w:val="en-US"/>
    </w:rPr>
  </w:style>
  <w:style w:type="paragraph" w:styleId="Zoznamsodrkami">
    <w:name w:val="List Bullet"/>
    <w:basedOn w:val="Normlny"/>
    <w:autoRedefine w:val="1"/>
    <w:rsid w:val="00AB3F7E"/>
    <w:pPr>
      <w:overflowPunct w:val="1"/>
      <w:adjustRightInd w:val="1"/>
      <w:spacing w:before="120"/>
      <w:ind w:left="1077" w:hanging="357"/>
      <w:outlineLvl w:val="4"/>
    </w:pPr>
    <w:rPr>
      <w:rFonts w:eastAsia="Times New Roman"/>
      <w:b w:val="1"/>
      <w:bCs w:val="1"/>
      <w:lang w:val="en-GB"/>
    </w:rPr>
  </w:style>
  <w:style w:type="paragraph" w:styleId="RamBullet1" w:customStyle="1">
    <w:name w:val="Ram Bullet 1"/>
    <w:basedOn w:val="Normlny"/>
    <w:rsid w:val="00AB3F7E"/>
    <w:pPr>
      <w:numPr>
        <w:numId w:val="10"/>
      </w:numPr>
      <w:overflowPunct w:val="1"/>
      <w:autoSpaceDE w:val="1"/>
      <w:autoSpaceDN w:val="1"/>
      <w:adjustRightInd w:val="1"/>
      <w:spacing w:line="288" w:lineRule="auto"/>
    </w:pPr>
    <w:rPr>
      <w:rFonts w:ascii="Verdana" w:eastAsia="Times New Roman" w:hAnsi="Verdana"/>
      <w:spacing w:val="2"/>
      <w:sz w:val="18"/>
      <w:szCs w:val="20"/>
      <w:lang w:eastAsia="en-US"/>
    </w:rPr>
  </w:style>
  <w:style w:type="paragraph" w:styleId="RamBullet2" w:customStyle="1">
    <w:name w:val="Ram Bullet 2"/>
    <w:basedOn w:val="Normlny"/>
    <w:rsid w:val="00AB3F7E"/>
    <w:pPr>
      <w:numPr>
        <w:ilvl w:val="1"/>
        <w:numId w:val="10"/>
      </w:numPr>
      <w:overflowPunct w:val="1"/>
      <w:autoSpaceDE w:val="1"/>
      <w:autoSpaceDN w:val="1"/>
      <w:adjustRightInd w:val="1"/>
      <w:spacing w:line="288" w:lineRule="auto"/>
    </w:pPr>
    <w:rPr>
      <w:rFonts w:ascii="Verdana" w:eastAsia="Times New Roman" w:hAnsi="Verdana"/>
      <w:spacing w:val="2"/>
      <w:sz w:val="18"/>
      <w:szCs w:val="20"/>
      <w:lang w:eastAsia="en-US"/>
    </w:rPr>
  </w:style>
  <w:style w:type="paragraph" w:styleId="RamBullet3" w:customStyle="1">
    <w:name w:val="Ram Bullet 3"/>
    <w:basedOn w:val="Normlny"/>
    <w:rsid w:val="00AB3F7E"/>
    <w:pPr>
      <w:numPr>
        <w:ilvl w:val="2"/>
        <w:numId w:val="10"/>
      </w:numPr>
      <w:overflowPunct w:val="1"/>
      <w:autoSpaceDE w:val="1"/>
      <w:autoSpaceDN w:val="1"/>
      <w:adjustRightInd w:val="1"/>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val="1"/>
    <w:semiHidden w:val="1"/>
    <w:rsid w:val="00AB3F7E"/>
    <w:pPr>
      <w:overflowPunct w:val="1"/>
      <w:autoSpaceDE w:val="1"/>
      <w:autoSpaceDN w:val="1"/>
      <w:adjustRightInd w:val="1"/>
      <w:spacing w:after="240"/>
      <w:ind w:left="240" w:hanging="240"/>
      <w:jc w:val="both"/>
    </w:pPr>
    <w:rPr>
      <w:rFonts w:ascii="Arial" w:eastAsia="Times New Roman" w:hAnsi="Arial"/>
      <w:sz w:val="20"/>
      <w:szCs w:val="20"/>
      <w:lang w:eastAsia="en-US" w:val="en-GB"/>
    </w:rPr>
  </w:style>
  <w:style w:type="paragraph" w:styleId="Nadpisregistra">
    <w:name w:val="index heading"/>
    <w:basedOn w:val="Normlny"/>
    <w:next w:val="Register1"/>
    <w:semiHidden w:val="1"/>
    <w:rsid w:val="00AB3F7E"/>
    <w:pPr>
      <w:overflowPunct w:val="1"/>
      <w:autoSpaceDE w:val="1"/>
      <w:autoSpaceDN w:val="1"/>
      <w:adjustRightInd w:val="1"/>
      <w:spacing w:after="240"/>
      <w:jc w:val="both"/>
    </w:pPr>
    <w:rPr>
      <w:rFonts w:ascii="Arial" w:eastAsia="Times New Roman" w:hAnsi="Arial"/>
      <w:b w:val="1"/>
      <w:sz w:val="20"/>
      <w:szCs w:val="20"/>
      <w:lang w:eastAsia="en-US" w:val="en-GB"/>
    </w:rPr>
  </w:style>
  <w:style w:type="paragraph" w:styleId="Normln2" w:customStyle="1">
    <w:name w:val="Normální 2"/>
    <w:basedOn w:val="Normlny"/>
    <w:rsid w:val="00AB3F7E"/>
    <w:pPr>
      <w:overflowPunct w:val="1"/>
      <w:autoSpaceDE w:val="1"/>
      <w:autoSpaceDN w:val="1"/>
      <w:adjustRightInd w:val="1"/>
      <w:jc w:val="both"/>
    </w:pPr>
    <w:rPr>
      <w:rFonts w:ascii="Arial" w:eastAsia="Times New Roman" w:hAnsi="Arial"/>
      <w:sz w:val="22"/>
      <w:szCs w:val="20"/>
      <w:lang w:eastAsia="cs-CZ" w:val="cs-CZ"/>
    </w:rPr>
  </w:style>
  <w:style w:type="paragraph" w:styleId="Zkladntextb" w:customStyle="1">
    <w:name w:val="Základný text.b"/>
    <w:basedOn w:val="Normlny"/>
    <w:rsid w:val="00AB3F7E"/>
    <w:pPr>
      <w:overflowPunct w:val="1"/>
      <w:adjustRightInd w:val="1"/>
      <w:spacing w:after="240" w:line="240" w:lineRule="atLeast"/>
      <w:ind w:left="1134"/>
      <w:jc w:val="both"/>
    </w:pPr>
    <w:rPr>
      <w:rFonts w:ascii="Arial" w:eastAsia="Times New Roman" w:hAnsi="Arial"/>
      <w:spacing w:val="-5"/>
      <w:sz w:val="20"/>
      <w:szCs w:val="20"/>
      <w:lang w:eastAsia="en-US" w:val="en-GB"/>
    </w:rPr>
  </w:style>
  <w:style w:type="character" w:styleId="nadpis10" w:customStyle="1">
    <w:name w:val="nadpis1"/>
    <w:rsid w:val="00AB3F7E"/>
    <w:rPr>
      <w:b w:val="1"/>
      <w:bCs w:val="1"/>
      <w:sz w:val="26"/>
    </w:rPr>
  </w:style>
  <w:style w:type="paragraph" w:styleId="StyleHeading1Before2lineAfter1line1" w:customStyle="1">
    <w:name w:val="Style Heading 1 + Before:  2 line After:  1 line1"/>
    <w:basedOn w:val="Nadpis1"/>
    <w:autoRedefine w:val="1"/>
    <w:rsid w:val="00AB3F7E"/>
    <w:pPr>
      <w:keepLines w:val="1"/>
      <w:tabs>
        <w:tab w:val="num" w:pos="720"/>
      </w:tabs>
      <w:overflowPunct w:val="1"/>
      <w:autoSpaceDE w:val="1"/>
      <w:autoSpaceDN w:val="1"/>
      <w:adjustRightInd w:val="1"/>
      <w:spacing w:before="120"/>
      <w:ind w:firstLine="240"/>
    </w:pPr>
    <w:rPr>
      <w:rFonts w:eastAsia="Times New Roman"/>
      <w:spacing w:val="7"/>
      <w:kern w:val="28"/>
      <w:lang w:eastAsia="en-US" w:val="en-GB"/>
    </w:rPr>
  </w:style>
  <w:style w:type="numbering" w:styleId="tl1" w:customStyle="1">
    <w:name w:val="Štýl1"/>
    <w:rsid w:val="00AB3F7E"/>
    <w:pPr>
      <w:numPr>
        <w:numId w:val="11"/>
      </w:numPr>
    </w:pPr>
  </w:style>
  <w:style w:type="numbering" w:styleId="tl2" w:customStyle="1">
    <w:name w:val="Štýl2"/>
    <w:rsid w:val="00AB3F7E"/>
    <w:pPr>
      <w:numPr>
        <w:numId w:val="12"/>
      </w:numPr>
    </w:pPr>
  </w:style>
  <w:style w:type="paragraph" w:styleId="Normln" w:customStyle="1">
    <w:name w:val="Norm‡ln’"/>
    <w:uiPriority w:val="99"/>
    <w:rsid w:val="00AB3F7E"/>
    <w:pPr>
      <w:overflowPunct w:val="0"/>
      <w:autoSpaceDE w:val="0"/>
      <w:autoSpaceDN w:val="0"/>
      <w:adjustRightInd w:val="0"/>
      <w:spacing w:after="0" w:line="240" w:lineRule="auto"/>
      <w:textAlignment w:val="baseline"/>
    </w:pPr>
    <w:rPr>
      <w:rFonts w:ascii="Times New Roman" w:cs="Times New Roman" w:eastAsia="Times New Roman" w:hAnsi="Times New Roman"/>
      <w:sz w:val="24"/>
      <w:szCs w:val="20"/>
      <w:lang w:eastAsia="sk-SK" w:val="cs-CZ"/>
    </w:rPr>
  </w:style>
  <w:style w:type="paragraph" w:styleId="text2" w:customStyle="1">
    <w:name w:val="text2"/>
    <w:basedOn w:val="Normlny"/>
    <w:uiPriority w:val="99"/>
    <w:rsid w:val="00AB3F7E"/>
    <w:pPr>
      <w:tabs>
        <w:tab w:val="left" w:pos="426"/>
      </w:tabs>
      <w:spacing w:after="60" w:before="60"/>
      <w:ind w:left="1134" w:hanging="425"/>
      <w:jc w:val="both"/>
      <w:textAlignment w:val="baseline"/>
    </w:pPr>
    <w:rPr>
      <w:rFonts w:eastAsia="Times New Roman"/>
      <w:lang w:eastAsia="en-GB"/>
    </w:rPr>
  </w:style>
  <w:style w:type="paragraph" w:styleId="Import1" w:customStyle="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val="1"/>
      <w:spacing w:line="276" w:lineRule="auto"/>
      <w:textAlignment w:val="baseline"/>
    </w:pPr>
    <w:rPr>
      <w:rFonts w:ascii="Arial" w:cs="Arial" w:eastAsia="Times New Roman" w:hAnsi="Arial"/>
      <w:sz w:val="20"/>
      <w:szCs w:val="20"/>
    </w:rPr>
  </w:style>
  <w:style w:type="paragraph" w:styleId="Styl2" w:customStyle="1">
    <w:name w:val="Styl2"/>
    <w:basedOn w:val="Normlny"/>
    <w:rsid w:val="00AB3F7E"/>
    <w:pPr>
      <w:suppressAutoHyphens w:val="1"/>
      <w:ind w:left="878" w:hanging="340"/>
      <w:jc w:val="both"/>
      <w:textAlignment w:val="baseline"/>
    </w:pPr>
    <w:rPr>
      <w:rFonts w:ascii="Arial" w:cs="Arial" w:eastAsia="Times New Roman" w:hAnsi="Arial"/>
      <w:color w:val="000000"/>
      <w:sz w:val="20"/>
      <w:szCs w:val="20"/>
      <w:lang w:eastAsia="cs-CZ"/>
    </w:rPr>
  </w:style>
  <w:style w:type="paragraph" w:styleId="Odsekzoznamu3" w:customStyle="1">
    <w:name w:val="Odsek zoznamu3"/>
    <w:basedOn w:val="Normlny"/>
    <w:rsid w:val="00AB3F7E"/>
    <w:pPr>
      <w:ind w:left="720"/>
      <w:textAlignment w:val="baseline"/>
    </w:pPr>
    <w:rPr>
      <w:rFonts w:eastAsia="Times New Roman"/>
    </w:rPr>
  </w:style>
  <w:style w:type="paragraph" w:styleId="Revzia">
    <w:name w:val="Revision"/>
    <w:hidden w:val="1"/>
    <w:uiPriority w:val="99"/>
    <w:semiHidden w:val="1"/>
    <w:rsid w:val="00AB3F7E"/>
    <w:pPr>
      <w:spacing w:after="0" w:line="240" w:lineRule="auto"/>
    </w:pPr>
    <w:rPr>
      <w:rFonts w:ascii="Times New Roman" w:cs="Times New Roman" w:eastAsia="Times New Roman" w:hAnsi="Times New Roman"/>
      <w:sz w:val="24"/>
      <w:szCs w:val="24"/>
      <w:lang w:eastAsia="sk-SK"/>
    </w:rPr>
  </w:style>
  <w:style w:type="paragraph" w:styleId="Normlny1" w:customStyle="1">
    <w:name w:val="Normálny1"/>
    <w:rsid w:val="00AB3F7E"/>
    <w:pPr>
      <w:widowControl w:val="0"/>
      <w:spacing w:after="0" w:line="240" w:lineRule="auto"/>
    </w:pPr>
    <w:rPr>
      <w:rFonts w:ascii="Times New Roman" w:cs="Times New Roman" w:eastAsia="Times New Roman" w:hAnsi="Times New Roman"/>
      <w:sz w:val="20"/>
      <w:szCs w:val="20"/>
      <w:lang w:eastAsia="cs-CZ"/>
    </w:rPr>
  </w:style>
  <w:style w:type="paragraph" w:styleId="ListParagraph1" w:customStyle="1">
    <w:name w:val="List Paragraph1"/>
    <w:basedOn w:val="Normlny"/>
    <w:rsid w:val="00AB3F7E"/>
    <w:pPr>
      <w:ind w:left="720"/>
      <w:textAlignment w:val="baseline"/>
    </w:pPr>
    <w:rPr>
      <w:rFonts w:eastAsia="Times New Roman"/>
    </w:rPr>
  </w:style>
  <w:style w:type="character" w:styleId="formtext" w:customStyle="1">
    <w:name w:val="formtext"/>
    <w:rsid w:val="00AB3F7E"/>
  </w:style>
  <w:style w:type="paragraph" w:styleId="Normlnywebov10" w:customStyle="1">
    <w:name w:val="Normálny (webový)1"/>
    <w:basedOn w:val="Normlny"/>
    <w:rsid w:val="00AB3F7E"/>
    <w:pPr>
      <w:overflowPunct w:val="1"/>
      <w:autoSpaceDE w:val="1"/>
      <w:autoSpaceDN w:val="1"/>
      <w:adjustRightInd w:val="1"/>
      <w:spacing w:after="100" w:afterAutospacing="1" w:before="100" w:beforeAutospacing="1"/>
    </w:pPr>
    <w:rPr>
      <w:rFonts w:ascii="Arial Unicode MS" w:cs="Arial Unicode MS" w:eastAsia="Arial Unicode MS" w:hAnsi="Arial Unicode MS"/>
    </w:rPr>
  </w:style>
  <w:style w:type="paragraph" w:styleId="Elnok" w:customStyle="1">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styleId="OdsekzoznamuChar" w:customStyle="1">
    <w:name w:val="Odsek zoznamu Char"/>
    <w:aliases w:val="Odsek Char,lp1 Char,Table Char,Bullet List Char,FooterText Char,numbered Char,Paragraphe de liste1 Char,Bullet Number Char,lp11 Char,List Paragraph11 Char,Bullet 1 Char,Use Case List Paragraph Char,Table of contents numbered Char"/>
    <w:link w:val="Odsekzoznamu"/>
    <w:uiPriority w:val="34"/>
    <w:qFormat w:val="1"/>
    <w:rsid w:val="00AB3F7E"/>
    <w:rPr>
      <w:rFonts w:ascii="Calibri" w:cs="Times New Roman" w:hAnsi="Calibri"/>
    </w:rPr>
  </w:style>
  <w:style w:type="paragraph" w:styleId="Zkladntext210" w:customStyle="1">
    <w:name w:val="Základní text 21"/>
    <w:basedOn w:val="Normlny"/>
    <w:rsid w:val="00AB3F7E"/>
    <w:pPr>
      <w:suppressAutoHyphens w:val="1"/>
      <w:overflowPunct w:val="1"/>
      <w:autoSpaceDE w:val="1"/>
      <w:autoSpaceDN w:val="1"/>
      <w:adjustRightInd w:val="1"/>
      <w:spacing w:after="120" w:line="480" w:lineRule="auto"/>
    </w:pPr>
    <w:rPr>
      <w:rFonts w:eastAsia="Times New Roman"/>
      <w:lang w:eastAsia="ar-SA"/>
    </w:rPr>
  </w:style>
  <w:style w:type="paragraph" w:styleId="Odsekzoznamu1" w:customStyle="1">
    <w:name w:val="Odsek zoznamu1"/>
    <w:basedOn w:val="Normlny"/>
    <w:rsid w:val="00AB3F7E"/>
    <w:pPr>
      <w:overflowPunct w:val="1"/>
      <w:autoSpaceDE w:val="1"/>
      <w:autoSpaceDN w:val="1"/>
      <w:adjustRightInd w:val="1"/>
      <w:ind w:left="708"/>
    </w:pPr>
    <w:rPr>
      <w:rFonts w:eastAsia="Times New Roman"/>
      <w:lang w:eastAsia="cs-CZ"/>
    </w:rPr>
  </w:style>
  <w:style w:type="paragraph" w:styleId="p0" w:customStyle="1">
    <w:name w:val="p0"/>
    <w:basedOn w:val="Normlny"/>
    <w:rsid w:val="00AB3F7E"/>
    <w:pPr>
      <w:overflowPunct w:val="1"/>
      <w:autoSpaceDE w:val="1"/>
      <w:autoSpaceDN w:val="1"/>
      <w:adjustRightInd w:val="1"/>
      <w:spacing w:after="100" w:afterAutospacing="1" w:before="100" w:beforeAutospacing="1"/>
    </w:pPr>
    <w:rPr>
      <w:rFonts w:eastAsia="Times New Roman"/>
    </w:rPr>
  </w:style>
  <w:style w:type="paragraph" w:styleId="p1" w:customStyle="1">
    <w:name w:val="p1"/>
    <w:basedOn w:val="Normlny"/>
    <w:rsid w:val="00AB3F7E"/>
    <w:pPr>
      <w:overflowPunct w:val="1"/>
      <w:autoSpaceDE w:val="1"/>
      <w:autoSpaceDN w:val="1"/>
      <w:adjustRightInd w:val="1"/>
      <w:spacing w:after="100" w:afterAutospacing="1" w:before="100" w:beforeAutospacing="1"/>
    </w:pPr>
    <w:rPr>
      <w:rFonts w:eastAsia="Times New Roman"/>
    </w:rPr>
  </w:style>
  <w:style w:type="paragraph" w:styleId="p2" w:customStyle="1">
    <w:name w:val="p2"/>
    <w:basedOn w:val="Normlny"/>
    <w:rsid w:val="00AB3F7E"/>
    <w:pPr>
      <w:overflowPunct w:val="1"/>
      <w:autoSpaceDE w:val="1"/>
      <w:autoSpaceDN w:val="1"/>
      <w:adjustRightInd w:val="1"/>
      <w:spacing w:after="100" w:afterAutospacing="1" w:before="100" w:beforeAutospacing="1"/>
    </w:pPr>
    <w:rPr>
      <w:rFonts w:eastAsia="Times New Roman"/>
    </w:rPr>
  </w:style>
  <w:style w:type="paragraph" w:styleId="p3" w:customStyle="1">
    <w:name w:val="p3"/>
    <w:basedOn w:val="Normlny"/>
    <w:rsid w:val="00AB3F7E"/>
    <w:pPr>
      <w:overflowPunct w:val="1"/>
      <w:autoSpaceDE w:val="1"/>
      <w:autoSpaceDN w:val="1"/>
      <w:adjustRightInd w:val="1"/>
      <w:spacing w:after="100" w:afterAutospacing="1" w:before="100" w:beforeAutospacing="1"/>
    </w:pPr>
    <w:rPr>
      <w:rFonts w:eastAsia="Times New Roman"/>
    </w:rPr>
  </w:style>
  <w:style w:type="paragraph" w:styleId="p4" w:customStyle="1">
    <w:name w:val="p4"/>
    <w:basedOn w:val="Normlny"/>
    <w:rsid w:val="00AB3F7E"/>
    <w:pPr>
      <w:overflowPunct w:val="1"/>
      <w:autoSpaceDE w:val="1"/>
      <w:autoSpaceDN w:val="1"/>
      <w:adjustRightInd w:val="1"/>
      <w:spacing w:after="100" w:afterAutospacing="1" w:before="100" w:beforeAutospacing="1"/>
    </w:pPr>
    <w:rPr>
      <w:rFonts w:eastAsia="Times New Roman"/>
    </w:rPr>
  </w:style>
  <w:style w:type="paragraph" w:styleId="p5" w:customStyle="1">
    <w:name w:val="p5"/>
    <w:basedOn w:val="Normlny"/>
    <w:rsid w:val="00AB3F7E"/>
    <w:pPr>
      <w:overflowPunct w:val="1"/>
      <w:autoSpaceDE w:val="1"/>
      <w:autoSpaceDN w:val="1"/>
      <w:adjustRightInd w:val="1"/>
      <w:spacing w:after="100" w:afterAutospacing="1" w:before="100" w:beforeAutospacing="1"/>
    </w:pPr>
    <w:rPr>
      <w:rFonts w:eastAsia="Times New Roman"/>
    </w:rPr>
  </w:style>
  <w:style w:type="paragraph" w:styleId="p6" w:customStyle="1">
    <w:name w:val="p6"/>
    <w:basedOn w:val="Normlny"/>
    <w:rsid w:val="00AB3F7E"/>
    <w:pPr>
      <w:overflowPunct w:val="1"/>
      <w:autoSpaceDE w:val="1"/>
      <w:autoSpaceDN w:val="1"/>
      <w:adjustRightInd w:val="1"/>
      <w:spacing w:after="100" w:afterAutospacing="1" w:before="100" w:beforeAutospacing="1"/>
    </w:pPr>
    <w:rPr>
      <w:rFonts w:eastAsia="Times New Roman"/>
    </w:rPr>
  </w:style>
  <w:style w:type="paragraph" w:styleId="p7" w:customStyle="1">
    <w:name w:val="p7"/>
    <w:basedOn w:val="Normlny"/>
    <w:rsid w:val="00AB3F7E"/>
    <w:pPr>
      <w:overflowPunct w:val="1"/>
      <w:autoSpaceDE w:val="1"/>
      <w:autoSpaceDN w:val="1"/>
      <w:adjustRightInd w:val="1"/>
      <w:spacing w:after="100" w:afterAutospacing="1" w:before="100" w:beforeAutospacing="1"/>
    </w:pPr>
    <w:rPr>
      <w:rFonts w:eastAsia="Times New Roman"/>
    </w:rPr>
  </w:style>
  <w:style w:type="paragraph" w:styleId="p8" w:customStyle="1">
    <w:name w:val="p8"/>
    <w:basedOn w:val="Normlny"/>
    <w:rsid w:val="00AB3F7E"/>
    <w:pPr>
      <w:overflowPunct w:val="1"/>
      <w:autoSpaceDE w:val="1"/>
      <w:autoSpaceDN w:val="1"/>
      <w:adjustRightInd w:val="1"/>
      <w:spacing w:after="100" w:afterAutospacing="1" w:before="100" w:beforeAutospacing="1"/>
    </w:pPr>
    <w:rPr>
      <w:rFonts w:eastAsia="Times New Roman"/>
    </w:rPr>
  </w:style>
  <w:style w:type="paragraph" w:styleId="p9" w:customStyle="1">
    <w:name w:val="p9"/>
    <w:basedOn w:val="Normlny"/>
    <w:rsid w:val="00AB3F7E"/>
    <w:pPr>
      <w:overflowPunct w:val="1"/>
      <w:autoSpaceDE w:val="1"/>
      <w:autoSpaceDN w:val="1"/>
      <w:adjustRightInd w:val="1"/>
      <w:spacing w:after="100" w:afterAutospacing="1" w:before="100" w:beforeAutospacing="1"/>
    </w:pPr>
    <w:rPr>
      <w:rFonts w:eastAsia="Times New Roman"/>
    </w:rPr>
  </w:style>
  <w:style w:type="paragraph" w:styleId="font5" w:customStyle="1">
    <w:name w:val="font5"/>
    <w:basedOn w:val="Normlny"/>
    <w:rsid w:val="00AB3F7E"/>
    <w:pPr>
      <w:overflowPunct w:val="1"/>
      <w:autoSpaceDE w:val="1"/>
      <w:autoSpaceDN w:val="1"/>
      <w:adjustRightInd w:val="1"/>
      <w:spacing w:after="100" w:afterAutospacing="1" w:before="100" w:beforeAutospacing="1"/>
    </w:pPr>
    <w:rPr>
      <w:rFonts w:eastAsia="Times New Roman"/>
      <w:b w:val="1"/>
      <w:bCs w:val="1"/>
      <w:sz w:val="18"/>
      <w:szCs w:val="18"/>
    </w:rPr>
  </w:style>
  <w:style w:type="paragraph" w:styleId="font6" w:customStyle="1">
    <w:name w:val="font6"/>
    <w:basedOn w:val="Normlny"/>
    <w:rsid w:val="00AB3F7E"/>
    <w:pPr>
      <w:overflowPunct w:val="1"/>
      <w:autoSpaceDE w:val="1"/>
      <w:autoSpaceDN w:val="1"/>
      <w:adjustRightInd w:val="1"/>
      <w:spacing w:after="100" w:afterAutospacing="1" w:before="100" w:beforeAutospacing="1"/>
    </w:pPr>
    <w:rPr>
      <w:rFonts w:eastAsia="Times New Roman"/>
      <w:color w:val="000000"/>
      <w:sz w:val="18"/>
      <w:szCs w:val="18"/>
    </w:rPr>
  </w:style>
  <w:style w:type="paragraph" w:styleId="font7" w:customStyle="1">
    <w:name w:val="font7"/>
    <w:basedOn w:val="Normlny"/>
    <w:rsid w:val="00AB3F7E"/>
    <w:pPr>
      <w:overflowPunct w:val="1"/>
      <w:autoSpaceDE w:val="1"/>
      <w:autoSpaceDN w:val="1"/>
      <w:adjustRightInd w:val="1"/>
      <w:spacing w:after="100" w:afterAutospacing="1" w:before="100" w:beforeAutospacing="1"/>
    </w:pPr>
    <w:rPr>
      <w:rFonts w:eastAsia="Times New Roman"/>
      <w:sz w:val="18"/>
      <w:szCs w:val="18"/>
    </w:rPr>
  </w:style>
  <w:style w:type="paragraph" w:styleId="font8" w:customStyle="1">
    <w:name w:val="font8"/>
    <w:basedOn w:val="Normlny"/>
    <w:rsid w:val="00AB3F7E"/>
    <w:pPr>
      <w:overflowPunct w:val="1"/>
      <w:autoSpaceDE w:val="1"/>
      <w:autoSpaceDN w:val="1"/>
      <w:adjustRightInd w:val="1"/>
      <w:spacing w:after="100" w:afterAutospacing="1" w:before="100" w:beforeAutospacing="1"/>
    </w:pPr>
    <w:rPr>
      <w:rFonts w:eastAsia="Times New Roman"/>
      <w:b w:val="1"/>
      <w:bCs w:val="1"/>
      <w:i w:val="1"/>
      <w:iCs w:val="1"/>
      <w:sz w:val="18"/>
      <w:szCs w:val="18"/>
    </w:rPr>
  </w:style>
  <w:style w:type="paragraph" w:styleId="font9" w:customStyle="1">
    <w:name w:val="font9"/>
    <w:basedOn w:val="Normlny"/>
    <w:rsid w:val="00AB3F7E"/>
    <w:pPr>
      <w:overflowPunct w:val="1"/>
      <w:autoSpaceDE w:val="1"/>
      <w:autoSpaceDN w:val="1"/>
      <w:adjustRightInd w:val="1"/>
      <w:spacing w:after="100" w:afterAutospacing="1" w:before="100" w:beforeAutospacing="1"/>
    </w:pPr>
    <w:rPr>
      <w:rFonts w:eastAsia="Times New Roman"/>
      <w:b w:val="1"/>
      <w:bCs w:val="1"/>
      <w:i w:val="1"/>
      <w:iCs w:val="1"/>
      <w:sz w:val="18"/>
      <w:szCs w:val="18"/>
      <w:u w:val="single"/>
    </w:rPr>
  </w:style>
  <w:style w:type="paragraph" w:styleId="font10" w:customStyle="1">
    <w:name w:val="font10"/>
    <w:basedOn w:val="Normlny"/>
    <w:rsid w:val="00AB3F7E"/>
    <w:pPr>
      <w:overflowPunct w:val="1"/>
      <w:autoSpaceDE w:val="1"/>
      <w:autoSpaceDN w:val="1"/>
      <w:adjustRightInd w:val="1"/>
      <w:spacing w:after="100" w:afterAutospacing="1" w:before="100" w:beforeAutospacing="1"/>
    </w:pPr>
    <w:rPr>
      <w:rFonts w:eastAsia="Times New Roman"/>
      <w:i w:val="1"/>
      <w:iCs w:val="1"/>
      <w:sz w:val="18"/>
      <w:szCs w:val="18"/>
    </w:rPr>
  </w:style>
  <w:style w:type="paragraph" w:styleId="xl65" w:customStyle="1">
    <w:name w:val="xl65"/>
    <w:basedOn w:val="Normlny"/>
    <w:rsid w:val="00AB3F7E"/>
    <w:pPr>
      <w:overflowPunct w:val="1"/>
      <w:autoSpaceDE w:val="1"/>
      <w:autoSpaceDN w:val="1"/>
      <w:adjustRightInd w:val="1"/>
      <w:spacing w:after="100" w:afterAutospacing="1" w:before="100" w:beforeAutospacing="1"/>
    </w:pPr>
    <w:rPr>
      <w:rFonts w:eastAsia="Times New Roman"/>
      <w:sz w:val="20"/>
      <w:szCs w:val="20"/>
    </w:rPr>
  </w:style>
  <w:style w:type="paragraph" w:styleId="xl66" w:customStyle="1">
    <w:name w:val="xl66"/>
    <w:basedOn w:val="Normlny"/>
    <w:rsid w:val="00AB3F7E"/>
    <w:pPr>
      <w:overflowPunct w:val="1"/>
      <w:autoSpaceDE w:val="1"/>
      <w:autoSpaceDN w:val="1"/>
      <w:adjustRightInd w:val="1"/>
      <w:spacing w:after="100" w:afterAutospacing="1" w:before="100" w:beforeAutospacing="1"/>
      <w:jc w:val="center"/>
    </w:pPr>
    <w:rPr>
      <w:rFonts w:eastAsia="Times New Roman"/>
      <w:sz w:val="20"/>
      <w:szCs w:val="20"/>
    </w:rPr>
  </w:style>
  <w:style w:type="paragraph" w:styleId="xl67" w:customStyle="1">
    <w:name w:val="xl67"/>
    <w:basedOn w:val="Normlny"/>
    <w:rsid w:val="00AB3F7E"/>
    <w:pPr>
      <w:overflowPunct w:val="1"/>
      <w:autoSpaceDE w:val="1"/>
      <w:autoSpaceDN w:val="1"/>
      <w:adjustRightInd w:val="1"/>
      <w:spacing w:after="100" w:afterAutospacing="1" w:before="100" w:beforeAutospacing="1"/>
    </w:pPr>
    <w:rPr>
      <w:rFonts w:eastAsia="Times New Roman"/>
      <w:sz w:val="20"/>
      <w:szCs w:val="20"/>
    </w:rPr>
  </w:style>
  <w:style w:type="paragraph" w:styleId="xl68" w:customStyle="1">
    <w:name w:val="xl68"/>
    <w:basedOn w:val="Normlny"/>
    <w:rsid w:val="00AB3F7E"/>
    <w:pPr>
      <w:overflowPunct w:val="1"/>
      <w:autoSpaceDE w:val="1"/>
      <w:autoSpaceDN w:val="1"/>
      <w:adjustRightInd w:val="1"/>
      <w:spacing w:after="100" w:afterAutospacing="1" w:before="100" w:beforeAutospacing="1"/>
      <w:jc w:val="center"/>
      <w:textAlignment w:val="center"/>
    </w:pPr>
    <w:rPr>
      <w:rFonts w:eastAsia="Times New Roman"/>
      <w:sz w:val="20"/>
      <w:szCs w:val="20"/>
    </w:rPr>
  </w:style>
  <w:style w:type="paragraph" w:styleId="xl69" w:customStyle="1">
    <w:name w:val="xl69"/>
    <w:basedOn w:val="Normlny"/>
    <w:rsid w:val="00AB3F7E"/>
    <w:pPr>
      <w:pBdr>
        <w:top w:color="auto" w:space="0" w:sz="4" w:val="single"/>
        <w:left w:color="auto" w:space="0" w:sz="4" w:val="single"/>
        <w:bottom w:color="auto" w:space="0" w:sz="4" w:val="single"/>
      </w:pBdr>
      <w:shd w:color="000000" w:fill="fde9d9" w:val="clear"/>
      <w:overflowPunct w:val="1"/>
      <w:autoSpaceDE w:val="1"/>
      <w:autoSpaceDN w:val="1"/>
      <w:adjustRightInd w:val="1"/>
      <w:spacing w:after="100" w:afterAutospacing="1" w:before="100" w:beforeAutospacing="1"/>
      <w:jc w:val="center"/>
    </w:pPr>
    <w:rPr>
      <w:rFonts w:eastAsia="Times New Roman"/>
      <w:b w:val="1"/>
      <w:bCs w:val="1"/>
      <w:sz w:val="18"/>
      <w:szCs w:val="18"/>
    </w:rPr>
  </w:style>
  <w:style w:type="paragraph" w:styleId="xl70" w:customStyle="1">
    <w:name w:val="xl70"/>
    <w:basedOn w:val="Normlny"/>
    <w:rsid w:val="00AB3F7E"/>
    <w:pPr>
      <w:pBdr>
        <w:top w:color="auto" w:space="0" w:sz="4" w:val="single"/>
        <w:bottom w:color="auto" w:space="0" w:sz="4" w:val="single"/>
      </w:pBdr>
      <w:shd w:color="000000" w:fill="fde9d9" w:val="clear"/>
      <w:overflowPunct w:val="1"/>
      <w:autoSpaceDE w:val="1"/>
      <w:autoSpaceDN w:val="1"/>
      <w:adjustRightInd w:val="1"/>
      <w:spacing w:after="100" w:afterAutospacing="1" w:before="100" w:beforeAutospacing="1"/>
      <w:jc w:val="center"/>
    </w:pPr>
    <w:rPr>
      <w:rFonts w:eastAsia="Times New Roman"/>
      <w:b w:val="1"/>
      <w:bCs w:val="1"/>
      <w:sz w:val="18"/>
      <w:szCs w:val="18"/>
    </w:rPr>
  </w:style>
  <w:style w:type="paragraph" w:styleId="xl71" w:customStyle="1">
    <w:name w:val="xl71"/>
    <w:basedOn w:val="Normlny"/>
    <w:rsid w:val="00AB3F7E"/>
    <w:pPr>
      <w:pBdr>
        <w:top w:color="auto" w:space="0" w:sz="4" w:val="single"/>
        <w:bottom w:color="auto" w:space="0" w:sz="4" w:val="single"/>
        <w:right w:color="auto" w:space="0" w:sz="4" w:val="single"/>
      </w:pBdr>
      <w:shd w:color="000000" w:fill="fde9d9" w:val="clear"/>
      <w:overflowPunct w:val="1"/>
      <w:autoSpaceDE w:val="1"/>
      <w:autoSpaceDN w:val="1"/>
      <w:adjustRightInd w:val="1"/>
      <w:spacing w:after="100" w:afterAutospacing="1" w:before="100" w:beforeAutospacing="1"/>
      <w:jc w:val="center"/>
    </w:pPr>
    <w:rPr>
      <w:rFonts w:eastAsia="Times New Roman"/>
      <w:b w:val="1"/>
      <w:bCs w:val="1"/>
      <w:sz w:val="18"/>
      <w:szCs w:val="18"/>
    </w:rPr>
  </w:style>
  <w:style w:type="paragraph" w:styleId="xl72" w:customStyle="1">
    <w:name w:val="xl72"/>
    <w:basedOn w:val="Normlny"/>
    <w:rsid w:val="00AB3F7E"/>
    <w:pPr>
      <w:pBdr>
        <w:top w:color="auto" w:space="0" w:sz="4" w:val="single"/>
        <w:left w:color="auto" w:space="0" w:sz="4" w:val="single"/>
        <w:bottom w:color="auto" w:space="0" w:sz="4" w:val="single"/>
        <w:right w:color="auto" w:space="0" w:sz="4" w:val="single"/>
      </w:pBdr>
      <w:shd w:color="000000" w:fill="fde9d9" w:val="clear"/>
      <w:overflowPunct w:val="1"/>
      <w:autoSpaceDE w:val="1"/>
      <w:autoSpaceDN w:val="1"/>
      <w:adjustRightInd w:val="1"/>
      <w:spacing w:after="100" w:afterAutospacing="1" w:before="100" w:beforeAutospacing="1"/>
      <w:jc w:val="center"/>
    </w:pPr>
    <w:rPr>
      <w:rFonts w:eastAsia="Times New Roman"/>
      <w:b w:val="1"/>
      <w:bCs w:val="1"/>
      <w:sz w:val="18"/>
      <w:szCs w:val="18"/>
    </w:rPr>
  </w:style>
  <w:style w:type="paragraph" w:styleId="xl73" w:customStyle="1">
    <w:name w:val="xl73"/>
    <w:basedOn w:val="Normlny"/>
    <w:rsid w:val="00AB3F7E"/>
    <w:pPr>
      <w:pBdr>
        <w:top w:color="auto" w:space="0" w:sz="4" w:val="single"/>
        <w:left w:color="auto" w:space="0" w:sz="4" w:val="single"/>
        <w:bottom w:color="auto" w:space="0" w:sz="4" w:val="single"/>
        <w:right w:color="auto" w:space="0" w:sz="4" w:val="single"/>
      </w:pBdr>
      <w:shd w:color="000000" w:fill="fde9d9" w:val="clear"/>
      <w:overflowPunct w:val="1"/>
      <w:autoSpaceDE w:val="1"/>
      <w:autoSpaceDN w:val="1"/>
      <w:adjustRightInd w:val="1"/>
      <w:spacing w:after="100" w:afterAutospacing="1" w:before="100" w:beforeAutospacing="1"/>
      <w:jc w:val="center"/>
      <w:textAlignment w:val="center"/>
    </w:pPr>
    <w:rPr>
      <w:rFonts w:eastAsia="Times New Roman"/>
      <w:b w:val="1"/>
      <w:bCs w:val="1"/>
      <w:sz w:val="18"/>
      <w:szCs w:val="18"/>
    </w:rPr>
  </w:style>
  <w:style w:type="paragraph" w:styleId="xl74" w:customStyle="1">
    <w:name w:val="xl74"/>
    <w:basedOn w:val="Normlny"/>
    <w:rsid w:val="00AB3F7E"/>
    <w:pPr>
      <w:pBdr>
        <w:top w:color="auto" w:space="0" w:sz="4" w:val="single"/>
        <w:left w:color="auto" w:space="0" w:sz="4" w:val="single"/>
        <w:bottom w:color="auto" w:space="0" w:sz="4" w:val="single"/>
        <w:right w:color="auto" w:space="0" w:sz="4" w:val="single"/>
      </w:pBdr>
      <w:shd w:color="000000" w:fill="fde9d9" w:val="clear"/>
      <w:overflowPunct w:val="1"/>
      <w:autoSpaceDE w:val="1"/>
      <w:autoSpaceDN w:val="1"/>
      <w:adjustRightInd w:val="1"/>
      <w:spacing w:after="100" w:afterAutospacing="1" w:before="100" w:beforeAutospacing="1"/>
      <w:jc w:val="center"/>
      <w:textAlignment w:val="center"/>
    </w:pPr>
    <w:rPr>
      <w:rFonts w:eastAsia="Times New Roman"/>
      <w:b w:val="1"/>
      <w:bCs w:val="1"/>
      <w:sz w:val="18"/>
      <w:szCs w:val="18"/>
    </w:rPr>
  </w:style>
  <w:style w:type="paragraph" w:styleId="xl75" w:customStyle="1">
    <w:name w:val="xl75"/>
    <w:basedOn w:val="Normlny"/>
    <w:rsid w:val="00AB3F7E"/>
    <w:pPr>
      <w:pBdr>
        <w:top w:color="auto" w:space="0" w:sz="4" w:val="single"/>
        <w:left w:color="auto" w:space="0" w:sz="4" w:val="single"/>
        <w:bottom w:color="auto" w:space="0" w:sz="4" w:val="single"/>
        <w:right w:color="auto" w:space="0" w:sz="4" w:val="single"/>
      </w:pBdr>
      <w:shd w:color="000000" w:fill="fde9d9" w:val="clear"/>
      <w:overflowPunct w:val="1"/>
      <w:autoSpaceDE w:val="1"/>
      <w:autoSpaceDN w:val="1"/>
      <w:adjustRightInd w:val="1"/>
      <w:spacing w:after="100" w:afterAutospacing="1" w:before="100" w:beforeAutospacing="1"/>
      <w:textAlignment w:val="center"/>
    </w:pPr>
    <w:rPr>
      <w:rFonts w:eastAsia="Times New Roman"/>
      <w:b w:val="1"/>
      <w:bCs w:val="1"/>
      <w:sz w:val="18"/>
      <w:szCs w:val="18"/>
    </w:rPr>
  </w:style>
  <w:style w:type="paragraph" w:styleId="xl76" w:customStyle="1">
    <w:name w:val="xl76"/>
    <w:basedOn w:val="Normlny"/>
    <w:rsid w:val="00AB3F7E"/>
    <w:pPr>
      <w:pBdr>
        <w:top w:color="auto" w:space="0" w:sz="4" w:val="single"/>
        <w:left w:color="auto" w:space="0" w:sz="4" w:val="single"/>
        <w:bottom w:color="auto" w:space="0" w:sz="4" w:val="single"/>
        <w:right w:color="auto" w:space="0" w:sz="4" w:val="single"/>
      </w:pBdr>
      <w:shd w:color="000000" w:fill="fde9d9" w:val="clear"/>
      <w:overflowPunct w:val="1"/>
      <w:autoSpaceDE w:val="1"/>
      <w:autoSpaceDN w:val="1"/>
      <w:adjustRightInd w:val="1"/>
      <w:spacing w:after="100" w:afterAutospacing="1" w:before="100" w:beforeAutospacing="1"/>
      <w:jc w:val="center"/>
      <w:textAlignment w:val="center"/>
    </w:pPr>
    <w:rPr>
      <w:rFonts w:eastAsia="Times New Roman"/>
      <w:sz w:val="18"/>
      <w:szCs w:val="18"/>
    </w:rPr>
  </w:style>
  <w:style w:type="paragraph" w:styleId="xl77" w:customStyle="1">
    <w:name w:val="xl77"/>
    <w:basedOn w:val="Normlny"/>
    <w:rsid w:val="00AB3F7E"/>
    <w:pPr>
      <w:pBdr>
        <w:top w:color="auto" w:space="0" w:sz="4" w:val="single"/>
        <w:left w:color="auto" w:space="0" w:sz="4" w:val="single"/>
        <w:bottom w:color="auto" w:space="0" w:sz="4" w:val="single"/>
      </w:pBdr>
      <w:shd w:color="000000" w:fill="ebf1de" w:val="clear"/>
      <w:overflowPunct w:val="1"/>
      <w:autoSpaceDE w:val="1"/>
      <w:autoSpaceDN w:val="1"/>
      <w:adjustRightInd w:val="1"/>
      <w:spacing w:after="100" w:afterAutospacing="1" w:before="100" w:beforeAutospacing="1"/>
    </w:pPr>
    <w:rPr>
      <w:rFonts w:eastAsia="Times New Roman"/>
      <w:b w:val="1"/>
      <w:bCs w:val="1"/>
      <w:sz w:val="18"/>
      <w:szCs w:val="18"/>
    </w:rPr>
  </w:style>
  <w:style w:type="paragraph" w:styleId="xl78" w:customStyle="1">
    <w:name w:val="xl78"/>
    <w:basedOn w:val="Normlny"/>
    <w:rsid w:val="00AB3F7E"/>
    <w:pPr>
      <w:pBdr>
        <w:top w:color="auto" w:space="0" w:sz="4" w:val="single"/>
        <w:bottom w:color="auto" w:space="0" w:sz="4" w:val="single"/>
      </w:pBdr>
      <w:shd w:color="000000" w:fill="ebf1de" w:val="clear"/>
      <w:overflowPunct w:val="1"/>
      <w:autoSpaceDE w:val="1"/>
      <w:autoSpaceDN w:val="1"/>
      <w:adjustRightInd w:val="1"/>
      <w:spacing w:after="100" w:afterAutospacing="1" w:before="100" w:beforeAutospacing="1"/>
    </w:pPr>
    <w:rPr>
      <w:rFonts w:eastAsia="Times New Roman"/>
      <w:b w:val="1"/>
      <w:bCs w:val="1"/>
      <w:sz w:val="18"/>
      <w:szCs w:val="18"/>
    </w:rPr>
  </w:style>
  <w:style w:type="paragraph" w:styleId="xl79" w:customStyle="1">
    <w:name w:val="xl79"/>
    <w:basedOn w:val="Normlny"/>
    <w:rsid w:val="00AB3F7E"/>
    <w:pPr>
      <w:pBdr>
        <w:top w:color="auto" w:space="0" w:sz="4" w:val="single"/>
        <w:bottom w:color="auto" w:space="0" w:sz="4" w:val="single"/>
        <w:right w:color="auto" w:space="0" w:sz="4" w:val="single"/>
      </w:pBdr>
      <w:shd w:color="000000" w:fill="ebf1de" w:val="clear"/>
      <w:overflowPunct w:val="1"/>
      <w:autoSpaceDE w:val="1"/>
      <w:autoSpaceDN w:val="1"/>
      <w:adjustRightInd w:val="1"/>
      <w:spacing w:after="100" w:afterAutospacing="1" w:before="100" w:beforeAutospacing="1"/>
    </w:pPr>
    <w:rPr>
      <w:rFonts w:eastAsia="Times New Roman"/>
      <w:b w:val="1"/>
      <w:bCs w:val="1"/>
      <w:sz w:val="18"/>
      <w:szCs w:val="18"/>
    </w:rPr>
  </w:style>
  <w:style w:type="paragraph" w:styleId="xl80" w:customStyle="1">
    <w:name w:val="xl80"/>
    <w:basedOn w:val="Normlny"/>
    <w:rsid w:val="00AB3F7E"/>
    <w:pPr>
      <w:pBdr>
        <w:top w:color="auto" w:space="0" w:sz="4" w:val="single"/>
        <w:left w:color="auto" w:space="0" w:sz="4" w:val="single"/>
        <w:bottom w:color="auto" w:space="0" w:sz="4" w:val="single"/>
        <w:right w:color="auto" w:space="0" w:sz="4" w:val="single"/>
      </w:pBdr>
      <w:overflowPunct w:val="1"/>
      <w:autoSpaceDE w:val="1"/>
      <w:autoSpaceDN w:val="1"/>
      <w:adjustRightInd w:val="1"/>
      <w:spacing w:after="100" w:afterAutospacing="1" w:before="100" w:beforeAutospacing="1"/>
    </w:pPr>
    <w:rPr>
      <w:rFonts w:eastAsia="Times New Roman"/>
      <w:sz w:val="18"/>
      <w:szCs w:val="18"/>
    </w:rPr>
  </w:style>
  <w:style w:type="paragraph" w:styleId="xl81" w:customStyle="1">
    <w:name w:val="xl81"/>
    <w:basedOn w:val="Normlny"/>
    <w:rsid w:val="00AB3F7E"/>
    <w:pPr>
      <w:pBdr>
        <w:top w:color="auto" w:space="0" w:sz="4" w:val="single"/>
        <w:left w:color="auto" w:space="0" w:sz="4" w:val="single"/>
        <w:bottom w:color="auto" w:space="0" w:sz="4" w:val="single"/>
        <w:right w:color="auto" w:space="0" w:sz="4" w:val="single"/>
      </w:pBdr>
      <w:overflowPunct w:val="1"/>
      <w:autoSpaceDE w:val="1"/>
      <w:autoSpaceDN w:val="1"/>
      <w:adjustRightInd w:val="1"/>
      <w:spacing w:after="100" w:afterAutospacing="1" w:before="100" w:beforeAutospacing="1"/>
      <w:jc w:val="center"/>
    </w:pPr>
    <w:rPr>
      <w:rFonts w:eastAsia="Times New Roman"/>
      <w:sz w:val="18"/>
      <w:szCs w:val="18"/>
    </w:rPr>
  </w:style>
  <w:style w:type="paragraph" w:styleId="xl82" w:customStyle="1">
    <w:name w:val="xl82"/>
    <w:basedOn w:val="Normlny"/>
    <w:rsid w:val="00AB3F7E"/>
    <w:pPr>
      <w:pBdr>
        <w:top w:color="auto" w:space="0" w:sz="4" w:val="single"/>
        <w:left w:color="auto" w:space="0" w:sz="4" w:val="single"/>
        <w:bottom w:color="auto" w:space="0" w:sz="4" w:val="single"/>
        <w:right w:color="auto" w:space="0" w:sz="4" w:val="single"/>
      </w:pBdr>
      <w:shd w:color="000000" w:fill="dce6f1" w:val="clear"/>
      <w:overflowPunct w:val="1"/>
      <w:autoSpaceDE w:val="1"/>
      <w:autoSpaceDN w:val="1"/>
      <w:adjustRightInd w:val="1"/>
      <w:spacing w:after="100" w:afterAutospacing="1" w:before="100" w:beforeAutospacing="1"/>
    </w:pPr>
    <w:rPr>
      <w:rFonts w:eastAsia="Times New Roman"/>
      <w:sz w:val="18"/>
      <w:szCs w:val="18"/>
    </w:rPr>
  </w:style>
  <w:style w:type="paragraph" w:styleId="xl83" w:customStyle="1">
    <w:name w:val="xl83"/>
    <w:basedOn w:val="Normlny"/>
    <w:rsid w:val="00AB3F7E"/>
    <w:pPr>
      <w:pBdr>
        <w:top w:color="auto" w:space="0" w:sz="4" w:val="single"/>
        <w:left w:color="auto" w:space="0" w:sz="4" w:val="single"/>
        <w:bottom w:color="auto" w:space="0" w:sz="4" w:val="single"/>
        <w:right w:color="auto" w:space="0" w:sz="4" w:val="single"/>
      </w:pBdr>
      <w:shd w:color="000000" w:fill="ffffff" w:val="clear"/>
      <w:overflowPunct w:val="1"/>
      <w:autoSpaceDE w:val="1"/>
      <w:autoSpaceDN w:val="1"/>
      <w:adjustRightInd w:val="1"/>
      <w:spacing w:after="100" w:afterAutospacing="1" w:before="100" w:beforeAutospacing="1"/>
    </w:pPr>
    <w:rPr>
      <w:rFonts w:eastAsia="Times New Roman"/>
      <w:sz w:val="18"/>
      <w:szCs w:val="18"/>
    </w:rPr>
  </w:style>
  <w:style w:type="paragraph" w:styleId="xl84" w:customStyle="1">
    <w:name w:val="xl84"/>
    <w:basedOn w:val="Normlny"/>
    <w:rsid w:val="00AB3F7E"/>
    <w:pPr>
      <w:pBdr>
        <w:top w:color="auto" w:space="0" w:sz="4" w:val="single"/>
        <w:left w:color="auto" w:space="0" w:sz="4" w:val="single"/>
        <w:bottom w:color="auto" w:space="0" w:sz="4" w:val="single"/>
      </w:pBdr>
      <w:shd w:color="000000" w:fill="ebf1de" w:val="clear"/>
      <w:overflowPunct w:val="1"/>
      <w:autoSpaceDE w:val="1"/>
      <w:autoSpaceDN w:val="1"/>
      <w:adjustRightInd w:val="1"/>
      <w:spacing w:after="100" w:afterAutospacing="1" w:before="100" w:beforeAutospacing="1"/>
    </w:pPr>
    <w:rPr>
      <w:rFonts w:eastAsia="Times New Roman"/>
      <w:b w:val="1"/>
      <w:bCs w:val="1"/>
      <w:sz w:val="18"/>
      <w:szCs w:val="18"/>
    </w:rPr>
  </w:style>
  <w:style w:type="paragraph" w:styleId="xl85" w:customStyle="1">
    <w:name w:val="xl85"/>
    <w:basedOn w:val="Normlny"/>
    <w:rsid w:val="00AB3F7E"/>
    <w:pPr>
      <w:pBdr>
        <w:top w:color="auto" w:space="0" w:sz="4" w:val="single"/>
        <w:bottom w:color="auto" w:space="0" w:sz="4" w:val="single"/>
      </w:pBdr>
      <w:shd w:color="000000" w:fill="ebf1de" w:val="clear"/>
      <w:overflowPunct w:val="1"/>
      <w:autoSpaceDE w:val="1"/>
      <w:autoSpaceDN w:val="1"/>
      <w:adjustRightInd w:val="1"/>
      <w:spacing w:after="100" w:afterAutospacing="1" w:before="100" w:beforeAutospacing="1"/>
    </w:pPr>
    <w:rPr>
      <w:rFonts w:eastAsia="Times New Roman"/>
      <w:b w:val="1"/>
      <w:bCs w:val="1"/>
      <w:sz w:val="18"/>
      <w:szCs w:val="18"/>
    </w:rPr>
  </w:style>
  <w:style w:type="paragraph" w:styleId="xl86" w:customStyle="1">
    <w:name w:val="xl86"/>
    <w:basedOn w:val="Normlny"/>
    <w:rsid w:val="00AB3F7E"/>
    <w:pPr>
      <w:pBdr>
        <w:top w:color="auto" w:space="0" w:sz="4" w:val="single"/>
        <w:bottom w:color="auto" w:space="0" w:sz="4" w:val="single"/>
        <w:right w:color="auto" w:space="0" w:sz="4" w:val="single"/>
      </w:pBdr>
      <w:shd w:color="000000" w:fill="ebf1de" w:val="clear"/>
      <w:overflowPunct w:val="1"/>
      <w:autoSpaceDE w:val="1"/>
      <w:autoSpaceDN w:val="1"/>
      <w:adjustRightInd w:val="1"/>
      <w:spacing w:after="100" w:afterAutospacing="1" w:before="100" w:beforeAutospacing="1"/>
    </w:pPr>
    <w:rPr>
      <w:rFonts w:eastAsia="Times New Roman"/>
      <w:b w:val="1"/>
      <w:bCs w:val="1"/>
      <w:sz w:val="18"/>
      <w:szCs w:val="18"/>
    </w:rPr>
  </w:style>
  <w:style w:type="paragraph" w:styleId="xl87" w:customStyle="1">
    <w:name w:val="xl87"/>
    <w:basedOn w:val="Normlny"/>
    <w:rsid w:val="00AB3F7E"/>
    <w:pPr>
      <w:overflowPunct w:val="1"/>
      <w:autoSpaceDE w:val="1"/>
      <w:autoSpaceDN w:val="1"/>
      <w:adjustRightInd w:val="1"/>
      <w:spacing w:after="100" w:afterAutospacing="1" w:before="100" w:beforeAutospacing="1"/>
    </w:pPr>
    <w:rPr>
      <w:rFonts w:eastAsia="Times New Roman"/>
      <w:sz w:val="18"/>
      <w:szCs w:val="18"/>
    </w:rPr>
  </w:style>
  <w:style w:type="paragraph" w:styleId="xl88" w:customStyle="1">
    <w:name w:val="xl88"/>
    <w:basedOn w:val="Normlny"/>
    <w:rsid w:val="00AB3F7E"/>
    <w:pPr>
      <w:overflowPunct w:val="1"/>
      <w:autoSpaceDE w:val="1"/>
      <w:autoSpaceDN w:val="1"/>
      <w:adjustRightInd w:val="1"/>
      <w:spacing w:after="100" w:afterAutospacing="1" w:before="100" w:beforeAutospacing="1"/>
      <w:jc w:val="center"/>
    </w:pPr>
    <w:rPr>
      <w:rFonts w:eastAsia="Times New Roman"/>
      <w:sz w:val="18"/>
      <w:szCs w:val="18"/>
    </w:rPr>
  </w:style>
  <w:style w:type="paragraph" w:styleId="xl89" w:customStyle="1">
    <w:name w:val="xl89"/>
    <w:basedOn w:val="Normlny"/>
    <w:rsid w:val="00AB3F7E"/>
    <w:pPr>
      <w:overflowPunct w:val="1"/>
      <w:autoSpaceDE w:val="1"/>
      <w:autoSpaceDN w:val="1"/>
      <w:adjustRightInd w:val="1"/>
      <w:spacing w:after="100" w:afterAutospacing="1" w:before="100" w:beforeAutospacing="1"/>
      <w:textAlignment w:val="center"/>
    </w:pPr>
    <w:rPr>
      <w:rFonts w:eastAsia="Times New Roman"/>
      <w:b w:val="1"/>
      <w:bCs w:val="1"/>
      <w:i w:val="1"/>
      <w:iCs w:val="1"/>
      <w:sz w:val="18"/>
      <w:szCs w:val="18"/>
    </w:rPr>
  </w:style>
  <w:style w:type="paragraph" w:styleId="xl90" w:customStyle="1">
    <w:name w:val="xl90"/>
    <w:basedOn w:val="Normlny"/>
    <w:rsid w:val="00AB3F7E"/>
    <w:pPr>
      <w:overflowPunct w:val="1"/>
      <w:autoSpaceDE w:val="1"/>
      <w:autoSpaceDN w:val="1"/>
      <w:adjustRightInd w:val="1"/>
      <w:spacing w:after="100" w:afterAutospacing="1" w:before="100" w:beforeAutospacing="1"/>
    </w:pPr>
    <w:rPr>
      <w:rFonts w:eastAsia="Times New Roman"/>
      <w:i w:val="1"/>
      <w:iCs w:val="1"/>
      <w:sz w:val="18"/>
      <w:szCs w:val="18"/>
    </w:rPr>
  </w:style>
  <w:style w:type="paragraph" w:styleId="xl91" w:customStyle="1">
    <w:name w:val="xl91"/>
    <w:basedOn w:val="Normlny"/>
    <w:rsid w:val="00AB3F7E"/>
    <w:pPr>
      <w:overflowPunct w:val="1"/>
      <w:autoSpaceDE w:val="1"/>
      <w:autoSpaceDN w:val="1"/>
      <w:adjustRightInd w:val="1"/>
      <w:spacing w:after="100" w:afterAutospacing="1" w:before="100" w:beforeAutospacing="1"/>
    </w:pPr>
    <w:rPr>
      <w:rFonts w:eastAsia="Times New Roman"/>
      <w:sz w:val="18"/>
      <w:szCs w:val="18"/>
    </w:rPr>
  </w:style>
  <w:style w:type="paragraph" w:styleId="xl92" w:customStyle="1">
    <w:name w:val="xl92"/>
    <w:basedOn w:val="Normlny"/>
    <w:rsid w:val="00AB3F7E"/>
    <w:pPr>
      <w:overflowPunct w:val="1"/>
      <w:autoSpaceDE w:val="1"/>
      <w:autoSpaceDN w:val="1"/>
      <w:adjustRightInd w:val="1"/>
      <w:spacing w:after="100" w:afterAutospacing="1" w:before="100" w:beforeAutospacing="1"/>
      <w:jc w:val="center"/>
    </w:pPr>
    <w:rPr>
      <w:rFonts w:eastAsia="Times New Roman"/>
      <w:sz w:val="18"/>
      <w:szCs w:val="18"/>
    </w:rPr>
  </w:style>
  <w:style w:type="character" w:styleId="norm00e1lnychar" w:customStyle="1">
    <w:name w:val="norm_00e1lny__char"/>
    <w:rsid w:val="00AB3F7E"/>
  </w:style>
  <w:style w:type="character" w:styleId="FontStyle156" w:customStyle="1">
    <w:name w:val="Font Style156"/>
    <w:uiPriority w:val="99"/>
    <w:rsid w:val="00AB3F7E"/>
    <w:rPr>
      <w:rFonts w:ascii="Times New Roman" w:cs="Times New Roman" w:hAnsi="Times New Roman" w:hint="default"/>
      <w:sz w:val="22"/>
      <w:szCs w:val="22"/>
    </w:rPr>
  </w:style>
  <w:style w:type="character" w:styleId="Nevyrieenzmienka1" w:customStyle="1">
    <w:name w:val="Nevyriešená zmienka1"/>
    <w:basedOn w:val="Predvolenpsmoodseku"/>
    <w:uiPriority w:val="99"/>
    <w:semiHidden w:val="1"/>
    <w:unhideWhenUsed w:val="1"/>
    <w:rsid w:val="00076E2C"/>
    <w:rPr>
      <w:color w:val="605e5c"/>
      <w:shd w:color="auto" w:fill="e1dfdd" w:val="clear"/>
    </w:rPr>
  </w:style>
  <w:style w:type="paragraph" w:styleId="BodSP" w:customStyle="1">
    <w:name w:val="Bod_SP"/>
    <w:basedOn w:val="Bezriadkovania"/>
    <w:uiPriority w:val="3"/>
    <w:qFormat w:val="1"/>
    <w:rsid w:val="00293E55"/>
    <w:pPr>
      <w:overflowPunct w:val="1"/>
      <w:autoSpaceDE w:val="1"/>
      <w:autoSpaceDN w:val="1"/>
      <w:adjustRightInd w:val="1"/>
      <w:spacing w:before="60"/>
      <w:ind w:left="0"/>
      <w:jc w:val="both"/>
    </w:pPr>
  </w:style>
  <w:style w:type="paragraph" w:styleId="Paragraf2" w:customStyle="1">
    <w:name w:val="Paragraf 2"/>
    <w:basedOn w:val="Normlny"/>
    <w:qFormat w:val="1"/>
    <w:rsid w:val="00A60669"/>
    <w:pPr>
      <w:widowControl w:val="0"/>
      <w:numPr>
        <w:ilvl w:val="1"/>
        <w:numId w:val="38"/>
      </w:numPr>
      <w:tabs>
        <w:tab w:val="left" w:pos="707"/>
      </w:tabs>
      <w:overflowPunct w:val="1"/>
      <w:autoSpaceDE w:val="1"/>
      <w:autoSpaceDN w:val="1"/>
      <w:spacing w:after="120"/>
      <w:jc w:val="both"/>
    </w:pPr>
    <w:rPr>
      <w:rFonts w:eastAsia="TimesNewRomanPSMT"/>
      <w:noProof w:val="1"/>
      <w:color w:val="000000"/>
      <w:lang w:eastAsia="en-US" w:val="en-US"/>
    </w:rPr>
  </w:style>
  <w:style w:type="paragraph" w:styleId="Paragraf1" w:customStyle="1">
    <w:name w:val="Paragraf 1"/>
    <w:basedOn w:val="Normlny"/>
    <w:next w:val="Paragraf2"/>
    <w:autoRedefine w:val="1"/>
    <w:qFormat w:val="1"/>
    <w:rsid w:val="00A60669"/>
    <w:pPr>
      <w:widowControl w:val="0"/>
      <w:numPr>
        <w:numId w:val="38"/>
      </w:numPr>
      <w:overflowPunct w:val="1"/>
      <w:autoSpaceDE w:val="1"/>
      <w:autoSpaceDN w:val="1"/>
      <w:adjustRightInd w:val="1"/>
      <w:spacing w:after="120" w:line="276" w:lineRule="auto"/>
      <w:ind w:left="357"/>
      <w:jc w:val="both"/>
    </w:pPr>
    <w:rPr>
      <w:rFonts w:eastAsia="Times New Roman"/>
      <w:b w:val="1"/>
      <w:bCs w:val="1"/>
      <w:smallCaps w:val="1"/>
      <w:noProof w:val="1"/>
      <w:color w:val="000000"/>
      <w:szCs w:val="22"/>
      <w:lang w:eastAsia="en-US"/>
    </w:rPr>
  </w:style>
  <w:style w:type="character" w:styleId="Nevyrieenzmienka2" w:customStyle="1">
    <w:name w:val="Nevyriešená zmienka2"/>
    <w:basedOn w:val="Predvolenpsmoodseku"/>
    <w:uiPriority w:val="99"/>
    <w:semiHidden w:val="1"/>
    <w:unhideWhenUsed w:val="1"/>
    <w:rsid w:val="002543DC"/>
    <w:rPr>
      <w:color w:val="605e5c"/>
      <w:shd w:color="auto" w:fill="e1dfdd" w:val="clear"/>
    </w:rPr>
  </w:style>
  <w:style w:type="paragraph" w:styleId="Subtitle">
    <w:name w:val="Subtitle"/>
    <w:basedOn w:val="Normal"/>
    <w:next w:val="Normal"/>
    <w:pPr/>
    <w:rPr>
      <w:rFonts w:ascii="Cambria" w:cs="Cambria" w:eastAsia="Cambria" w:hAnsi="Cambria"/>
      <w:i w:val="1"/>
      <w:color w:val="4f81bd"/>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https://www.uvo.gov.sk/vyhladavanie/vyhladavanie-profilov/detail/674" TargetMode="External"/><Relationship Id="rId10" Type="http://schemas.openxmlformats.org/officeDocument/2006/relationships/hyperlink" Target="https://slovak.statistics.sk/" TargetMode="External"/><Relationship Id="rId13" Type="http://schemas.openxmlformats.org/officeDocument/2006/relationships/hyperlink" Target="mailto:info@bidit.sk" TargetMode="External"/><Relationship Id="rId12" Type="http://schemas.openxmlformats.org/officeDocument/2006/relationships/hyperlink" Target="https://josephine.proebiz.com/sk/tender/54917/summar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 TargetMode="External"/><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image" Target="media/image4.png"/><Relationship Id="rId6" Type="http://schemas.openxmlformats.org/officeDocument/2006/relationships/customXml" Target="../customXML/item1.xml"/><Relationship Id="rId18"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xT8lrYVpKYScoFHz2/Hk1CT7v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4AHIhMVJGXzJuMlUwaUxLZDh6cTBTclFzdTI1V28zWDhGNko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2024-09-10T10:51:00Z</dcterms:created>
  <dc:creator>Vadovič Pavol</dc:creator>
</cp:coreProperties>
</file>