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85B7F" w14:textId="77777777" w:rsidR="00D677C5" w:rsidRPr="00A55423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  <w:bookmarkStart w:id="0" w:name="_GoBack"/>
      <w:bookmarkEnd w:id="0"/>
    </w:p>
    <w:p w14:paraId="6F8B07D4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14:paraId="43B8310C" w14:textId="77777777" w:rsidR="00A656AC" w:rsidRPr="00A55423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14:paraId="0C3E7BE5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423AE32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Verejný obstarávateľ:</w:t>
      </w:r>
    </w:p>
    <w:p w14:paraId="77DEA23B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Ministerstvo vnútra Slovenskej republiky</w:t>
      </w:r>
    </w:p>
    <w:p w14:paraId="3302AB1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Pribinova 2, 812 72 Bratislava</w:t>
      </w:r>
    </w:p>
    <w:p w14:paraId="086B77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IČO: 00151866 </w:t>
      </w:r>
    </w:p>
    <w:p w14:paraId="1DC6605E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14:paraId="5E6BCA24" w14:textId="77777777" w:rsidR="00A656AC" w:rsidRPr="00A55423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Názov predmetu zákazky:</w:t>
      </w:r>
      <w:r w:rsidRPr="00A55423">
        <w:rPr>
          <w:rFonts w:ascii="Arial Narrow" w:hAnsi="Arial Narrow" w:cs="Arial"/>
          <w:sz w:val="22"/>
          <w:szCs w:val="22"/>
        </w:rPr>
        <w:tab/>
      </w:r>
    </w:p>
    <w:p w14:paraId="6836B8AB" w14:textId="77777777" w:rsidR="0035556F" w:rsidRPr="00A55423" w:rsidRDefault="00E83DCE" w:rsidP="0035556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  <w:r w:rsidRPr="00A55423">
        <w:rPr>
          <w:rFonts w:ascii="Arial Narrow" w:hAnsi="Arial Narrow"/>
          <w:b/>
          <w:iCs/>
          <w:sz w:val="22"/>
          <w:szCs w:val="22"/>
          <w:u w:val="single"/>
        </w:rPr>
        <w:t xml:space="preserve">Servisná </w:t>
      </w:r>
      <w:proofErr w:type="spellStart"/>
      <w:r w:rsidRPr="00A55423">
        <w:rPr>
          <w:rFonts w:ascii="Arial Narrow" w:hAnsi="Arial Narrow"/>
          <w:b/>
          <w:iCs/>
          <w:sz w:val="22"/>
          <w:szCs w:val="22"/>
          <w:u w:val="single"/>
        </w:rPr>
        <w:t>zmluva_Služby</w:t>
      </w:r>
      <w:proofErr w:type="spellEnd"/>
      <w:r w:rsidRPr="00A55423">
        <w:rPr>
          <w:rFonts w:ascii="Arial Narrow" w:hAnsi="Arial Narrow"/>
          <w:b/>
          <w:iCs/>
          <w:sz w:val="22"/>
          <w:szCs w:val="22"/>
          <w:u w:val="single"/>
        </w:rPr>
        <w:t xml:space="preserve"> podpory prevádzky, rozvoja a bezpečnosti Microsoft </w:t>
      </w:r>
      <w:proofErr w:type="spellStart"/>
      <w:r w:rsidRPr="00A55423">
        <w:rPr>
          <w:rFonts w:ascii="Arial Narrow" w:hAnsi="Arial Narrow"/>
          <w:b/>
          <w:iCs/>
          <w:sz w:val="22"/>
          <w:szCs w:val="22"/>
          <w:u w:val="single"/>
        </w:rPr>
        <w:t>Unified</w:t>
      </w:r>
      <w:proofErr w:type="spellEnd"/>
      <w:r w:rsidRPr="00A55423">
        <w:rPr>
          <w:rFonts w:ascii="Arial Narrow" w:hAnsi="Arial Narrow"/>
          <w:b/>
          <w:iCs/>
          <w:sz w:val="22"/>
          <w:szCs w:val="22"/>
          <w:u w:val="single"/>
        </w:rPr>
        <w:t xml:space="preserve"> Enterprise </w:t>
      </w:r>
      <w:proofErr w:type="spellStart"/>
      <w:r w:rsidRPr="00A55423">
        <w:rPr>
          <w:rFonts w:ascii="Arial Narrow" w:hAnsi="Arial Narrow"/>
          <w:b/>
          <w:iCs/>
          <w:sz w:val="22"/>
          <w:szCs w:val="22"/>
          <w:u w:val="single"/>
        </w:rPr>
        <w:t>Support</w:t>
      </w:r>
      <w:proofErr w:type="spellEnd"/>
      <w:r w:rsidRPr="00A55423">
        <w:rPr>
          <w:rFonts w:ascii="Arial Narrow" w:hAnsi="Arial Narrow"/>
          <w:b/>
          <w:iCs/>
          <w:sz w:val="22"/>
          <w:szCs w:val="22"/>
          <w:u w:val="single"/>
        </w:rPr>
        <w:t xml:space="preserve"> pre informačné systémy MV SR na platforme Microsoft</w:t>
      </w:r>
    </w:p>
    <w:p w14:paraId="1657600D" w14:textId="77777777" w:rsidR="00F14C76" w:rsidRPr="00A55423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310C83BA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14:paraId="48264877" w14:textId="77777777" w:rsidR="003B2648" w:rsidRPr="00A55423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14:paraId="7FB6EB85" w14:textId="77777777" w:rsidR="00671169" w:rsidRPr="00A55423" w:rsidRDefault="003B2648" w:rsidP="00671169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>predmetom zákazky je</w:t>
      </w:r>
      <w:r w:rsidR="00671169" w:rsidRPr="00A55423">
        <w:rPr>
          <w:rFonts w:ascii="Arial Narrow" w:hAnsi="Arial Narrow" w:cs="Arial"/>
          <w:sz w:val="22"/>
          <w:szCs w:val="22"/>
        </w:rPr>
        <w:t xml:space="preserve"> komplexná </w:t>
      </w:r>
      <w:r w:rsidR="00671169"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 xml:space="preserve">služba zahŕňajúca poskytovanie služieb SLA pre podporu prevádzky, rozvoja a bezpečnosti </w:t>
      </w:r>
      <w:r w:rsidR="00671169" w:rsidRPr="00A55423">
        <w:rPr>
          <w:rFonts w:ascii="Arial Narrow" w:hAnsi="Arial Narrow" w:cs="Arial"/>
          <w:sz w:val="22"/>
          <w:szCs w:val="22"/>
        </w:rPr>
        <w:t xml:space="preserve">Microsoft </w:t>
      </w:r>
      <w:proofErr w:type="spellStart"/>
      <w:r w:rsidR="00671169" w:rsidRPr="00A55423">
        <w:rPr>
          <w:rFonts w:ascii="Arial Narrow" w:hAnsi="Arial Narrow" w:cs="Arial"/>
          <w:sz w:val="22"/>
          <w:szCs w:val="22"/>
        </w:rPr>
        <w:t>Unified</w:t>
      </w:r>
      <w:proofErr w:type="spellEnd"/>
      <w:r w:rsidR="00671169" w:rsidRPr="00A55423">
        <w:rPr>
          <w:rFonts w:ascii="Arial Narrow" w:hAnsi="Arial Narrow" w:cs="Arial"/>
          <w:sz w:val="22"/>
          <w:szCs w:val="22"/>
        </w:rPr>
        <w:t xml:space="preserve"> Enterprise </w:t>
      </w:r>
      <w:proofErr w:type="spellStart"/>
      <w:r w:rsidR="00671169" w:rsidRPr="00A55423">
        <w:rPr>
          <w:rFonts w:ascii="Arial Narrow" w:hAnsi="Arial Narrow" w:cs="Arial"/>
          <w:sz w:val="22"/>
          <w:szCs w:val="22"/>
        </w:rPr>
        <w:t>Support</w:t>
      </w:r>
      <w:proofErr w:type="spellEnd"/>
      <w:r w:rsidR="00671169" w:rsidRPr="00A55423">
        <w:rPr>
          <w:rFonts w:ascii="Arial Narrow" w:hAnsi="Arial Narrow" w:cs="Arial"/>
          <w:sz w:val="22"/>
          <w:szCs w:val="22"/>
        </w:rPr>
        <w:t xml:space="preserve"> pre informačné systémy MV SR na platforme Microsoft.</w:t>
      </w:r>
      <w:r w:rsidR="00671169"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 xml:space="preserve"> </w:t>
      </w:r>
      <w:r w:rsidR="00671169" w:rsidRPr="00A55423">
        <w:rPr>
          <w:rFonts w:ascii="Arial Narrow" w:hAnsi="Arial Narrow"/>
          <w:sz w:val="22"/>
          <w:szCs w:val="22"/>
        </w:rPr>
        <w:t xml:space="preserve">Z dôvodu zabezpečenia každoročných služieb podpory produktov technológie Microsoft pre prevádzkované informačné systémy MV SR ako aj podporné služby </w:t>
      </w:r>
      <w:r w:rsidR="00626099" w:rsidRPr="00A55423">
        <w:rPr>
          <w:rFonts w:ascii="Arial Narrow" w:hAnsi="Arial Narrow"/>
          <w:sz w:val="22"/>
          <w:szCs w:val="22"/>
        </w:rPr>
        <w:t xml:space="preserve">v </w:t>
      </w:r>
      <w:r w:rsidR="00671169" w:rsidRPr="00A55423">
        <w:rPr>
          <w:rFonts w:ascii="Arial Narrow" w:hAnsi="Arial Narrow"/>
          <w:sz w:val="22"/>
          <w:szCs w:val="22"/>
        </w:rPr>
        <w:t xml:space="preserve">infraštruktúre nevyhnutné  zabezpečenie služieb podpory Microsoft </w:t>
      </w:r>
      <w:proofErr w:type="spellStart"/>
      <w:r w:rsidR="00671169" w:rsidRPr="00A55423">
        <w:rPr>
          <w:rFonts w:ascii="Arial Narrow" w:hAnsi="Arial Narrow"/>
          <w:sz w:val="22"/>
          <w:szCs w:val="22"/>
        </w:rPr>
        <w:t>Unified</w:t>
      </w:r>
      <w:proofErr w:type="spellEnd"/>
      <w:r w:rsidR="00671169" w:rsidRPr="00A55423">
        <w:rPr>
          <w:rFonts w:ascii="Arial Narrow" w:hAnsi="Arial Narrow"/>
          <w:sz w:val="22"/>
          <w:szCs w:val="22"/>
        </w:rPr>
        <w:t xml:space="preserve"> Enterprise </w:t>
      </w:r>
      <w:proofErr w:type="spellStart"/>
      <w:r w:rsidR="00671169" w:rsidRPr="00A55423">
        <w:rPr>
          <w:rFonts w:ascii="Arial Narrow" w:hAnsi="Arial Narrow"/>
          <w:sz w:val="22"/>
          <w:szCs w:val="22"/>
        </w:rPr>
        <w:t>Support</w:t>
      </w:r>
      <w:proofErr w:type="spellEnd"/>
      <w:r w:rsidR="00671169" w:rsidRPr="00A55423">
        <w:rPr>
          <w:rFonts w:ascii="Arial Narrow" w:hAnsi="Arial Narrow"/>
          <w:sz w:val="22"/>
          <w:szCs w:val="22"/>
        </w:rPr>
        <w:t xml:space="preserve"> </w:t>
      </w:r>
      <w:r w:rsidR="00626099" w:rsidRPr="00A55423">
        <w:rPr>
          <w:rFonts w:ascii="Arial Narrow" w:hAnsi="Arial Narrow"/>
          <w:sz w:val="22"/>
          <w:szCs w:val="22"/>
        </w:rPr>
        <w:t>na</w:t>
      </w:r>
      <w:r w:rsidR="00671169" w:rsidRPr="00A55423">
        <w:rPr>
          <w:rFonts w:ascii="Arial Narrow" w:hAnsi="Arial Narrow"/>
          <w:sz w:val="22"/>
          <w:szCs w:val="22"/>
        </w:rPr>
        <w:t xml:space="preserve"> ďalšie obdobie. Predmetom zákazky je nákup služieb podpory „Microsoft </w:t>
      </w:r>
      <w:proofErr w:type="spellStart"/>
      <w:r w:rsidR="00671169" w:rsidRPr="00A55423">
        <w:rPr>
          <w:rFonts w:ascii="Arial Narrow" w:hAnsi="Arial Narrow"/>
          <w:sz w:val="22"/>
          <w:szCs w:val="22"/>
        </w:rPr>
        <w:t>Unified</w:t>
      </w:r>
      <w:proofErr w:type="spellEnd"/>
      <w:r w:rsidR="00671169" w:rsidRPr="00A55423">
        <w:rPr>
          <w:rFonts w:ascii="Arial Narrow" w:hAnsi="Arial Narrow"/>
          <w:sz w:val="22"/>
          <w:szCs w:val="22"/>
        </w:rPr>
        <w:t xml:space="preserve"> Enterprise </w:t>
      </w:r>
      <w:proofErr w:type="spellStart"/>
      <w:r w:rsidR="00671169" w:rsidRPr="00A55423">
        <w:rPr>
          <w:rFonts w:ascii="Arial Narrow" w:hAnsi="Arial Narrow"/>
          <w:sz w:val="22"/>
          <w:szCs w:val="22"/>
        </w:rPr>
        <w:t>Support</w:t>
      </w:r>
      <w:proofErr w:type="spellEnd"/>
      <w:r w:rsidR="00671169" w:rsidRPr="00A55423">
        <w:rPr>
          <w:rFonts w:ascii="Arial Narrow" w:hAnsi="Arial Narrow"/>
          <w:sz w:val="22"/>
          <w:szCs w:val="22"/>
        </w:rPr>
        <w:t>“ určených pre všetky prevádzkované informačné systémy MV SR na platforme Microsoft a to hlavne Windows Server, SQL databázové systémy, služby adresárových služieb a ďalšie.</w:t>
      </w:r>
    </w:p>
    <w:p w14:paraId="27765BE8" w14:textId="75051FA6" w:rsidR="00671169" w:rsidRPr="00A55423" w:rsidRDefault="00671169" w:rsidP="00A55423">
      <w:pPr>
        <w:spacing w:after="120" w:line="276" w:lineRule="auto"/>
        <w:ind w:left="708"/>
        <w:jc w:val="both"/>
        <w:rPr>
          <w:rFonts w:ascii="Arial Narrow" w:hAnsi="Arial Narrow"/>
          <w:sz w:val="22"/>
          <w:szCs w:val="22"/>
        </w:rPr>
      </w:pP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Vzhľadom na úzku previazanosť a komplexnosť týchto činností verejný obstarávateľ nerozdeľuje predmet zákazky na časti</w:t>
      </w:r>
      <w:r w:rsidR="00B327BF"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, predmetné služby sú katalógovými službami spoločnosti Microsoft, definov</w:t>
      </w:r>
      <w:r w:rsidR="00A55423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a</w:t>
      </w:r>
      <w:r w:rsidR="00B327BF"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né v portfóliu služieb “</w:t>
      </w:r>
      <w:r w:rsidR="00B327BF" w:rsidRPr="004E0709">
        <w:rPr>
          <w:rFonts w:ascii="Arial Narrow" w:hAnsi="Arial Narrow"/>
          <w:sz w:val="22"/>
          <w:szCs w:val="22"/>
        </w:rPr>
        <w:t xml:space="preserve">Microsoft </w:t>
      </w:r>
      <w:proofErr w:type="spellStart"/>
      <w:r w:rsidR="00B327BF" w:rsidRPr="004E0709">
        <w:rPr>
          <w:rFonts w:ascii="Arial Narrow" w:hAnsi="Arial Narrow"/>
          <w:sz w:val="22"/>
          <w:szCs w:val="22"/>
        </w:rPr>
        <w:t>Unified</w:t>
      </w:r>
      <w:proofErr w:type="spellEnd"/>
      <w:r w:rsidR="00B327BF" w:rsidRPr="004E0709">
        <w:rPr>
          <w:rFonts w:ascii="Arial Narrow" w:hAnsi="Arial Narrow"/>
          <w:sz w:val="22"/>
          <w:szCs w:val="22"/>
        </w:rPr>
        <w:t xml:space="preserve"> Enterprise </w:t>
      </w:r>
      <w:proofErr w:type="spellStart"/>
      <w:r w:rsidR="00B327BF" w:rsidRPr="004E0709">
        <w:rPr>
          <w:rFonts w:ascii="Arial Narrow" w:hAnsi="Arial Narrow"/>
          <w:sz w:val="22"/>
          <w:szCs w:val="22"/>
        </w:rPr>
        <w:t>Support</w:t>
      </w:r>
      <w:proofErr w:type="spellEnd"/>
      <w:r w:rsidR="00876167" w:rsidRPr="004E0709">
        <w:rPr>
          <w:rFonts w:ascii="Arial Narrow" w:hAnsi="Arial Narrow"/>
          <w:sz w:val="22"/>
          <w:szCs w:val="22"/>
        </w:rPr>
        <w:t>” na organizáciu</w:t>
      </w:r>
      <w:r w:rsidR="00A55423">
        <w:rPr>
          <w:rFonts w:ascii="Arial Narrow" w:hAnsi="Arial Narrow"/>
          <w:sz w:val="22"/>
          <w:szCs w:val="22"/>
        </w:rPr>
        <w:t>,</w:t>
      </w:r>
      <w:r w:rsidR="00B327BF" w:rsidRPr="004E0709">
        <w:rPr>
          <w:rFonts w:ascii="Arial Narrow" w:hAnsi="Arial Narrow"/>
          <w:sz w:val="22"/>
          <w:szCs w:val="22"/>
        </w:rPr>
        <w:t xml:space="preserve"> nie je možné ich obstarať samostatne, ba dokonca jedna organizácia nemôže mať uzatvorených viacero zmlúv </w:t>
      </w:r>
      <w:r w:rsidR="00876167" w:rsidRPr="004E0709">
        <w:rPr>
          <w:rFonts w:ascii="Arial Narrow" w:hAnsi="Arial Narrow"/>
          <w:sz w:val="22"/>
          <w:szCs w:val="22"/>
        </w:rPr>
        <w:t>“</w:t>
      </w:r>
      <w:r w:rsidR="00B327BF" w:rsidRPr="00A55423">
        <w:rPr>
          <w:rFonts w:ascii="Arial Narrow" w:hAnsi="Arial Narrow"/>
          <w:sz w:val="22"/>
          <w:szCs w:val="22"/>
        </w:rPr>
        <w:t>Micros</w:t>
      </w:r>
      <w:r w:rsidR="00876167" w:rsidRPr="00A55423">
        <w:rPr>
          <w:rFonts w:ascii="Arial Narrow" w:hAnsi="Arial Narrow"/>
          <w:sz w:val="22"/>
          <w:szCs w:val="22"/>
        </w:rPr>
        <w:t>o</w:t>
      </w:r>
      <w:r w:rsidR="00B327BF" w:rsidRPr="00A55423">
        <w:rPr>
          <w:rFonts w:ascii="Arial Narrow" w:hAnsi="Arial Narrow"/>
          <w:sz w:val="22"/>
          <w:szCs w:val="22"/>
        </w:rPr>
        <w:t xml:space="preserve">ft </w:t>
      </w:r>
      <w:proofErr w:type="spellStart"/>
      <w:r w:rsidR="00B327BF" w:rsidRPr="00A55423">
        <w:rPr>
          <w:rFonts w:ascii="Arial Narrow" w:hAnsi="Arial Narrow"/>
          <w:sz w:val="22"/>
          <w:szCs w:val="22"/>
        </w:rPr>
        <w:t>Unified</w:t>
      </w:r>
      <w:proofErr w:type="spellEnd"/>
      <w:r w:rsidR="00B327BF" w:rsidRPr="00A55423">
        <w:rPr>
          <w:rFonts w:ascii="Arial Narrow" w:hAnsi="Arial Narrow"/>
          <w:sz w:val="22"/>
          <w:szCs w:val="22"/>
        </w:rPr>
        <w:t xml:space="preserve"> Enterprise </w:t>
      </w:r>
      <w:proofErr w:type="spellStart"/>
      <w:r w:rsidR="00B327BF" w:rsidRPr="00A55423">
        <w:rPr>
          <w:rFonts w:ascii="Arial Narrow" w:hAnsi="Arial Narrow"/>
          <w:sz w:val="22"/>
          <w:szCs w:val="22"/>
        </w:rPr>
        <w:t>Support</w:t>
      </w:r>
      <w:proofErr w:type="spellEnd"/>
      <w:r w:rsidR="00B327BF" w:rsidRPr="00A55423">
        <w:rPr>
          <w:rFonts w:ascii="Arial Narrow" w:hAnsi="Arial Narrow"/>
          <w:sz w:val="22"/>
          <w:szCs w:val="22"/>
        </w:rPr>
        <w:t>“ v jednom obdobím</w:t>
      </w:r>
      <w:r w:rsidR="00876167" w:rsidRPr="004E0709">
        <w:rPr>
          <w:rFonts w:ascii="Arial Narrow" w:hAnsi="Arial Narrow"/>
          <w:sz w:val="22"/>
          <w:szCs w:val="22"/>
        </w:rPr>
        <w:t xml:space="preserve">. </w:t>
      </w:r>
      <w:r w:rsidR="00B327BF" w:rsidRPr="004E0709">
        <w:rPr>
          <w:rFonts w:ascii="Arial Narrow" w:hAnsi="Arial Narrow"/>
          <w:sz w:val="22"/>
          <w:szCs w:val="22"/>
        </w:rPr>
        <w:t xml:space="preserve"> </w:t>
      </w:r>
      <w:r w:rsidR="00876167" w:rsidRPr="004E0709">
        <w:rPr>
          <w:rFonts w:ascii="Arial Narrow" w:hAnsi="Arial Narrow"/>
          <w:sz w:val="22"/>
          <w:szCs w:val="22"/>
        </w:rPr>
        <w:t xml:space="preserve">Služby sú </w:t>
      </w:r>
      <w:r w:rsidR="00B327BF" w:rsidRPr="004E0709">
        <w:rPr>
          <w:rFonts w:ascii="Arial Narrow" w:hAnsi="Arial Narrow"/>
          <w:sz w:val="22"/>
          <w:szCs w:val="22"/>
        </w:rPr>
        <w:t>vzájomne súvisiace, dokonca nie je možné n</w:t>
      </w:r>
      <w:r w:rsidR="00A55423">
        <w:rPr>
          <w:rFonts w:ascii="Arial Narrow" w:hAnsi="Arial Narrow"/>
          <w:sz w:val="22"/>
          <w:szCs w:val="22"/>
        </w:rPr>
        <w:t>i</w:t>
      </w:r>
      <w:r w:rsidR="00B327BF" w:rsidRPr="004E0709">
        <w:rPr>
          <w:rFonts w:ascii="Arial Narrow" w:hAnsi="Arial Narrow"/>
          <w:sz w:val="22"/>
          <w:szCs w:val="22"/>
        </w:rPr>
        <w:t>ektoré služby obstarať samostatne bez iných, ktoré tvoria základ akejkoľvek voliteľnej služby.</w:t>
      </w:r>
    </w:p>
    <w:p w14:paraId="02B0A03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Funkčná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sú neoddeliteľne spojené a vzájomne sa dopĺňajú. Kvalitná prevádzka závisí od efektívneho rozvoja a naopak. Rozdelenie na časti by mohlo viesť k neefektívnemu a nekvalitnému plneniu oboch činností.</w:t>
      </w:r>
    </w:p>
    <w:p w14:paraId="4CFFE62D" w14:textId="77777777" w:rsidR="00671169" w:rsidRPr="004E0709" w:rsidRDefault="00671169" w:rsidP="00671169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Časová previazanosť: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Rozvojové aktivity v aplikáciách musia prebiehať v súlade s prevádzkovými požiadavkami a s ohľadom na plánované odstávky a údržbové práce. Rozdelenie na časti by sťažilo koordináciu týchto činností a mohlo by viesť k predĺženiu celkovej doby realizácie.</w:t>
      </w:r>
    </w:p>
    <w:p w14:paraId="102E3806" w14:textId="77777777" w:rsidR="003B2648" w:rsidRPr="004E0709" w:rsidRDefault="00671169" w:rsidP="00B449C4">
      <w:pPr>
        <w:pStyle w:val="Default"/>
        <w:numPr>
          <w:ilvl w:val="0"/>
          <w:numId w:val="3"/>
        </w:numPr>
        <w:jc w:val="both"/>
        <w:rPr>
          <w:rFonts w:ascii="Arial Narrow" w:hAnsi="Arial Narrow" w:cstheme="minorBidi"/>
          <w:color w:val="000000" w:themeColor="text1"/>
          <w:w w:val="105"/>
          <w:sz w:val="22"/>
          <w:szCs w:val="22"/>
        </w:rPr>
      </w:pPr>
      <w:r w:rsidRPr="004E0709">
        <w:rPr>
          <w:rFonts w:ascii="Arial Narrow" w:hAnsi="Arial Narrow" w:cstheme="minorBidi"/>
          <w:bCs/>
          <w:color w:val="000000" w:themeColor="text1"/>
          <w:w w:val="105"/>
          <w:sz w:val="22"/>
          <w:szCs w:val="22"/>
        </w:rPr>
        <w:t>Technologická previazanosť</w:t>
      </w:r>
      <w:r w:rsidRPr="004E0709">
        <w:rPr>
          <w:rFonts w:ascii="Arial Narrow" w:hAnsi="Arial Narrow" w:cstheme="minorBidi"/>
          <w:b/>
          <w:bCs/>
          <w:color w:val="000000" w:themeColor="text1"/>
          <w:w w:val="105"/>
          <w:sz w:val="22"/>
          <w:szCs w:val="22"/>
        </w:rPr>
        <w:t>:</w:t>
      </w:r>
      <w:r w:rsidRPr="004E0709">
        <w:rPr>
          <w:rFonts w:ascii="Arial Narrow" w:hAnsi="Arial Narrow" w:cstheme="minorBidi"/>
          <w:color w:val="000000" w:themeColor="text1"/>
          <w:w w:val="105"/>
          <w:sz w:val="22"/>
          <w:szCs w:val="22"/>
        </w:rPr>
        <w:t> Podpora prevádzky a rozvoj aplikácií si vyžadujú hlboké znalosti a skúsenosti s danými aplikáciami a ich technológiami. Rozdelenie na časti by mohlo viesť k nekompatibilite medzi prevádzkou a rozvojom, čím by sa narušila funkčnosť aplikácií.</w:t>
      </w:r>
    </w:p>
    <w:p w14:paraId="58280955" w14:textId="60392D7D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</w:t>
      </w:r>
      <w:r w:rsidRPr="00A55423">
        <w:rPr>
          <w:rFonts w:ascii="Arial Narrow" w:hAnsi="Arial Narrow" w:cs="Arial"/>
          <w:sz w:val="22"/>
          <w:szCs w:val="22"/>
        </w:rPr>
        <w:t xml:space="preserve">ri </w:t>
      </w:r>
      <w:r w:rsidR="003B2648" w:rsidRPr="00A55423">
        <w:rPr>
          <w:rFonts w:ascii="Arial Narrow" w:hAnsi="Arial Narrow" w:cs="Arial"/>
          <w:sz w:val="22"/>
          <w:szCs w:val="22"/>
        </w:rPr>
        <w:t>zab</w:t>
      </w:r>
      <w:r w:rsidR="00E83DCE" w:rsidRPr="00A55423">
        <w:rPr>
          <w:rFonts w:ascii="Arial Narrow" w:hAnsi="Arial Narrow" w:cs="Arial"/>
          <w:sz w:val="22"/>
          <w:szCs w:val="22"/>
        </w:rPr>
        <w:t>ezpečení dodania požadovaných</w:t>
      </w:r>
      <w:r w:rsidR="00700CCB" w:rsidRPr="00A55423">
        <w:rPr>
          <w:rFonts w:ascii="Arial Narrow" w:hAnsi="Arial Narrow" w:cs="Arial"/>
          <w:sz w:val="22"/>
          <w:szCs w:val="22"/>
        </w:rPr>
        <w:t xml:space="preserve"> služieb </w:t>
      </w:r>
      <w:r w:rsidR="003B2648" w:rsidRPr="00A55423">
        <w:rPr>
          <w:rFonts w:ascii="Arial Narrow" w:hAnsi="Arial Narrow" w:cs="Arial"/>
          <w:sz w:val="22"/>
          <w:szCs w:val="22"/>
        </w:rPr>
        <w:t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</w:t>
      </w:r>
      <w:r>
        <w:rPr>
          <w:rFonts w:ascii="Arial Narrow" w:hAnsi="Arial Narrow" w:cs="Arial"/>
          <w:sz w:val="22"/>
          <w:szCs w:val="22"/>
        </w:rPr>
        <w:t>.</w:t>
      </w:r>
    </w:p>
    <w:p w14:paraId="12FAE2D7" w14:textId="0C92F5AC" w:rsidR="003B2648" w:rsidRPr="00A55423" w:rsidRDefault="00A55423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N</w:t>
      </w:r>
      <w:r w:rsidRPr="00A55423">
        <w:rPr>
          <w:rFonts w:ascii="Arial Narrow" w:hAnsi="Arial Narrow" w:cs="Arial"/>
          <w:sz w:val="22"/>
          <w:szCs w:val="22"/>
        </w:rPr>
        <w:t xml:space="preserve">erozdelenie </w:t>
      </w:r>
      <w:r w:rsidR="003B2648" w:rsidRPr="00A55423">
        <w:rPr>
          <w:rFonts w:ascii="Arial Narrow" w:hAnsi="Arial Narrow" w:cs="Arial"/>
          <w:sz w:val="22"/>
          <w:szCs w:val="22"/>
        </w:rPr>
        <w:t>predmetu zákazky vzhľadom na charakter predmetu zákazky je v súlade s princípom  hospodárnosti, efektívnosti, nediskriminácie hospodárskych subjektov a čestnej hospodárskej súťaže.</w:t>
      </w:r>
    </w:p>
    <w:p w14:paraId="3DDD073B" w14:textId="77777777" w:rsidR="00BF2F20" w:rsidRPr="00A55423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14:paraId="636B33F4" w14:textId="052BD198" w:rsidR="003B2648" w:rsidRPr="00A55423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A55423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A55423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</w:t>
      </w:r>
      <w:r w:rsidR="00A55423">
        <w:rPr>
          <w:rFonts w:ascii="Arial Narrow" w:hAnsi="Arial Narrow" w:cs="Arial"/>
          <w:sz w:val="22"/>
          <w:szCs w:val="22"/>
        </w:rPr>
        <w:t>,</w:t>
      </w:r>
      <w:r w:rsidRPr="00A55423">
        <w:rPr>
          <w:rFonts w:ascii="Arial Narrow" w:hAnsi="Arial Narrow" w:cs="Arial"/>
          <w:sz w:val="22"/>
          <w:szCs w:val="22"/>
        </w:rPr>
        <w:t xml:space="preserve"> je predmet zákazky nedeliť ale zachovať ho v celistvom stave.</w:t>
      </w:r>
    </w:p>
    <w:sectPr w:rsidR="003B2648" w:rsidRPr="00A55423" w:rsidSect="00B1043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839BC" w14:textId="77777777" w:rsidR="00F304BC" w:rsidRDefault="00F304BC" w:rsidP="00D677C5">
      <w:r>
        <w:separator/>
      </w:r>
    </w:p>
  </w:endnote>
  <w:endnote w:type="continuationSeparator" w:id="0">
    <w:p w14:paraId="0AFD96C8" w14:textId="77777777" w:rsidR="00F304BC" w:rsidRDefault="00F304BC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915A" w14:textId="77777777" w:rsidR="00F304BC" w:rsidRDefault="00F304BC" w:rsidP="00D677C5">
      <w:r>
        <w:separator/>
      </w:r>
    </w:p>
  </w:footnote>
  <w:footnote w:type="continuationSeparator" w:id="0">
    <w:p w14:paraId="4191AD99" w14:textId="77777777" w:rsidR="00F304BC" w:rsidRDefault="00F304BC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49DFE" w14:textId="77777777" w:rsidR="00E83DCE" w:rsidRPr="00E83DCE" w:rsidRDefault="00E83DCE">
    <w:pPr>
      <w:pStyle w:val="Hlavika"/>
      <w:rPr>
        <w:rFonts w:ascii="Arial Narrow" w:hAnsi="Arial Narrow"/>
        <w:sz w:val="20"/>
        <w:szCs w:val="20"/>
      </w:rPr>
    </w:pPr>
    <w:r w:rsidRPr="00E83DCE">
      <w:rPr>
        <w:rFonts w:ascii="Arial Narrow" w:hAnsi="Arial Narrow"/>
        <w:sz w:val="20"/>
        <w:szCs w:val="20"/>
      </w:rPr>
      <w:t>Príloha č. 7 Odôvodnenie nerozdelenia predmetu zákazky na časti</w:t>
    </w:r>
  </w:p>
  <w:p w14:paraId="60DDF2F6" w14:textId="77777777"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40DA3"/>
    <w:multiLevelType w:val="multilevel"/>
    <w:tmpl w:val="AE6E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34CD2"/>
    <w:rsid w:val="002367CD"/>
    <w:rsid w:val="00271EA0"/>
    <w:rsid w:val="002F729A"/>
    <w:rsid w:val="0035556F"/>
    <w:rsid w:val="003B2648"/>
    <w:rsid w:val="004E0709"/>
    <w:rsid w:val="005511CC"/>
    <w:rsid w:val="00581D36"/>
    <w:rsid w:val="005F2500"/>
    <w:rsid w:val="006229A3"/>
    <w:rsid w:val="00626099"/>
    <w:rsid w:val="00644CAD"/>
    <w:rsid w:val="00663059"/>
    <w:rsid w:val="00670075"/>
    <w:rsid w:val="00671169"/>
    <w:rsid w:val="00700754"/>
    <w:rsid w:val="00700CCB"/>
    <w:rsid w:val="00703F44"/>
    <w:rsid w:val="007270F8"/>
    <w:rsid w:val="00744BEF"/>
    <w:rsid w:val="007650F5"/>
    <w:rsid w:val="007F5EBB"/>
    <w:rsid w:val="00876167"/>
    <w:rsid w:val="008F4B71"/>
    <w:rsid w:val="00900E22"/>
    <w:rsid w:val="00974834"/>
    <w:rsid w:val="00A55423"/>
    <w:rsid w:val="00A63DD0"/>
    <w:rsid w:val="00A656AC"/>
    <w:rsid w:val="00A72369"/>
    <w:rsid w:val="00AC6BA9"/>
    <w:rsid w:val="00AF4C0F"/>
    <w:rsid w:val="00B045DE"/>
    <w:rsid w:val="00B21933"/>
    <w:rsid w:val="00B327BF"/>
    <w:rsid w:val="00B43C35"/>
    <w:rsid w:val="00B449C4"/>
    <w:rsid w:val="00B510B6"/>
    <w:rsid w:val="00BB7AB9"/>
    <w:rsid w:val="00BD557C"/>
    <w:rsid w:val="00BF2F20"/>
    <w:rsid w:val="00C335CF"/>
    <w:rsid w:val="00C449C4"/>
    <w:rsid w:val="00C8347A"/>
    <w:rsid w:val="00CB5993"/>
    <w:rsid w:val="00D21961"/>
    <w:rsid w:val="00D677C5"/>
    <w:rsid w:val="00D92019"/>
    <w:rsid w:val="00DE4DAE"/>
    <w:rsid w:val="00E4515E"/>
    <w:rsid w:val="00E83DCE"/>
    <w:rsid w:val="00EB4359"/>
    <w:rsid w:val="00F14C76"/>
    <w:rsid w:val="00F304BC"/>
    <w:rsid w:val="00F506C3"/>
    <w:rsid w:val="00F60F25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6C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qFormat/>
    <w:rsid w:val="006711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A3E64-909B-4F83-98CE-735FAAAA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2024-10-29T15:49:00Z</dcterms:created>
  <dcterms:modified xsi:type="dcterms:W3CDTF">2024-10-29T15:49:00Z</dcterms:modified>
</cp:coreProperties>
</file>