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agwek8"/>
        <w:numPr>
          <w:ilvl w:val="7"/>
          <w:numId w:val="1"/>
        </w:numPr>
        <w:pBdr>
          <w:bottom w:val="single" w:sz="4" w:space="1" w:color="000000"/>
        </w:pBdr>
        <w:spacing w:lineRule="auto" w:line="360" w:before="240" w:after="60"/>
        <w:rPr/>
      </w:pPr>
      <w:r>
        <w:rPr>
          <w:rFonts w:cs="Calibri" w:ascii="Calibri" w:hAnsi="Calibri"/>
          <w:b/>
          <w:i w:val="false"/>
          <w:sz w:val="26"/>
          <w:szCs w:val="26"/>
        </w:rPr>
        <w:t>Załącznik nr 3 do SWZ – Opis przedmiotu zamówienia</w:t>
      </w:r>
    </w:p>
    <w:p>
      <w:pPr>
        <w:pStyle w:val="Normal"/>
        <w:spacing w:lineRule="auto" w:line="360"/>
        <w:rPr>
          <w:rFonts w:ascii="Calibri" w:hAnsi="Calibri" w:cs="Calibri"/>
          <w:b/>
          <w:b/>
          <w:i/>
          <w:i/>
          <w:sz w:val="26"/>
          <w:szCs w:val="26"/>
        </w:rPr>
      </w:pPr>
      <w:r>
        <w:rPr>
          <w:rFonts w:cs="Calibri" w:ascii="Calibri" w:hAnsi="Calibri"/>
          <w:b/>
          <w:i/>
          <w:sz w:val="26"/>
          <w:szCs w:val="26"/>
        </w:rPr>
      </w:r>
    </w:p>
    <w:p>
      <w:pPr>
        <w:pStyle w:val="Normal"/>
        <w:spacing w:lineRule="auto" w:line="360"/>
        <w:rPr/>
      </w:pPr>
      <w:r>
        <w:rPr>
          <w:rFonts w:cs="Calibri" w:ascii="Calibri" w:hAnsi="Calibri"/>
          <w:b/>
          <w:sz w:val="26"/>
          <w:szCs w:val="26"/>
        </w:rPr>
        <w:t>OPIS PRZEDMIOTU UBEZPIECZENIA</w:t>
      </w:r>
    </w:p>
    <w:p>
      <w:pPr>
        <w:pStyle w:val="Normal"/>
        <w:spacing w:lineRule="auto" w:line="360"/>
        <w:rPr/>
      </w:pPr>
      <w:r>
        <w:rPr>
          <w:rFonts w:cs="Calibri" w:ascii="Calibri" w:hAnsi="Calibri"/>
          <w:b/>
          <w:sz w:val="26"/>
          <w:szCs w:val="26"/>
        </w:rPr>
        <w:t>- usługa : "U</w:t>
      </w:r>
      <w:r>
        <w:rPr>
          <w:rFonts w:cs="Calibri" w:ascii="Calibri" w:hAnsi="Calibri"/>
          <w:b/>
          <w:bCs/>
          <w:sz w:val="26"/>
          <w:szCs w:val="26"/>
          <w:lang w:eastAsia="pl-PL"/>
        </w:rPr>
        <w:t>bezpieczenie komunikacyjne autobusów Gminy Andrychów”</w:t>
      </w:r>
    </w:p>
    <w:p>
      <w:pPr>
        <w:pStyle w:val="Normal"/>
        <w:spacing w:lineRule="auto" w:line="360"/>
        <w:rPr>
          <w:rFonts w:ascii="Calibri" w:hAnsi="Calibri" w:cs="Calibri"/>
          <w:b/>
          <w:b/>
          <w:sz w:val="26"/>
          <w:szCs w:val="26"/>
        </w:rPr>
      </w:pPr>
      <w:r>
        <w:rPr>
          <w:rFonts w:cs="Calibri" w:ascii="Calibri" w:hAnsi="Calibri"/>
          <w:b/>
          <w:sz w:val="26"/>
          <w:szCs w:val="26"/>
        </w:rPr>
      </w:r>
    </w:p>
    <w:p>
      <w:pPr>
        <w:pStyle w:val="Normal"/>
        <w:spacing w:lineRule="auto" w:line="360"/>
        <w:rPr/>
      </w:pPr>
      <w:r>
        <w:rPr>
          <w:rFonts w:cs="Calibri" w:ascii="Calibri" w:hAnsi="Calibri"/>
          <w:sz w:val="26"/>
          <w:szCs w:val="26"/>
        </w:rPr>
        <w:t>Umowy zostaną zawarte i będą wykonywane przy udziale brokera ubezpieczeniowego</w:t>
      </w:r>
    </w:p>
    <w:p>
      <w:pPr>
        <w:pStyle w:val="Normal"/>
        <w:spacing w:lineRule="auto" w:line="360"/>
        <w:rPr/>
      </w:pPr>
      <w:r>
        <w:rPr>
          <w:rFonts w:cs="Calibri" w:ascii="Calibri" w:hAnsi="Calibri"/>
          <w:sz w:val="26"/>
          <w:szCs w:val="26"/>
        </w:rPr>
        <w:t>PWS KONSTANTA S.A. z siedzibą w Bielsku-Białej przy ul. Warszawskiej 153,</w:t>
      </w:r>
    </w:p>
    <w:p>
      <w:pPr>
        <w:pStyle w:val="Normal"/>
        <w:spacing w:lineRule="auto" w:line="360"/>
        <w:rPr/>
      </w:pPr>
      <w:r>
        <w:rPr>
          <w:rFonts w:cs="Calibri" w:ascii="Calibri" w:hAnsi="Calibri"/>
          <w:sz w:val="26"/>
          <w:szCs w:val="26"/>
        </w:rPr>
        <w:t>na podstawie udzielonego pełnomocnictwa.</w:t>
      </w:r>
    </w:p>
    <w:p>
      <w:pPr>
        <w:pStyle w:val="Normal"/>
        <w:spacing w:lineRule="auto" w:line="36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5"/>
        </w:numPr>
        <w:spacing w:lineRule="auto" w:line="360"/>
        <w:ind w:left="709" w:hanging="709"/>
        <w:rPr/>
      </w:pPr>
      <w:r>
        <w:rPr>
          <w:rFonts w:cs="Calibri" w:ascii="Calibri" w:hAnsi="Calibri"/>
          <w:b/>
          <w:sz w:val="26"/>
          <w:szCs w:val="26"/>
          <w:lang w:val="pl-PL"/>
        </w:rPr>
        <w:t>Niniejszy opis obejmuje następujące ryzyka ubezpieczeniowe:</w:t>
      </w:r>
    </w:p>
    <w:p>
      <w:pPr>
        <w:pStyle w:val="2poziomELO"/>
        <w:keepNext w:val="false"/>
        <w:numPr>
          <w:ilvl w:val="0"/>
          <w:numId w:val="0"/>
        </w:numPr>
        <w:spacing w:before="0" w:after="0"/>
        <w:ind w:left="709" w:hanging="709"/>
        <w:contextualSpacing/>
        <w:rPr/>
      </w:pPr>
      <w:r>
        <w:rPr>
          <w:rFonts w:cs="Calibri" w:ascii="Calibri" w:hAnsi="Calibri"/>
          <w:b w:val="false"/>
          <w:sz w:val="26"/>
          <w:szCs w:val="26"/>
        </w:rPr>
        <w:t xml:space="preserve">Ubezpieczenie komunikacyjne oraz maszyn i urządzeń budowlanych </w:t>
      </w:r>
    </w:p>
    <w:p>
      <w:pPr>
        <w:pStyle w:val="2poziomELO"/>
        <w:keepNext w:val="false"/>
        <w:numPr>
          <w:ilvl w:val="0"/>
          <w:numId w:val="7"/>
        </w:numPr>
        <w:spacing w:before="0" w:after="0"/>
        <w:ind w:left="709" w:hanging="709"/>
        <w:contextualSpacing/>
        <w:rPr/>
      </w:pPr>
      <w:r>
        <w:rPr>
          <w:rFonts w:cs="Calibri" w:ascii="Calibri" w:hAnsi="Calibri"/>
          <w:b w:val="false"/>
          <w:sz w:val="26"/>
          <w:szCs w:val="26"/>
        </w:rPr>
        <w:t>Ubezpieczenie odpowiedzialności cywilnej posiadacza pojazdów mechanicznych za szkody powstałe w związku z ruchem tych pojazdów</w:t>
      </w:r>
    </w:p>
    <w:p>
      <w:pPr>
        <w:pStyle w:val="2poziomELO"/>
        <w:keepNext w:val="false"/>
        <w:numPr>
          <w:ilvl w:val="0"/>
          <w:numId w:val="7"/>
        </w:numPr>
        <w:spacing w:before="0" w:after="0"/>
        <w:ind w:left="709" w:hanging="709"/>
        <w:contextualSpacing/>
        <w:rPr/>
      </w:pPr>
      <w:r>
        <w:rPr>
          <w:rFonts w:cs="Calibri" w:ascii="Calibri" w:hAnsi="Calibri"/>
          <w:b w:val="false"/>
          <w:sz w:val="26"/>
          <w:szCs w:val="26"/>
        </w:rPr>
        <w:t>Ubezpieczenie Auto-Casco</w:t>
      </w:r>
    </w:p>
    <w:p>
      <w:pPr>
        <w:pStyle w:val="2poziomELO"/>
        <w:keepNext w:val="false"/>
        <w:numPr>
          <w:ilvl w:val="0"/>
          <w:numId w:val="7"/>
        </w:numPr>
        <w:spacing w:before="0" w:after="0"/>
        <w:ind w:left="709" w:hanging="709"/>
        <w:contextualSpacing/>
        <w:rPr/>
      </w:pPr>
      <w:r>
        <w:rPr>
          <w:rFonts w:cs="Calibri" w:ascii="Calibri" w:hAnsi="Calibri"/>
          <w:b w:val="false"/>
          <w:sz w:val="26"/>
          <w:szCs w:val="26"/>
        </w:rPr>
        <w:t>Ubezpieczenie NNW</w:t>
      </w:r>
    </w:p>
    <w:p>
      <w:pPr>
        <w:pStyle w:val="Normal"/>
        <w:numPr>
          <w:ilvl w:val="0"/>
          <w:numId w:val="5"/>
        </w:numPr>
        <w:spacing w:lineRule="auto" w:line="360"/>
        <w:ind w:left="709" w:hanging="709"/>
        <w:rPr/>
      </w:pPr>
      <w:r>
        <w:rPr>
          <w:rFonts w:cs="Calibri" w:ascii="Calibri" w:hAnsi="Calibri"/>
          <w:color w:val="000000"/>
          <w:sz w:val="26"/>
          <w:szCs w:val="26"/>
        </w:rPr>
        <w:t>W umowach ubezpieczenia wskazani będą odpowiednio ubezpieczający i ubezpieczony wg poniższych wytycznych - każdorazowo przed wystawieniem dokumentów ubezpieczenia:</w:t>
      </w:r>
    </w:p>
    <w:p>
      <w:pPr>
        <w:pStyle w:val="ListParagraph"/>
        <w:numPr>
          <w:ilvl w:val="1"/>
          <w:numId w:val="5"/>
        </w:numPr>
        <w:spacing w:lineRule="auto" w:line="360"/>
        <w:ind w:left="709" w:hanging="709"/>
        <w:rPr/>
      </w:pPr>
      <w:r>
        <w:rPr>
          <w:rFonts w:cs="Calibri" w:ascii="Calibri" w:hAnsi="Calibri"/>
          <w:b/>
          <w:color w:val="000000"/>
          <w:sz w:val="26"/>
          <w:szCs w:val="26"/>
          <w:lang w:val="pl-PL"/>
        </w:rPr>
        <w:t>Ubezpieczający:</w:t>
        <w:tab/>
      </w:r>
      <w:r>
        <w:rPr>
          <w:rFonts w:cs="Calibri" w:ascii="Calibri" w:hAnsi="Calibri"/>
          <w:color w:val="000000"/>
          <w:sz w:val="26"/>
          <w:szCs w:val="26"/>
          <w:lang w:val="pl-PL"/>
        </w:rPr>
        <w:t xml:space="preserve">Gmina Andrychów </w:t>
      </w:r>
    </w:p>
    <w:p>
      <w:pPr>
        <w:pStyle w:val="Normal"/>
        <w:spacing w:lineRule="auto" w:line="360"/>
        <w:ind w:left="2125" w:firstLine="707"/>
        <w:rPr/>
      </w:pPr>
      <w:r>
        <w:rPr>
          <w:rFonts w:cs="Calibri" w:ascii="Calibri" w:hAnsi="Calibri"/>
          <w:color w:val="000000"/>
          <w:sz w:val="26"/>
          <w:szCs w:val="26"/>
        </w:rPr>
        <w:t>ul. Rynek 15</w:t>
      </w:r>
    </w:p>
    <w:p>
      <w:pPr>
        <w:pStyle w:val="Normal"/>
        <w:spacing w:lineRule="auto" w:line="360"/>
        <w:ind w:left="2125" w:firstLine="707"/>
        <w:rPr/>
      </w:pPr>
      <w:r>
        <w:rPr>
          <w:rFonts w:cs="Calibri" w:ascii="Calibri" w:hAnsi="Calibri"/>
          <w:color w:val="000000"/>
          <w:sz w:val="26"/>
          <w:szCs w:val="26"/>
        </w:rPr>
        <w:t>34-120 Andrychów</w:t>
      </w:r>
    </w:p>
    <w:p>
      <w:pPr>
        <w:pStyle w:val="Normal"/>
        <w:spacing w:lineRule="auto" w:line="360"/>
        <w:ind w:left="2125" w:firstLine="707"/>
        <w:rPr/>
      </w:pPr>
      <w:r>
        <w:rPr>
          <w:rFonts w:cs="Calibri" w:ascii="Calibri" w:hAnsi="Calibri"/>
          <w:color w:val="000000"/>
          <w:sz w:val="26"/>
          <w:szCs w:val="26"/>
        </w:rPr>
        <w:t xml:space="preserve">NIP: 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>5510013406</w:t>
      </w:r>
    </w:p>
    <w:p>
      <w:pPr>
        <w:pStyle w:val="Normal"/>
        <w:spacing w:lineRule="auto" w:line="360"/>
        <w:ind w:left="2125" w:firstLine="707"/>
        <w:rPr/>
      </w:pPr>
      <w:r>
        <w:rPr>
          <w:rFonts w:cs="Calibri" w:ascii="Calibri" w:hAnsi="Calibri"/>
          <w:color w:val="000000"/>
          <w:sz w:val="26"/>
          <w:szCs w:val="26"/>
        </w:rPr>
        <w:t xml:space="preserve">Regon: </w:t>
      </w:r>
      <w:r>
        <w:rPr>
          <w:rFonts w:cs="Calibri" w:ascii="Calibri" w:hAnsi="Calibri"/>
          <w:color w:val="000000"/>
          <w:sz w:val="26"/>
          <w:szCs w:val="26"/>
          <w:shd w:fill="FFFFFF" w:val="clear"/>
        </w:rPr>
        <w:t>072182031</w:t>
      </w:r>
    </w:p>
    <w:p>
      <w:pPr>
        <w:pStyle w:val="ListParagraph"/>
        <w:numPr>
          <w:ilvl w:val="1"/>
          <w:numId w:val="8"/>
        </w:numPr>
        <w:spacing w:lineRule="auto" w:line="360"/>
        <w:ind w:left="709" w:hanging="709"/>
        <w:rPr/>
      </w:pPr>
      <w:r>
        <w:rPr>
          <w:rFonts w:cs="Calibri" w:ascii="Calibri" w:hAnsi="Calibri"/>
          <w:b/>
          <w:color w:val="000000"/>
          <w:sz w:val="26"/>
          <w:szCs w:val="26"/>
          <w:lang w:val="pl-PL"/>
        </w:rPr>
        <w:t>Ubezpieczony:</w:t>
        <w:tab/>
      </w:r>
      <w:r>
        <w:rPr>
          <w:rFonts w:cs="Calibri" w:ascii="Calibri" w:hAnsi="Calibri"/>
          <w:b/>
          <w:sz w:val="26"/>
          <w:szCs w:val="26"/>
          <w:lang w:val="pl-PL"/>
        </w:rPr>
        <w:t>Gmina Andrychów Urząd Miejski w Andrychowie</w:t>
      </w:r>
    </w:p>
    <w:p>
      <w:pPr>
        <w:pStyle w:val="Normal"/>
        <w:spacing w:lineRule="auto" w:line="360"/>
        <w:ind w:left="2125" w:firstLine="707"/>
        <w:rPr/>
      </w:pPr>
      <w:r>
        <w:rPr>
          <w:rFonts w:cs="Calibri" w:ascii="Calibri" w:hAnsi="Calibri"/>
          <w:sz w:val="26"/>
          <w:szCs w:val="26"/>
        </w:rPr>
        <w:t>ul. Rynek 15</w:t>
      </w:r>
    </w:p>
    <w:p>
      <w:pPr>
        <w:pStyle w:val="Normal"/>
        <w:spacing w:lineRule="auto" w:line="360"/>
        <w:ind w:left="2125" w:firstLine="707"/>
        <w:rPr/>
      </w:pPr>
      <w:r>
        <w:rPr>
          <w:rFonts w:cs="Calibri" w:ascii="Calibri" w:hAnsi="Calibri"/>
          <w:sz w:val="26"/>
          <w:szCs w:val="26"/>
        </w:rPr>
        <w:t>34-120 Andrychów</w:t>
      </w:r>
    </w:p>
    <w:p>
      <w:pPr>
        <w:pStyle w:val="Normal"/>
        <w:spacing w:lineRule="auto" w:line="360"/>
        <w:ind w:left="2125" w:firstLine="707"/>
        <w:rPr/>
      </w:pPr>
      <w:r>
        <w:rPr>
          <w:rFonts w:cs="Calibri" w:ascii="Calibri" w:hAnsi="Calibri"/>
          <w:color w:val="000000"/>
          <w:sz w:val="26"/>
          <w:szCs w:val="26"/>
        </w:rPr>
        <w:t>Regon: 000524016</w:t>
      </w:r>
    </w:p>
    <w:p>
      <w:pPr>
        <w:pStyle w:val="Normal"/>
        <w:spacing w:lineRule="auto" w:line="360"/>
        <w:ind w:left="2125" w:firstLine="707"/>
        <w:rPr/>
      </w:pPr>
      <w:r>
        <w:rPr>
          <w:rFonts w:cs="Calibri" w:ascii="Calibri" w:hAnsi="Calibri"/>
          <w:color w:val="000000"/>
          <w:sz w:val="26"/>
          <w:szCs w:val="26"/>
        </w:rPr>
        <w:t>NIP: 551-262-75-32</w:t>
      </w:r>
    </w:p>
    <w:p>
      <w:pPr>
        <w:pStyle w:val="ListParagraph"/>
        <w:spacing w:lineRule="auto" w:line="360"/>
        <w:ind w:hanging="0"/>
        <w:rPr>
          <w:rFonts w:ascii="Calibri" w:hAnsi="Calibri" w:cs="Calibri"/>
          <w:sz w:val="26"/>
          <w:szCs w:val="26"/>
          <w:lang w:val="pl-PL"/>
        </w:rPr>
      </w:pPr>
      <w:r>
        <w:rPr/>
      </w:r>
    </w:p>
    <w:p>
      <w:pPr>
        <w:pStyle w:val="ListParagraph"/>
        <w:numPr>
          <w:ilvl w:val="0"/>
          <w:numId w:val="8"/>
        </w:numPr>
        <w:spacing w:lineRule="auto" w:line="360"/>
        <w:ind w:left="709" w:hanging="709"/>
        <w:rPr/>
      </w:pPr>
      <w:r>
        <w:rPr>
          <w:rFonts w:cs="Calibri" w:ascii="Calibri" w:hAnsi="Calibri"/>
          <w:b/>
          <w:color w:val="000000"/>
          <w:sz w:val="26"/>
          <w:szCs w:val="26"/>
          <w:lang w:val="pl-PL"/>
        </w:rPr>
        <w:t>Okres obowiązywania umowy: od 01.12.2024 do 30.11.2026;</w:t>
      </w:r>
    </w:p>
    <w:p>
      <w:pPr>
        <w:pStyle w:val="ListParagraph"/>
        <w:spacing w:lineRule="auto" w:line="360"/>
        <w:ind w:left="0" w:hanging="0"/>
        <w:rPr/>
      </w:pPr>
      <w:r>
        <w:rPr>
          <w:rFonts w:cs="Calibri" w:ascii="Calibri" w:hAnsi="Calibri"/>
          <w:b/>
          <w:color w:val="000000"/>
          <w:sz w:val="26"/>
          <w:szCs w:val="26"/>
          <w:lang w:val="pl-PL"/>
        </w:rPr>
        <w:t xml:space="preserve">Okresy ubezpieczenia dla umów ubezpieczeń komunikacyjnych zgodnie z </w:t>
      </w:r>
    </w:p>
    <w:p>
      <w:pPr>
        <w:pStyle w:val="ListParagraph"/>
        <w:spacing w:lineRule="auto" w:line="360"/>
        <w:ind w:left="0" w:hanging="0"/>
        <w:rPr/>
      </w:pPr>
      <w:r>
        <w:rPr>
          <w:rFonts w:cs="Calibri" w:ascii="Calibri" w:hAnsi="Calibri"/>
          <w:b/>
          <w:color w:val="000000"/>
          <w:sz w:val="26"/>
          <w:szCs w:val="26"/>
          <w:lang w:val="pl-PL"/>
        </w:rPr>
        <w:t>Załącznikiem nr 6 do SWZ.</w:t>
      </w:r>
      <w:r>
        <w:rPr>
          <w:rFonts w:cs="Calibri" w:ascii="Calibri" w:hAnsi="Calibri"/>
          <w:color w:val="000000"/>
          <w:sz w:val="26"/>
          <w:szCs w:val="26"/>
          <w:lang w:val="pl-PL"/>
        </w:rPr>
        <w:t xml:space="preserve"> Przy czym, ochrona ubezpieczeniowa dla poszczególnych pojazdów mechanicznych będzie, udzielana w okresie 12 miesięcznym, liczonym </w:t>
      </w:r>
    </w:p>
    <w:p>
      <w:pPr>
        <w:pStyle w:val="ListParagraph"/>
        <w:spacing w:lineRule="auto" w:line="360"/>
        <w:ind w:left="0" w:hanging="0"/>
        <w:rPr/>
      </w:pPr>
      <w:r>
        <w:rPr>
          <w:rFonts w:cs="Calibri" w:ascii="Calibri" w:hAnsi="Calibri"/>
          <w:color w:val="000000"/>
          <w:sz w:val="26"/>
          <w:szCs w:val="26"/>
          <w:lang w:val="pl-PL"/>
        </w:rPr>
        <w:t>odrębnie dla każdego pojazdu zgłoszonego w okresie od 01.12.2024 r. do 30.11.2026 r.</w:t>
      </w:r>
    </w:p>
    <w:p>
      <w:pPr>
        <w:pStyle w:val="ListParagraph"/>
        <w:numPr>
          <w:ilvl w:val="0"/>
          <w:numId w:val="8"/>
        </w:numPr>
        <w:spacing w:lineRule="auto" w:line="360"/>
        <w:ind w:left="709" w:hanging="709"/>
        <w:rPr/>
      </w:pPr>
      <w:r>
        <w:rPr>
          <w:rFonts w:cs="Calibri" w:ascii="Calibri" w:hAnsi="Calibri"/>
          <w:b/>
          <w:color w:val="000000"/>
          <w:sz w:val="26"/>
          <w:szCs w:val="26"/>
          <w:lang w:val="pl-PL"/>
        </w:rPr>
        <w:t>Płatność składki</w:t>
      </w:r>
      <w:r>
        <w:rPr>
          <w:rFonts w:cs="Calibri" w:ascii="Calibri" w:hAnsi="Calibri"/>
          <w:color w:val="000000"/>
          <w:sz w:val="26"/>
          <w:szCs w:val="26"/>
          <w:lang w:val="pl-PL"/>
        </w:rPr>
        <w:t xml:space="preserve">: należy zagwarantować płatność składki ubezpieczeniowej w terminie </w:t>
      </w:r>
    </w:p>
    <w:p>
      <w:pPr>
        <w:pStyle w:val="ListParagraph"/>
        <w:numPr>
          <w:ilvl w:val="1"/>
          <w:numId w:val="8"/>
        </w:numPr>
        <w:spacing w:lineRule="auto" w:line="360"/>
        <w:rPr/>
      </w:pPr>
      <w:r>
        <w:rPr>
          <w:rFonts w:cs="Calibri" w:ascii="Calibri" w:hAnsi="Calibri"/>
          <w:color w:val="000000"/>
          <w:sz w:val="26"/>
          <w:szCs w:val="26"/>
          <w:lang w:val="pl-PL"/>
        </w:rPr>
        <w:t>Pierwszy okres rozliczeniowy: dla pojazdów zgłoszonych do ubezpieczenia w pierwszym okresie rozliczeniowym wykonawca zapewni płatność składki na dzień 11 styczeń 2025 r.</w:t>
      </w:r>
    </w:p>
    <w:p>
      <w:pPr>
        <w:pStyle w:val="ListParagraph"/>
        <w:numPr>
          <w:ilvl w:val="1"/>
          <w:numId w:val="8"/>
        </w:numPr>
        <w:spacing w:lineRule="auto" w:line="360"/>
        <w:rPr/>
      </w:pPr>
      <w:r>
        <w:rPr>
          <w:rFonts w:cs="Calibri" w:ascii="Calibri" w:hAnsi="Calibri"/>
          <w:color w:val="000000"/>
          <w:sz w:val="26"/>
          <w:szCs w:val="26"/>
          <w:lang w:val="pl-PL"/>
        </w:rPr>
        <w:t xml:space="preserve">Drugi okres rozliczeniowy: dla pojazdów zgłoszonych do ubezpieczenia w </w:t>
      </w:r>
    </w:p>
    <w:p>
      <w:pPr>
        <w:pStyle w:val="ListParagraph"/>
        <w:spacing w:lineRule="auto" w:line="360"/>
        <w:ind w:left="1380" w:hanging="0"/>
        <w:rPr/>
      </w:pPr>
      <w:r>
        <w:rPr>
          <w:rFonts w:cs="Calibri" w:ascii="Calibri" w:hAnsi="Calibri"/>
          <w:color w:val="000000"/>
          <w:sz w:val="26"/>
          <w:szCs w:val="26"/>
          <w:lang w:val="pl-PL"/>
        </w:rPr>
        <w:t>drugim okresie rozliczeniowym wykonawca zapewni płatność składki na dzień 10 styczeń 2026 r.</w:t>
      </w:r>
    </w:p>
    <w:p>
      <w:pPr>
        <w:pStyle w:val="Normal"/>
        <w:numPr>
          <w:ilvl w:val="0"/>
          <w:numId w:val="8"/>
        </w:numPr>
        <w:spacing w:lineRule="auto" w:line="360"/>
        <w:rPr/>
      </w:pPr>
      <w:r>
        <w:rPr>
          <w:rFonts w:cs="Calibri" w:ascii="Calibri" w:hAnsi="Calibri"/>
          <w:b/>
          <w:sz w:val="26"/>
          <w:szCs w:val="26"/>
        </w:rPr>
        <w:t xml:space="preserve">UBEZPIECZENIE KOMUNIKACYJNE </w:t>
      </w:r>
    </w:p>
    <w:p>
      <w:pPr>
        <w:pStyle w:val="Normal"/>
        <w:numPr>
          <w:ilvl w:val="1"/>
          <w:numId w:val="8"/>
        </w:numPr>
        <w:spacing w:lineRule="auto" w:line="360"/>
        <w:ind w:left="709" w:hanging="709"/>
        <w:rPr/>
      </w:pPr>
      <w:r>
        <w:rPr>
          <w:rFonts w:cs="Calibri" w:ascii="Calibri" w:hAnsi="Calibri"/>
          <w:b/>
          <w:sz w:val="26"/>
          <w:szCs w:val="26"/>
        </w:rPr>
        <w:t xml:space="preserve">Ubezpieczenie odpowiedzialności cywilnej posiadaczy pojazdów mechanicznych za  szkody powstałe w związku z ruchem tych pojazdów </w:t>
      </w:r>
    </w:p>
    <w:p>
      <w:pPr>
        <w:pStyle w:val="ListParagraph"/>
        <w:spacing w:lineRule="auto" w:line="360"/>
        <w:rPr/>
      </w:pPr>
      <w:r>
        <w:rPr>
          <w:rFonts w:cs="Calibri" w:ascii="Calibri" w:hAnsi="Calibri"/>
          <w:b/>
          <w:sz w:val="26"/>
          <w:szCs w:val="26"/>
          <w:lang w:val="pl-PL"/>
        </w:rPr>
        <w:t xml:space="preserve">Podstawa prawna: </w:t>
      </w:r>
      <w:r>
        <w:rPr>
          <w:rFonts w:cs="Calibri" w:ascii="Calibri" w:hAnsi="Calibri"/>
          <w:sz w:val="26"/>
          <w:szCs w:val="26"/>
          <w:lang w:val="pl-PL"/>
        </w:rPr>
        <w:t xml:space="preserve">Zgodnie z ustawą z dnia 23 maja 2003 r. o ubezpieczeniach obowiązkowych, Ubezpieczeniowym Funduszu Gwarancyjnym i Polskim Biurze Ubezpieczycieli Komunikacyjnych (tekst jednolity Dz. U. z 2023 r., poz. 2500 z późn. zm.). </w:t>
      </w:r>
    </w:p>
    <w:p>
      <w:pPr>
        <w:pStyle w:val="ListParagraph"/>
        <w:numPr>
          <w:ilvl w:val="2"/>
          <w:numId w:val="8"/>
        </w:numPr>
        <w:spacing w:lineRule="auto" w:line="360"/>
        <w:rPr/>
      </w:pPr>
      <w:r>
        <w:rPr>
          <w:rFonts w:cs="Calibri" w:ascii="Calibri" w:hAnsi="Calibri"/>
          <w:b/>
          <w:sz w:val="26"/>
          <w:szCs w:val="26"/>
          <w:lang w:val="pl-PL"/>
        </w:rPr>
        <w:t xml:space="preserve">Suma gwarancyjna:  </w:t>
      </w:r>
      <w:r>
        <w:rPr>
          <w:rFonts w:cs="Calibri" w:ascii="Calibri" w:hAnsi="Calibri"/>
          <w:sz w:val="26"/>
          <w:szCs w:val="26"/>
          <w:lang w:val="pl-PL"/>
        </w:rPr>
        <w:t>ustawowa minimalna</w:t>
      </w:r>
    </w:p>
    <w:p>
      <w:pPr>
        <w:pStyle w:val="ListParagraph"/>
        <w:numPr>
          <w:ilvl w:val="2"/>
          <w:numId w:val="8"/>
        </w:numPr>
        <w:spacing w:lineRule="auto" w:line="360"/>
        <w:rPr/>
      </w:pPr>
      <w:r>
        <w:rPr>
          <w:rFonts w:cs="Calibri" w:ascii="Calibri" w:hAnsi="Calibri"/>
          <w:b/>
          <w:sz w:val="26"/>
          <w:szCs w:val="26"/>
          <w:lang w:val="pl-PL"/>
        </w:rPr>
        <w:t xml:space="preserve">Przedmiot ubezpieczenia: </w:t>
      </w:r>
      <w:r>
        <w:rPr>
          <w:rFonts w:cs="Calibri" w:ascii="Calibri" w:hAnsi="Calibri"/>
          <w:sz w:val="26"/>
          <w:szCs w:val="26"/>
          <w:lang w:val="pl-PL"/>
        </w:rPr>
        <w:t xml:space="preserve">Ubezpieczeniem objęte zostaną pojazdy </w:t>
      </w:r>
    </w:p>
    <w:p>
      <w:pPr>
        <w:pStyle w:val="ListParagraph"/>
        <w:spacing w:lineRule="auto" w:line="360"/>
        <w:ind w:left="1440" w:hanging="0"/>
        <w:rPr/>
      </w:pPr>
      <w:r>
        <w:rPr>
          <w:rFonts w:cs="Calibri" w:ascii="Calibri" w:hAnsi="Calibri"/>
          <w:sz w:val="26"/>
          <w:szCs w:val="26"/>
          <w:lang w:val="pl-PL"/>
        </w:rPr>
        <w:t>mechaniczne podlegające ustawowemu obowiązkowi ubezpieczenia zgodnie z załącznik nr 6.</w:t>
      </w:r>
    </w:p>
    <w:p>
      <w:pPr>
        <w:pStyle w:val="Normal"/>
        <w:keepNext w:val="true"/>
        <w:numPr>
          <w:ilvl w:val="1"/>
          <w:numId w:val="8"/>
        </w:numPr>
        <w:spacing w:lineRule="auto" w:line="360"/>
        <w:rPr/>
      </w:pPr>
      <w:r>
        <w:rPr>
          <w:rFonts w:cs="Calibri" w:ascii="Calibri" w:hAnsi="Calibri"/>
          <w:b/>
          <w:sz w:val="26"/>
          <w:szCs w:val="26"/>
        </w:rPr>
        <w:t>Ubezpieczenie Auto Casco</w:t>
      </w:r>
      <w:r>
        <w:rPr>
          <w:rFonts w:cs="Calibri" w:ascii="Calibri" w:hAnsi="Calibri"/>
          <w:sz w:val="26"/>
          <w:szCs w:val="26"/>
        </w:rPr>
        <w:t xml:space="preserve"> </w:t>
      </w:r>
    </w:p>
    <w:p>
      <w:pPr>
        <w:pStyle w:val="ListParagraph"/>
        <w:numPr>
          <w:ilvl w:val="2"/>
          <w:numId w:val="8"/>
        </w:numPr>
        <w:spacing w:lineRule="auto" w:line="360"/>
        <w:rPr/>
      </w:pPr>
      <w:r>
        <w:rPr>
          <w:rFonts w:cs="Calibri" w:ascii="Calibri" w:hAnsi="Calibri"/>
          <w:b/>
          <w:sz w:val="26"/>
          <w:szCs w:val="26"/>
          <w:lang w:val="pl-PL"/>
        </w:rPr>
        <w:t xml:space="preserve">Przedmiot ubezpieczenia: </w:t>
      </w:r>
      <w:r>
        <w:rPr>
          <w:rFonts w:cs="Calibri" w:ascii="Calibri" w:hAnsi="Calibri"/>
          <w:sz w:val="26"/>
          <w:szCs w:val="26"/>
          <w:lang w:val="pl-PL"/>
        </w:rPr>
        <w:t xml:space="preserve">Ubezpieczeniem objęte zostaną pojazdy </w:t>
      </w:r>
    </w:p>
    <w:p>
      <w:pPr>
        <w:pStyle w:val="ListParagraph"/>
        <w:spacing w:lineRule="auto" w:line="360"/>
        <w:ind w:left="1440" w:hanging="0"/>
        <w:rPr/>
      </w:pPr>
      <w:r>
        <w:rPr>
          <w:rFonts w:cs="Calibri" w:ascii="Calibri" w:hAnsi="Calibri"/>
          <w:sz w:val="26"/>
          <w:szCs w:val="26"/>
          <w:lang w:val="pl-PL"/>
        </w:rPr>
        <w:t>mechaniczne zgodnie z w wykazem pojazdów – załącznik nr 4 do SWZ.</w:t>
      </w:r>
    </w:p>
    <w:p>
      <w:pPr>
        <w:pStyle w:val="ListParagraph"/>
        <w:numPr>
          <w:ilvl w:val="2"/>
          <w:numId w:val="8"/>
        </w:numPr>
        <w:spacing w:lineRule="auto" w:line="360"/>
        <w:rPr/>
      </w:pPr>
      <w:r>
        <w:rPr>
          <w:rFonts w:cs="Calibri" w:ascii="Calibri" w:hAnsi="Calibri"/>
          <w:b/>
          <w:sz w:val="26"/>
          <w:szCs w:val="26"/>
          <w:lang w:val="pl-PL"/>
        </w:rPr>
        <w:t xml:space="preserve">Zakres terytorialny: </w:t>
      </w:r>
      <w:r>
        <w:rPr>
          <w:rFonts w:cs="Calibri" w:ascii="Calibri" w:hAnsi="Calibri"/>
          <w:sz w:val="26"/>
          <w:szCs w:val="26"/>
          <w:lang w:val="pl-PL"/>
        </w:rPr>
        <w:t xml:space="preserve">Polska </w:t>
      </w:r>
    </w:p>
    <w:p>
      <w:pPr>
        <w:pStyle w:val="ListParagraph"/>
        <w:numPr>
          <w:ilvl w:val="2"/>
          <w:numId w:val="8"/>
        </w:numPr>
        <w:spacing w:lineRule="auto" w:line="360"/>
        <w:rPr/>
      </w:pPr>
      <w:r>
        <w:rPr>
          <w:rFonts w:cs="Calibri" w:ascii="Calibri" w:hAnsi="Calibri"/>
          <w:b/>
          <w:sz w:val="26"/>
          <w:szCs w:val="26"/>
          <w:lang w:val="pl-PL"/>
        </w:rPr>
        <w:t xml:space="preserve">Zakres ubezpieczenia: </w:t>
      </w:r>
      <w:r>
        <w:rPr>
          <w:rFonts w:cs="Calibri" w:ascii="Calibri" w:hAnsi="Calibri"/>
          <w:sz w:val="26"/>
          <w:szCs w:val="26"/>
          <w:lang w:val="pl-PL"/>
        </w:rPr>
        <w:t xml:space="preserve">Wszelkie szkody polegające na uszkodzeniu, zniszczeniu lub utracie pojazdu lub jego elementów i wyposażenia (zakres All Risk) </w:t>
      </w:r>
    </w:p>
    <w:p>
      <w:pPr>
        <w:pStyle w:val="ListParagraph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>powstałe w związku z ruchem i postojem między innymi powstałe wskutek: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ind w:left="1276" w:hanging="1134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 xml:space="preserve">nagłego działania siły mechanicznej w chwili zetknięcia pojazdu z innym pojazdem, z osobami, zwierzętami lub przedmiotem pochodzącym z </w:t>
      </w:r>
    </w:p>
    <w:p>
      <w:pPr>
        <w:pStyle w:val="Bodytext51"/>
        <w:shd w:val="clear" w:color="auto" w:fill="auto"/>
        <w:spacing w:lineRule="auto" w:line="360"/>
        <w:ind w:left="1276" w:hanging="0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 xml:space="preserve">zewnątrz lub wewnątrz pojazdu, najechania na przeszkody lub </w:t>
      </w:r>
    </w:p>
    <w:p>
      <w:pPr>
        <w:pStyle w:val="Bodytext51"/>
        <w:shd w:val="clear" w:color="auto" w:fill="auto"/>
        <w:spacing w:lineRule="auto" w:line="360"/>
        <w:ind w:left="1276" w:hanging="0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>nierówności dróg, przewrócenie się pojazdu;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ind w:left="1276" w:hanging="1134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>uszkodzenia pojazdu lub jego wyposażenia przez osoby trzecie i zwierzęta (np. dewastacja);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ind w:left="1276" w:hanging="1134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 xml:space="preserve">powodzi, zatopienia, uderzenia pioruna, pożaru, zalania w tym wskutek wjechania w rozlewisko wody, wybuchu, opadu atmosferycznego, </w:t>
      </w:r>
    </w:p>
    <w:p>
      <w:pPr>
        <w:pStyle w:val="Bodytext51"/>
        <w:shd w:val="clear" w:color="auto" w:fill="auto"/>
        <w:spacing w:lineRule="auto" w:line="360"/>
        <w:ind w:left="1276" w:hanging="0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>huraganu, osuwania się ziemi oraz działania innych sił natury,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ind w:left="1276" w:hanging="1134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>nagłego działania czynnika termicznego lub chemicznego pochodzącego z zewnątrz lub z wewnątrz pojazdu,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ind w:left="1276" w:hanging="1134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>uszkodzenia wnętrza pojazdu przez osoby, których przewóz wymagany był potrzebą udzielenia pomocy medycznej lub transportu sanitarnego,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ind w:left="1276" w:hanging="1134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kradzieży pojazdu, jego części lub wyposażenia, z zastrzeżeniem </w:t>
      </w:r>
    </w:p>
    <w:p>
      <w:pPr>
        <w:pStyle w:val="Bodytext51"/>
        <w:shd w:val="clear" w:color="auto" w:fill="auto"/>
        <w:spacing w:lineRule="auto" w:line="360"/>
        <w:ind w:left="1276" w:hanging="0"/>
        <w:rPr/>
      </w:pPr>
      <w:r>
        <w:rPr>
          <w:rFonts w:cs="Calibri" w:ascii="Calibri" w:hAnsi="Calibri"/>
          <w:sz w:val="26"/>
          <w:szCs w:val="26"/>
          <w:lang w:val="pl-PL"/>
        </w:rPr>
        <w:t>postanowień wyłączeń,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ind w:left="1276" w:hanging="1134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>uszkodzeniu pojazdu w następstwie jego zaboru w celu krótkotrwałego użycia,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ind w:left="1276" w:hanging="1134"/>
        <w:rPr/>
      </w:pPr>
      <w:r>
        <w:rPr>
          <w:rFonts w:cs="Calibri" w:ascii="Calibri" w:hAnsi="Calibri"/>
          <w:sz w:val="26"/>
          <w:szCs w:val="26"/>
          <w:lang w:val="pl-PL"/>
        </w:rPr>
        <w:t>inne siły przyrody niezależnie od miejsca ich powstania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ind w:left="1276" w:hanging="1134"/>
        <w:rPr/>
      </w:pPr>
      <w:r>
        <w:rPr>
          <w:rFonts w:cs="Calibri" w:ascii="Calibri" w:hAnsi="Calibri"/>
          <w:sz w:val="26"/>
          <w:szCs w:val="26"/>
          <w:lang w:val="pl-PL"/>
        </w:rPr>
        <w:t>pożaru lub wybuchu, którego źródło powstało wewnątrz pojazdu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ind w:left="1276" w:hanging="1134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 xml:space="preserve">warunki Auto Casco nie ograniczają odszkodowania z powodu </w:t>
      </w:r>
    </w:p>
    <w:p>
      <w:pPr>
        <w:pStyle w:val="Bodytext51"/>
        <w:shd w:val="clear" w:color="auto" w:fill="auto"/>
        <w:spacing w:lineRule="auto" w:line="360"/>
        <w:ind w:left="1276" w:hanging="0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 xml:space="preserve">użytkowania pojazdu w trudnych warunkach atmosferycznych, np. </w:t>
      </w:r>
    </w:p>
    <w:p>
      <w:pPr>
        <w:pStyle w:val="Bodytext51"/>
        <w:shd w:val="clear" w:color="auto" w:fill="auto"/>
        <w:spacing w:lineRule="auto" w:line="360"/>
        <w:ind w:left="1276" w:hanging="0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>z powodu wjechania w rozlewisko wody,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ind w:left="1276" w:hanging="1134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 xml:space="preserve">powstałe podczas napraw, diagnostyki i przeglądów, z zachowaniem </w:t>
      </w:r>
    </w:p>
    <w:p>
      <w:pPr>
        <w:pStyle w:val="Bodytext51"/>
        <w:shd w:val="clear" w:color="auto" w:fill="auto"/>
        <w:spacing w:lineRule="auto" w:line="360"/>
        <w:ind w:left="1276" w:hanging="0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>prawa regresu do sprawcy szkody,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ind w:left="1276" w:hanging="1134"/>
        <w:rPr/>
      </w:pPr>
      <w:r>
        <w:rPr>
          <w:rStyle w:val="Bodytext5"/>
          <w:rFonts w:cs="Calibri" w:ascii="Calibri" w:hAnsi="Calibri"/>
          <w:sz w:val="26"/>
          <w:szCs w:val="26"/>
          <w:lang w:val="pl-PL"/>
        </w:rPr>
        <w:t>ochroną ubezpieczeniową objęte są zdarzenia polegające na uszkodzeniu szyb w pojazdach bez względu na przyczyny ich powstania, z wyłączeniem winy umyślnej i szkód w szybach posiadających wcześniejsze uszkodzenia.</w:t>
      </w:r>
    </w:p>
    <w:p>
      <w:pPr>
        <w:pStyle w:val="Bodytext51"/>
        <w:numPr>
          <w:ilvl w:val="2"/>
          <w:numId w:val="9"/>
        </w:numPr>
        <w:shd w:val="clear" w:color="auto" w:fill="auto"/>
        <w:spacing w:lineRule="auto" w:line="360"/>
        <w:rPr/>
      </w:pPr>
      <w:r>
        <w:rPr>
          <w:rStyle w:val="Bodytext5"/>
          <w:rFonts w:cs="Calibri" w:ascii="Calibri" w:hAnsi="Calibri"/>
          <w:b/>
          <w:sz w:val="26"/>
          <w:szCs w:val="26"/>
          <w:lang w:val="pl-PL"/>
        </w:rPr>
        <w:t>Postanowienia dodatkowe, jakie będą miały zastosowanie do ubezpieczenia AC: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naruszenie przepisów ruchu drogowego, w tym w szczególności przekroczenie dozwolonej prędkości przez kierowcę pojazdu nie będzie miało wpływu na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>redukcję lub odmowę wypłaty odszkodowania,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nie będą miały zastosowania postanowienia Ogólnych lub szczególnych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>warunków ubezpieczenia ograniczające wypłaty odszkodowania dotyczące wieku kierującego pojazdem,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Ubezpieczyciel uznaje istniejące w pojazdach zabezpieczenia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przeciwkradzieżowe za wystarczające do objęcia ochroną ubezpieczeniową i wypłaty odszkodowania, 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>Ubezpieczyciel udziela ochrony ubezpieczeniowej również w zakresie szkód spowodowanych przez kierującego pojazdem nieposiadającym ważnych badań technicznych, o ile stan techniczny pojazdu nie miał wpływu na zaistnienie szkody,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przy wycenie kosztów naprawy nie stosuje się ubytku wartości części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zamiennych (amortyzacji) z wyłączeniem ogumienia, akumulatora, elementów ciernych układu hamulcowego (klocki, szczęki, tarcze, bębny), elementów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>ciernych układu sprzęgła (tarcza, docisk), elementów układu wydechowego (tłumiki, katalizatory i rury łączące te elementy), a powyższego nie stosuje się w przypadku wyboru rozliczenia kosztorysowego, gdzie amortyzacja określona jest w tabeli,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>zniesione udziały własne, także w szkodach kradzieżowych i kolejnych – we wszystkich  szkodach,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>nie stosuje się pomniejszenia sumy ubezpieczenia o wypłacone odszkodowanie (zniesienie konsumpcji sumy ubezpieczenia),</w:t>
      </w:r>
    </w:p>
    <w:p>
      <w:pPr>
        <w:pStyle w:val="Bodytext51"/>
        <w:numPr>
          <w:ilvl w:val="2"/>
          <w:numId w:val="9"/>
        </w:numPr>
        <w:shd w:val="clear" w:color="auto" w:fill="auto"/>
        <w:tabs>
          <w:tab w:val="clear" w:pos="708"/>
          <w:tab w:val="left" w:pos="720" w:leader="none"/>
        </w:tabs>
        <w:spacing w:lineRule="auto" w:line="360"/>
        <w:rPr/>
      </w:pPr>
      <w:bookmarkStart w:id="0" w:name="bookmark41"/>
      <w:r>
        <w:rPr>
          <w:rStyle w:val="Bodytext5"/>
          <w:rFonts w:cs="Calibri" w:ascii="Calibri" w:hAnsi="Calibri"/>
          <w:b/>
          <w:sz w:val="26"/>
          <w:szCs w:val="26"/>
          <w:lang w:val="pl-PL"/>
        </w:rPr>
        <w:t>Zasady wypłaty odszkodowania</w:t>
      </w:r>
      <w:bookmarkEnd w:id="0"/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pojazdy ubezpieczone w wariancie serwisowym, 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>w wariancie serwisowym, rozliczenie szkody następować będzie na podstawie rachunków w wartości brutto poniesionych kosztów naprawy; Ubezpieczyciel każdorazowo weryfikuje ceny części i stawki robocizny stosowane przez ASO danej marki; Ceny części będą ustalane na podstawie cen oryginalnych części producenta / importera w oparciu o system kalkulacji (np. AUDATEX,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>EUROTAX ), a w przypadku braku ustalenia w ten sposób - na podstawie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faktycznej ceny zakupu; </w:t>
      </w:r>
    </w:p>
    <w:p>
      <w:pPr>
        <w:pStyle w:val="Bodytext51"/>
        <w:numPr>
          <w:ilvl w:val="2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Szczegółowe zasady samolikwidacji uzgodnione z Ubezpieczycielem są </w:t>
      </w:r>
    </w:p>
    <w:p>
      <w:pPr>
        <w:pStyle w:val="Bodytext51"/>
        <w:shd w:val="clear" w:color="auto" w:fill="auto"/>
        <w:spacing w:lineRule="auto" w:line="360"/>
        <w:ind w:left="851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następujące - wszelkiego rodzaju oględziny i sporządzenie oceny technicznej związanej z uszkodzonym pojazdem będą realizowane przez przedstawiciela Ubezpieczyciela. </w:t>
      </w:r>
    </w:p>
    <w:p>
      <w:pPr>
        <w:pStyle w:val="ListParagraph"/>
        <w:numPr>
          <w:ilvl w:val="4"/>
          <w:numId w:val="9"/>
        </w:numPr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w przypadku wystąpienia szkód o wartości jednostkowej do 10.000,00 zł (słownie: dziesięciu tysięcy złotych zero groszy) bez uwzględnienia podatku VAT (wartość netto), pod warunkiem zgłoszenia takiej szkody na Infolinię, Ubezpieczyciel zezwala na dokonanie naprawy pojazdu bez oględzin </w:t>
      </w:r>
    </w:p>
    <w:p>
      <w:pPr>
        <w:pStyle w:val="ListParagraph"/>
        <w:spacing w:lineRule="auto" w:line="360"/>
        <w:ind w:left="1134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(procedura uproszczona) w przypadkach dotyczących: </w:t>
      </w:r>
    </w:p>
    <w:p>
      <w:pPr>
        <w:pStyle w:val="ListParagraph"/>
        <w:numPr>
          <w:ilvl w:val="4"/>
          <w:numId w:val="9"/>
        </w:numPr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wymiany uszkodzonego lusterka lub montażu nowego w miejsce </w:t>
      </w:r>
    </w:p>
    <w:p>
      <w:pPr>
        <w:pStyle w:val="ListParagraph"/>
        <w:spacing w:lineRule="auto" w:line="360"/>
        <w:ind w:left="1134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skradzionego, </w:t>
      </w:r>
    </w:p>
    <w:p>
      <w:pPr>
        <w:pStyle w:val="ListParagraph"/>
        <w:numPr>
          <w:ilvl w:val="4"/>
          <w:numId w:val="9"/>
        </w:numPr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wymiany uszkodzonego lub rozbitego reflektora, kierunkowskazu, </w:t>
      </w:r>
    </w:p>
    <w:p>
      <w:pPr>
        <w:pStyle w:val="ListParagraph"/>
        <w:spacing w:lineRule="auto" w:line="360"/>
        <w:ind w:left="1134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halogenu bądź innego światła, </w:t>
      </w:r>
    </w:p>
    <w:p>
      <w:pPr>
        <w:pStyle w:val="ListParagraph"/>
        <w:numPr>
          <w:ilvl w:val="4"/>
          <w:numId w:val="9"/>
        </w:numPr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wymiany zamka uszkodzonego wskutek włamania lub usiłowania włamania do pojazdu, </w:t>
      </w:r>
    </w:p>
    <w:p>
      <w:pPr>
        <w:pStyle w:val="ListParagraph"/>
        <w:numPr>
          <w:ilvl w:val="4"/>
          <w:numId w:val="9"/>
        </w:numPr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wymiany uszkodzonych lub skradzionych opon lub montażu nowych kół w miejsce skradzionych, </w:t>
      </w:r>
    </w:p>
    <w:p>
      <w:pPr>
        <w:pStyle w:val="ListParagraph"/>
        <w:numPr>
          <w:ilvl w:val="4"/>
          <w:numId w:val="9"/>
        </w:numPr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wymiany uszkodzonych lub skradzionych kołpaków, felg lub montażu </w:t>
      </w:r>
    </w:p>
    <w:p>
      <w:pPr>
        <w:pStyle w:val="ListParagraph"/>
        <w:spacing w:lineRule="auto" w:line="360"/>
        <w:ind w:left="1134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nowych w miejsce skradzionych, </w:t>
      </w:r>
    </w:p>
    <w:p>
      <w:pPr>
        <w:pStyle w:val="ListParagraph"/>
        <w:numPr>
          <w:ilvl w:val="4"/>
          <w:numId w:val="9"/>
        </w:numPr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naprawy zamka w drzwiach (ewentualnie naprawy porysowanej karoserii w okolicach zamka) – dotyczy nieudanej próby włamania do pojazdu, </w:t>
      </w:r>
    </w:p>
    <w:p>
      <w:pPr>
        <w:pStyle w:val="Bodytext51"/>
        <w:numPr>
          <w:ilvl w:val="2"/>
          <w:numId w:val="9"/>
        </w:numPr>
        <w:shd w:val="clear" w:color="auto" w:fill="auto"/>
        <w:spacing w:lineRule="auto" w:line="360"/>
        <w:rPr/>
      </w:pPr>
      <w:r>
        <w:rPr>
          <w:rStyle w:val="Bodytext5"/>
          <w:rFonts w:cs="Calibri" w:ascii="Calibri" w:hAnsi="Calibri"/>
          <w:b/>
          <w:sz w:val="26"/>
          <w:szCs w:val="26"/>
          <w:lang w:val="pl-PL"/>
        </w:rPr>
        <w:t>Świadczenia dodatkowe: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>Ubezpieczyciel w granicach sumy ubezpieczenia zwraca udokumentowane i uzasadnione okolicznościami danego wypadku ubezpieczeniowego koszty: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zabezpieczenia lub przechowywania uszkodzonego pojazdu w okresie nie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dłuższym niż do dnia dokonania oględzin i przekazania Ubezpieczonemu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>kalkulacji kosztów jego naprawy;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>holowania lub transportu uszkodzonego pojazdu z miejsca wypadku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ubezpieczeniowego do zakładu naprawczego, nie dalej jednak niż do miejsca zamieszkania Ubezpieczonego lub osoby uprawnionej do korzystania z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>pojazdu;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>przeprowadzenia dodatkowego badania technicznego zgodnie z przepisami o ruchu drogowym.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w razie zajścia wypadku ubezpieczeniowego Ubezpieczający obowiązany jest użyć dostępnych mu środków w celu ratowania przedmiotu ubezpieczenia oraz zapobieżenia szkodzie lub zmniejszenia jej rozmiarów. Ubezpieczyciel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zobowiązany jest, w granicach sumy ubezpieczenia, zwrócić koszty wynikłe z zastosowania środków, o których mowa w zdaniu poprzedzającym, jeżeli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>środki te były celowe, chociażby okazały się bezskuteczne.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wysokość kosztów o których mowa powyżej nie może przekroczyć 10% sumy ubezpieczenia danego pojazdu. </w:t>
      </w:r>
    </w:p>
    <w:p>
      <w:pPr>
        <w:pStyle w:val="Bodytext51"/>
        <w:numPr>
          <w:ilvl w:val="3"/>
          <w:numId w:val="9"/>
        </w:numPr>
        <w:shd w:val="clear" w:color="auto" w:fill="auto"/>
        <w:spacing w:lineRule="auto" w:line="36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w przypadku szkody całkowitej, koszty parkingu pokrywane będą do dnia,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kiedy nabywca uszkodzonego pojazdu wskazany przez Ubezpieczonego bądź przez Ubezpieczyciela odbierze pojazd z parkingu, a jeżeli ubezpieczony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odstąpi od sprzedaży pozostałości, do 3 dni od daty doręczenia decyzji przez Ubezpieczyciela o wysokości odszkodowania; Jednocześnie przyjmuje się, że rozliczenie tych kosztów będzie odbywało się zgodnie z zapisami Ogólnych lub szczególnych warunków ubezpieczenia. Limit odpowiedzialności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Ubezpieczyciela dla kosztów, o których mowa w niniejszym ppkt. wynosi 5.000,00 zł (słownie: pięć tysięcy złotych zero groszy) na jedno zdarzenie i wszystkie (maksymalnie trzy) zdarzenia w 12 miesięcznym okresie </w:t>
      </w:r>
    </w:p>
    <w:p>
      <w:pPr>
        <w:pStyle w:val="Bodytext51"/>
        <w:shd w:val="clear" w:color="auto" w:fill="auto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  <w:lang w:val="pl-PL"/>
        </w:rPr>
        <w:t>rozliczeniowym;</w:t>
      </w:r>
      <w:bookmarkStart w:id="1" w:name="bookmark45"/>
    </w:p>
    <w:p>
      <w:pPr>
        <w:pStyle w:val="Bodytext51"/>
        <w:numPr>
          <w:ilvl w:val="2"/>
          <w:numId w:val="9"/>
        </w:numPr>
        <w:shd w:val="clear" w:color="auto" w:fill="auto"/>
        <w:spacing w:lineRule="auto" w:line="360"/>
        <w:rPr/>
      </w:pPr>
      <w:r>
        <w:rPr>
          <w:rStyle w:val="Bodytext5"/>
          <w:rFonts w:cs="Calibri" w:ascii="Calibri" w:hAnsi="Calibri"/>
          <w:b/>
          <w:sz w:val="26"/>
          <w:szCs w:val="26"/>
          <w:lang w:val="pl-PL"/>
        </w:rPr>
        <w:t>Franszyzy i udziały własne</w:t>
      </w:r>
      <w:bookmarkEnd w:id="1"/>
      <w:r>
        <w:rPr>
          <w:rStyle w:val="Bodytext5"/>
          <w:rFonts w:cs="Calibri" w:ascii="Calibri" w:hAnsi="Calibri"/>
          <w:b/>
          <w:sz w:val="26"/>
          <w:szCs w:val="26"/>
          <w:lang w:val="pl-PL"/>
        </w:rPr>
        <w:t>:</w:t>
      </w:r>
    </w:p>
    <w:p>
      <w:pPr>
        <w:pStyle w:val="Normal"/>
        <w:spacing w:lineRule="auto" w:line="360"/>
        <w:ind w:left="709" w:hanging="0"/>
        <w:rPr/>
      </w:pPr>
      <w:r>
        <w:rPr>
          <w:rFonts w:cs="Calibri" w:ascii="Calibri" w:hAnsi="Calibri"/>
          <w:sz w:val="26"/>
          <w:szCs w:val="26"/>
        </w:rPr>
        <w:t>Udział własny Ubezpieczonego w szkodzie i/lub franszyza redukcyjna / integralna zostały zniesione.</w:t>
      </w:r>
    </w:p>
    <w:p>
      <w:pPr>
        <w:pStyle w:val="Normal"/>
        <w:numPr>
          <w:ilvl w:val="1"/>
          <w:numId w:val="4"/>
        </w:numPr>
        <w:tabs>
          <w:tab w:val="clear" w:pos="708"/>
          <w:tab w:val="left" w:pos="720" w:leader="none"/>
        </w:tabs>
        <w:suppressAutoHyphens w:val="false"/>
        <w:overflowPunct w:val="true"/>
        <w:spacing w:lineRule="auto" w:line="360"/>
        <w:textAlignment w:val="baseline"/>
        <w:rPr/>
      </w:pPr>
      <w:r>
        <w:rPr>
          <w:rFonts w:cs="Calibri" w:ascii="Calibri" w:hAnsi="Calibri"/>
          <w:b/>
          <w:sz w:val="26"/>
          <w:szCs w:val="26"/>
        </w:rPr>
        <w:t>Ubezpieczenie NNW</w:t>
      </w:r>
    </w:p>
    <w:p>
      <w:pPr>
        <w:pStyle w:val="ListParagraph"/>
        <w:numPr>
          <w:ilvl w:val="2"/>
          <w:numId w:val="6"/>
        </w:numPr>
        <w:tabs>
          <w:tab w:val="clear" w:pos="708"/>
          <w:tab w:val="left" w:pos="720" w:leader="none"/>
        </w:tabs>
        <w:overflowPunct w:val="true"/>
        <w:spacing w:lineRule="auto" w:line="360"/>
        <w:textAlignment w:val="baseline"/>
        <w:rPr/>
      </w:pPr>
      <w:r>
        <w:rPr>
          <w:rFonts w:cs="Calibri" w:ascii="Calibri" w:hAnsi="Calibri"/>
          <w:b/>
          <w:sz w:val="26"/>
          <w:szCs w:val="26"/>
          <w:lang w:val="pl-PL"/>
        </w:rPr>
        <w:t xml:space="preserve">Przedmiot ubezpieczenia: </w:t>
      </w:r>
      <w:r>
        <w:rPr>
          <w:rFonts w:cs="Calibri" w:ascii="Calibri" w:hAnsi="Calibri"/>
          <w:sz w:val="26"/>
          <w:szCs w:val="26"/>
          <w:lang w:val="pl-PL"/>
        </w:rPr>
        <w:t xml:space="preserve">Ubezpieczenie NNW kierujących pojazdem oraz </w:t>
      </w:r>
    </w:p>
    <w:p>
      <w:pPr>
        <w:pStyle w:val="ListParagraph"/>
        <w:tabs>
          <w:tab w:val="clear" w:pos="708"/>
          <w:tab w:val="left" w:pos="720" w:leader="none"/>
        </w:tabs>
        <w:overflowPunct w:val="true"/>
        <w:spacing w:lineRule="auto" w:line="360"/>
        <w:ind w:left="709" w:hanging="0"/>
        <w:textAlignment w:val="baseline"/>
        <w:rPr/>
      </w:pPr>
      <w:r>
        <w:rPr>
          <w:rFonts w:cs="Calibri" w:ascii="Calibri" w:hAnsi="Calibri"/>
          <w:sz w:val="26"/>
          <w:szCs w:val="26"/>
          <w:lang w:val="pl-PL"/>
        </w:rPr>
        <w:t xml:space="preserve">pasażerów pojazdów. Dla pojazdów z miejscami siedzącymi zgodnie z </w:t>
      </w:r>
    </w:p>
    <w:p>
      <w:pPr>
        <w:pStyle w:val="ListParagraph"/>
        <w:tabs>
          <w:tab w:val="clear" w:pos="708"/>
          <w:tab w:val="left" w:pos="720" w:leader="none"/>
        </w:tabs>
        <w:overflowPunct w:val="true"/>
        <w:spacing w:lineRule="auto" w:line="360"/>
        <w:ind w:left="709" w:hanging="0"/>
        <w:textAlignment w:val="baseline"/>
        <w:rPr/>
      </w:pPr>
      <w:r>
        <w:rPr>
          <w:rFonts w:cs="Calibri" w:ascii="Calibri" w:hAnsi="Calibri"/>
          <w:sz w:val="26"/>
          <w:szCs w:val="26"/>
          <w:lang w:val="pl-PL"/>
        </w:rPr>
        <w:t>załącznikiem nr 6 do SWZ.</w:t>
      </w:r>
    </w:p>
    <w:p>
      <w:pPr>
        <w:pStyle w:val="ListParagraph"/>
        <w:numPr>
          <w:ilvl w:val="2"/>
          <w:numId w:val="6"/>
        </w:numPr>
        <w:tabs>
          <w:tab w:val="clear" w:pos="708"/>
          <w:tab w:val="left" w:pos="720" w:leader="none"/>
        </w:tabs>
        <w:overflowPunct w:val="true"/>
        <w:spacing w:lineRule="auto" w:line="360"/>
        <w:textAlignment w:val="baseline"/>
        <w:rPr/>
      </w:pPr>
      <w:r>
        <w:rPr>
          <w:rFonts w:cs="Calibri" w:ascii="Calibri" w:hAnsi="Calibri"/>
          <w:b/>
          <w:sz w:val="26"/>
          <w:szCs w:val="26"/>
          <w:lang w:val="pl-PL"/>
        </w:rPr>
        <w:t>Zakres ubezpieczenia:</w:t>
      </w:r>
      <w:r>
        <w:rPr>
          <w:rFonts w:cs="Calibri" w:ascii="Calibri" w:hAnsi="Calibri"/>
          <w:sz w:val="26"/>
          <w:szCs w:val="26"/>
          <w:lang w:val="pl-PL"/>
        </w:rPr>
        <w:t xml:space="preserve"> Następstwa nieszczęśliwych wypadków kierowców i </w:t>
      </w:r>
    </w:p>
    <w:p>
      <w:pPr>
        <w:pStyle w:val="ListParagraph"/>
        <w:tabs>
          <w:tab w:val="clear" w:pos="708"/>
          <w:tab w:val="left" w:pos="720" w:leader="none"/>
        </w:tabs>
        <w:overflowPunct w:val="true"/>
        <w:spacing w:lineRule="auto" w:line="360"/>
        <w:ind w:left="709" w:hanging="0"/>
        <w:textAlignment w:val="baseline"/>
        <w:rPr/>
      </w:pPr>
      <w:r>
        <w:rPr>
          <w:rFonts w:cs="Calibri" w:ascii="Calibri" w:hAnsi="Calibri"/>
          <w:sz w:val="26"/>
          <w:szCs w:val="26"/>
          <w:lang w:val="pl-PL"/>
        </w:rPr>
        <w:t>pasażerów (śmierć na skutek wypadku, uszkodzenia ciała i rozstrój zdrowia) związane z ruchem tych pojazdów.</w:t>
      </w:r>
    </w:p>
    <w:p>
      <w:pPr>
        <w:pStyle w:val="ListParagraph"/>
        <w:numPr>
          <w:ilvl w:val="2"/>
          <w:numId w:val="6"/>
        </w:numPr>
        <w:tabs>
          <w:tab w:val="clear" w:pos="708"/>
          <w:tab w:val="left" w:pos="720" w:leader="none"/>
        </w:tabs>
        <w:overflowPunct w:val="true"/>
        <w:spacing w:lineRule="auto" w:line="360"/>
        <w:ind w:left="709" w:hanging="709"/>
        <w:textAlignment w:val="baseline"/>
        <w:rPr/>
      </w:pPr>
      <w:r>
        <w:rPr>
          <w:rFonts w:cs="Calibri" w:ascii="Calibri" w:hAnsi="Calibri"/>
          <w:b/>
          <w:sz w:val="26"/>
          <w:szCs w:val="26"/>
          <w:lang w:val="pl-PL"/>
        </w:rPr>
        <w:t xml:space="preserve">Suma ubezpieczenia </w:t>
      </w:r>
      <w:r>
        <w:rPr>
          <w:rFonts w:cs="Calibri" w:ascii="Calibri" w:hAnsi="Calibri"/>
          <w:sz w:val="26"/>
          <w:szCs w:val="26"/>
          <w:lang w:val="pl-PL"/>
        </w:rPr>
        <w:t>15 000 zł za każde miejsce w pojeździe</w:t>
      </w:r>
    </w:p>
    <w:p>
      <w:pPr>
        <w:pStyle w:val="ListParagraph"/>
        <w:numPr>
          <w:ilvl w:val="2"/>
          <w:numId w:val="6"/>
        </w:numPr>
        <w:tabs>
          <w:tab w:val="clear" w:pos="708"/>
          <w:tab w:val="left" w:pos="720" w:leader="none"/>
        </w:tabs>
        <w:overflowPunct w:val="true"/>
        <w:spacing w:lineRule="auto" w:line="360"/>
        <w:ind w:left="709" w:hanging="709"/>
        <w:textAlignment w:val="baseline"/>
        <w:rPr/>
      </w:pPr>
      <w:r>
        <w:rPr>
          <w:rFonts w:cs="Calibri" w:ascii="Calibri" w:hAnsi="Calibri"/>
          <w:b/>
          <w:sz w:val="26"/>
          <w:szCs w:val="26"/>
          <w:lang w:val="pl-PL"/>
        </w:rPr>
        <w:t xml:space="preserve">Składka ubezpieczeniowa: </w:t>
      </w:r>
      <w:r>
        <w:rPr>
          <w:rFonts w:cs="Calibri" w:ascii="Calibri" w:hAnsi="Calibri"/>
          <w:sz w:val="26"/>
          <w:szCs w:val="26"/>
          <w:lang w:val="pl-PL"/>
        </w:rPr>
        <w:t xml:space="preserve">Ubezpieczyciel zobowiązany jest podać składkę </w:t>
        <w:br/>
        <w:t xml:space="preserve">w odniesieniu do poszczególnego pojazdu. </w:t>
      </w:r>
    </w:p>
    <w:p>
      <w:pPr>
        <w:pStyle w:val="ListParagraph"/>
        <w:numPr>
          <w:ilvl w:val="0"/>
          <w:numId w:val="6"/>
        </w:numPr>
        <w:spacing w:lineRule="auto" w:line="360"/>
        <w:ind w:left="709" w:hanging="709"/>
        <w:rPr/>
      </w:pPr>
      <w:r>
        <w:rPr>
          <w:rFonts w:cs="Calibri" w:ascii="Calibri" w:hAnsi="Calibri"/>
          <w:b/>
          <w:sz w:val="26"/>
          <w:szCs w:val="26"/>
          <w:lang w:val="pl-PL"/>
        </w:rPr>
        <w:t>Klauzule do wszystkich rodzajów ubezpieczeń z wyjątkiem OC (tj. do                         ubezpieczenia AC, NNW, Assistance). Klauzule dodatkowe stanowiące                              obligatoryjne, szczególne postanowienia Umowy w zakresie ochrony                    ubezpieczeniowej: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sz w:val="26"/>
          <w:szCs w:val="26"/>
        </w:rPr>
        <w:t xml:space="preserve">Klauzula szkód wyrządzonych przez osoby uprawnione do kierowania pojazdem niebędące ubezpieczającym/ ubezpieczonym: </w:t>
      </w:r>
      <w:r>
        <w:rPr>
          <w:rFonts w:cs="Calibri" w:ascii="Calibri" w:hAnsi="Calibri"/>
          <w:bCs/>
          <w:sz w:val="26"/>
          <w:szCs w:val="26"/>
        </w:rPr>
        <w:t>u</w:t>
      </w:r>
      <w:r>
        <w:rPr>
          <w:rFonts w:cs="Calibri" w:ascii="Calibri" w:hAnsi="Calibri"/>
          <w:spacing w:val="0"/>
          <w:sz w:val="26"/>
          <w:szCs w:val="26"/>
          <w:lang w:eastAsia="pl-PL"/>
        </w:rPr>
        <w:t>bezpieczyciel nie może odmówić ani ograniczyć wypłaty odszkodowania w przypadku wyrządzenia szkody przez osobę uprawnioną do kierowania pojazdem nie będącą Ubezpieczającym/ Ubezpieczonym z winy tej osoby.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sz w:val="26"/>
          <w:szCs w:val="26"/>
        </w:rPr>
        <w:t xml:space="preserve">Klauzula związku przyczynowego pomiędzy szkodą, a przekroczeniem prędkości lub naruszeniem innych przepisów ruchu drogowego: </w:t>
      </w:r>
      <w:r>
        <w:rPr>
          <w:rFonts w:cs="Calibri" w:ascii="Calibri" w:hAnsi="Calibri"/>
          <w:bCs/>
          <w:sz w:val="26"/>
          <w:szCs w:val="26"/>
        </w:rPr>
        <w:t>ub</w:t>
      </w:r>
      <w:r>
        <w:rPr>
          <w:rFonts w:cs="Calibri" w:ascii="Calibri" w:hAnsi="Calibri"/>
          <w:sz w:val="26"/>
          <w:szCs w:val="26"/>
        </w:rPr>
        <w:t xml:space="preserve">ezpieczyciel nie może odmówić ani ograniczyć wypłaty odszkodowania w przypadku wyrządzenia szkody przez Ubezpieczającego/ Ubezpieczonego lub osobę trzecią, w tym uprawnioną do kierowania pojazdem, w sytuacji kiedy </w:t>
      </w:r>
      <w:r>
        <w:rPr>
          <w:rFonts w:cs="Calibri" w:ascii="Calibri" w:hAnsi="Calibri"/>
          <w:bCs/>
          <w:sz w:val="26"/>
          <w:szCs w:val="26"/>
        </w:rPr>
        <w:t>kierujący nie dostosował się do przepisów prawa o ruchu drogowym, w tym przekroczył dopuszczalną prędkość.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sz w:val="26"/>
          <w:szCs w:val="26"/>
        </w:rPr>
        <w:t xml:space="preserve">Klauzula okolicznościowa: </w:t>
      </w:r>
      <w:r>
        <w:rPr>
          <w:rFonts w:cs="Calibri" w:ascii="Calibri" w:hAnsi="Calibri"/>
          <w:sz w:val="26"/>
          <w:szCs w:val="26"/>
        </w:rPr>
        <w:t xml:space="preserve">ubezpieczyciel zobowiązany jest prowadzić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postępowanie zmierzające do wyjaśnienia okoliczności związanych ze szkodą (np. ustalenia przebiegu zdarzenia, ustalenia osoby sprawcy) i wypłacić należne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>odszkodowanie zgodnie z ogólnie przyjętymi zasadami, bez konieczności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eastAsia="Calibri" w:cs="Calibri" w:ascii="Calibri" w:hAnsi="Calibri"/>
          <w:sz w:val="26"/>
          <w:szCs w:val="26"/>
        </w:rPr>
        <w:t xml:space="preserve"> </w:t>
      </w:r>
      <w:r>
        <w:rPr>
          <w:rFonts w:cs="Calibri" w:ascii="Calibri" w:hAnsi="Calibri"/>
          <w:sz w:val="26"/>
          <w:szCs w:val="26"/>
        </w:rPr>
        <w:t xml:space="preserve">oczekiwania na orzeczenie lub inne rozstrzygnięcie prawomocnie kończące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>postępowanie w sprawie dotyczącej szkody.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sz w:val="26"/>
          <w:szCs w:val="26"/>
        </w:rPr>
        <w:t>Klauzula akceptacji dokumentów szkodowych potwierdzonych za zgodność z oryginałem:</w:t>
      </w:r>
      <w:r>
        <w:rPr>
          <w:rFonts w:cs="Calibri" w:ascii="Calibri" w:hAnsi="Calibri"/>
          <w:bCs/>
          <w:sz w:val="26"/>
          <w:szCs w:val="26"/>
        </w:rPr>
        <w:t xml:space="preserve"> </w:t>
        <w:br/>
        <w:t xml:space="preserve">w przypadku powstania szkody, Ubezpieczyciel nie będzie żądał przedstawienia oryginałów dokumentów takich jak, np. prawo jazdy, dowód rejestracyjny, karta pojazdu oraz uznaje za wystarczające kopie dokumentów potwierdzone za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zgodność z oryginałem przez Ubezpieczającego/ Ubezpieczonego lub przez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>brokera.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sz w:val="26"/>
          <w:szCs w:val="26"/>
        </w:rPr>
        <w:t xml:space="preserve">Klauzula zniesienia zasady wyczerpywania się sumy ubezpieczenia: </w:t>
      </w:r>
      <w:r>
        <w:rPr>
          <w:rFonts w:cs="Calibri" w:ascii="Calibri" w:hAnsi="Calibri"/>
          <w:bCs/>
          <w:sz w:val="26"/>
          <w:szCs w:val="26"/>
        </w:rPr>
        <w:t>w</w:t>
      </w:r>
      <w:r>
        <w:rPr>
          <w:rFonts w:cs="Calibri" w:ascii="Calibri" w:hAnsi="Calibri"/>
          <w:sz w:val="26"/>
          <w:szCs w:val="26"/>
        </w:rPr>
        <w:t xml:space="preserve">ypłata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odszkodowania nie powoduje zmniejszenia sumy ubezpieczenia ustalonej w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umowie ubezpieczenia o wypłaconą kwotę w okresie ubezpieczenia i nie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>powoduje konieczności uzupełnienia sumy ubezpieczenia.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bCs/>
          <w:sz w:val="26"/>
          <w:szCs w:val="26"/>
        </w:rPr>
        <w:t xml:space="preserve">Klauzula oględzin: </w:t>
      </w:r>
      <w:r>
        <w:rPr>
          <w:rFonts w:cs="Calibri" w:ascii="Calibri" w:hAnsi="Calibri"/>
          <w:bCs/>
          <w:sz w:val="26"/>
          <w:szCs w:val="26"/>
        </w:rPr>
        <w:t>u</w:t>
      </w:r>
      <w:r>
        <w:rPr>
          <w:rFonts w:cs="Calibri" w:ascii="Calibri" w:hAnsi="Calibri"/>
          <w:sz w:val="26"/>
          <w:szCs w:val="26"/>
        </w:rPr>
        <w:t xml:space="preserve">bezpieczyciel zobowiązany jest do dokonania oględzin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przedmiotu szkody niezwłocznie, nie później jednak niż w ciągu trzech dni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roboczych od momentu powzięcia wiadomości o szkodzie. Po upływie powyższego terminu Ubezpieczyciel nie może powoływać się na fakt braku pozostawienia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>uszkodzonego pojazdu bez zmiany.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sz w:val="26"/>
          <w:szCs w:val="26"/>
        </w:rPr>
        <w:t>Klauzula terminu zgłoszenia szkody:</w:t>
      </w:r>
      <w:r>
        <w:rPr>
          <w:rFonts w:cs="Calibri" w:ascii="Calibri" w:hAnsi="Calibri"/>
          <w:sz w:val="26"/>
          <w:szCs w:val="26"/>
        </w:rPr>
        <w:t xml:space="preserve"> termin zgłoszenia wypadku wynosi 7 dni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>roboczych, licząc od dnia następującego po dniu,  w którym Ubezpieczający/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Ubezpieczony dowiedział się o wystąpieniu szkody objętej ubezpieczeniem lub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zgłoszeniu roszczenia objętego ubezpieczeniem, chyba że Ogólne Warunki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Ubezpieczenia lub umowa ubezpieczenia przewidują dłuższy termin. </w:t>
      </w:r>
      <w:r>
        <w:rPr>
          <w:rFonts w:cs="Calibri" w:ascii="Calibri" w:hAnsi="Calibri"/>
          <w:bCs/>
          <w:sz w:val="26"/>
          <w:szCs w:val="26"/>
        </w:rPr>
        <w:t xml:space="preserve">Dopuszcza się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>zawiadomienie o szkodzie za pośrednictwem faksu lub poczty elektronicznej.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sz w:val="26"/>
          <w:szCs w:val="26"/>
        </w:rPr>
        <w:t>Klauzula Leeway:</w:t>
      </w:r>
      <w:r>
        <w:rPr>
          <w:rFonts w:cs="Calibri" w:ascii="Calibri" w:hAnsi="Calibri"/>
          <w:sz w:val="26"/>
          <w:szCs w:val="26"/>
        </w:rPr>
        <w:t xml:space="preserve"> zasada proporcji ma zastosowanie jedynie w przypadku, gdy wartość ubezpieczonego pojazdu z dnia szkody będzie przekraczać 120 % sumy ubezpieczenia określonej w umowie ubezpieczenia.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sz w:val="26"/>
          <w:szCs w:val="26"/>
        </w:rPr>
        <w:t xml:space="preserve">Klauzula pokrycia kosztów wymiany urządzeń przy utracie lub zniszczeniu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/>
          <w:sz w:val="26"/>
          <w:szCs w:val="26"/>
        </w:rPr>
        <w:t>kluczyków:</w:t>
      </w:r>
      <w:r>
        <w:rPr>
          <w:rFonts w:cs="Calibri" w:ascii="Calibri" w:hAnsi="Calibri"/>
          <w:bCs/>
          <w:sz w:val="26"/>
          <w:szCs w:val="26"/>
        </w:rPr>
        <w:t xml:space="preserve"> </w:t>
        <w:br/>
        <w:t xml:space="preserve">w przypadku utraty lub zniszczenia kluczyków (lub innego urządzenia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przewidzianego przez producenta pojazdu umożliwiającego uruchomienie silnika lub odblokowanie zabezpieczeń przeciwkradzieżowych), Ubezpieczyciel pokryje na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podstawie umowy ubezpieczenia AC koszty wymiany zamków drzwi, wyłącznika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zapłonu i sterowników urządzeń zabezpieczających pojazd przed kradzieżą. Utrata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kluczyków (bądź innego ww. urządzenia) objęta jest ochroną ubezpieczeniową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jeżeli nastąpiła wskutek kradzieży z włamaniem lub rabunku. Ubezpieczający jest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>zobowiązany zgłosić kradzież kluczy (bądź innego ww. urządzenia) na Policję.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bCs/>
          <w:sz w:val="26"/>
          <w:szCs w:val="26"/>
        </w:rPr>
        <w:t xml:space="preserve">Klauzula refundacji kosztów parkowania w przypadku zaistnienia szkody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/>
          <w:bCs/>
          <w:sz w:val="26"/>
          <w:szCs w:val="26"/>
        </w:rPr>
        <w:t>całkowitej:</w:t>
      </w:r>
      <w:r>
        <w:rPr>
          <w:rFonts w:cs="Calibri" w:ascii="Calibri" w:hAnsi="Calibri"/>
          <w:bCs/>
          <w:sz w:val="26"/>
          <w:szCs w:val="26"/>
        </w:rPr>
        <w:t xml:space="preserve"> </w:t>
        <w:br/>
        <w:t xml:space="preserve">w przypadku, gdy naprawa pojazdu jest ekonomicznie nieuzasadniona,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>Ubezpieczyciel pokrywa koszty parkowania i zabezpieczenia pojazdu po szkodzie, od dnia wystąpienia szkody do dnia oględzin.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bCs/>
          <w:sz w:val="26"/>
          <w:szCs w:val="26"/>
        </w:rPr>
        <w:t xml:space="preserve">Klauzula akceptacji zabezpieczeń przeciwkradzieżowych: </w:t>
      </w:r>
      <w:r>
        <w:rPr>
          <w:rFonts w:cs="Calibri" w:ascii="Calibri" w:hAnsi="Calibri"/>
          <w:bCs/>
          <w:sz w:val="26"/>
          <w:szCs w:val="26"/>
        </w:rPr>
        <w:t>u</w:t>
      </w:r>
      <w:r>
        <w:rPr>
          <w:rFonts w:cs="Calibri" w:ascii="Calibri" w:hAnsi="Calibri"/>
          <w:sz w:val="26"/>
          <w:szCs w:val="26"/>
        </w:rPr>
        <w:t xml:space="preserve">bezpieczyciel uznaje istniejące w chwili zawarcia umowy ubezpieczenia zabezpieczenia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>przeciwkradzieżowe za wystarczające do wypłaty odszkodowania, o ile został o nich poinformowany najpóźniej w dniu zawarcia umowy dla danego pojazdu.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bCs/>
          <w:sz w:val="26"/>
          <w:szCs w:val="26"/>
        </w:rPr>
        <w:t>Klauzula dokumentacji fotograficznej:</w:t>
      </w:r>
      <w:r>
        <w:rPr>
          <w:rFonts w:cs="Calibri" w:ascii="Calibri" w:hAnsi="Calibri"/>
          <w:sz w:val="26"/>
          <w:szCs w:val="26"/>
        </w:rPr>
        <w:t xml:space="preserve"> ubezpieczyciel odstępuje od wymogu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wykonywania dokumentacji fotograficznej ubezpieczanych pojazdów fabrycznie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>nowych.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bCs/>
          <w:sz w:val="26"/>
          <w:szCs w:val="26"/>
        </w:rPr>
        <w:t xml:space="preserve">Klauzula podatku VAT </w:t>
      </w:r>
      <w:r>
        <w:rPr>
          <w:rFonts w:cs="Calibri" w:ascii="Calibri" w:hAnsi="Calibri"/>
          <w:bCs/>
          <w:sz w:val="26"/>
          <w:szCs w:val="26"/>
        </w:rPr>
        <w:t>- odszkodowanie będzie wypłacane łącznie z podatkiem od towarów i usług (VAT), jeśli Ubezpieczony/ Ubezpieczający nie może tego podatku odliczyć. Rozstrzygającym w tym zakresie będzie pisemne oświadczenie złożone przez Sąd Powszechny lub Jednostkę Organizacyjną Prokuratury.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sz w:val="26"/>
          <w:szCs w:val="26"/>
        </w:rPr>
        <w:t>Klauzula poddzierżawy pojazdu:</w:t>
      </w:r>
      <w:r>
        <w:rPr>
          <w:rFonts w:cs="Calibri" w:ascii="Calibri" w:hAnsi="Calibri"/>
          <w:sz w:val="26"/>
          <w:szCs w:val="26"/>
        </w:rPr>
        <w:t xml:space="preserve"> nie ma znaczenia dla zakresu i warunków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ubezpieczenia wynikających z niniejszej umowy ubezpieczenia fakt, że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Ubezpieczający/ Ubezpieczony oddał  osobie trzeciej (operatorowi) ubezpieczony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>pojazd w posiadanie, użytkowanie, najem, dzierżawę lub w użyczenie.</w:t>
      </w:r>
    </w:p>
    <w:p>
      <w:pPr>
        <w:pStyle w:val="Tretekstu"/>
        <w:numPr>
          <w:ilvl w:val="0"/>
          <w:numId w:val="10"/>
        </w:numPr>
        <w:suppressAutoHyphens w:val="false"/>
        <w:spacing w:lineRule="auto" w:line="360" w:before="0" w:after="0"/>
        <w:ind w:left="709" w:hanging="709"/>
        <w:rPr/>
      </w:pPr>
      <w:r>
        <w:rPr>
          <w:rFonts w:cs="Calibri" w:ascii="Calibri" w:hAnsi="Calibri"/>
          <w:b/>
          <w:sz w:val="26"/>
          <w:szCs w:val="26"/>
        </w:rPr>
        <w:t xml:space="preserve">Klauzule Dodatkowe fakultatywne – mające zastosowanie do Umowy w </w:t>
      </w:r>
    </w:p>
    <w:p>
      <w:pPr>
        <w:pStyle w:val="Tretekstu"/>
        <w:suppressAutoHyphens w:val="false"/>
        <w:spacing w:lineRule="auto" w:line="360" w:before="0" w:after="0"/>
        <w:ind w:left="709" w:hanging="0"/>
        <w:rPr/>
      </w:pPr>
      <w:r>
        <w:rPr>
          <w:rFonts w:cs="Calibri" w:ascii="Calibri" w:hAnsi="Calibri"/>
          <w:b/>
          <w:sz w:val="26"/>
          <w:szCs w:val="26"/>
        </w:rPr>
        <w:t xml:space="preserve">przypadku ich zaakceptowania przez Wykonawcę w Formularzu Oferty </w:t>
      </w:r>
    </w:p>
    <w:p>
      <w:pPr>
        <w:pStyle w:val="Tretekstu"/>
        <w:suppressAutoHyphens w:val="false"/>
        <w:spacing w:lineRule="auto" w:line="360" w:before="0" w:after="0"/>
        <w:ind w:left="709" w:hanging="0"/>
        <w:rPr/>
      </w:pPr>
      <w:r>
        <w:rPr>
          <w:rFonts w:cs="Calibri" w:ascii="Calibri" w:hAnsi="Calibri"/>
          <w:b/>
          <w:sz w:val="26"/>
          <w:szCs w:val="26"/>
        </w:rPr>
        <w:t xml:space="preserve">stanowiącym Załącznik nr 1 do SWZ. Akceptacja lub brak akceptacji Klauzul </w:t>
      </w:r>
    </w:p>
    <w:p>
      <w:pPr>
        <w:pStyle w:val="Tretekstu"/>
        <w:suppressAutoHyphens w:val="false"/>
        <w:spacing w:lineRule="auto" w:line="360" w:before="0" w:after="0"/>
        <w:ind w:left="709" w:hanging="0"/>
        <w:rPr/>
      </w:pPr>
      <w:r>
        <w:rPr>
          <w:rFonts w:cs="Calibri" w:ascii="Calibri" w:hAnsi="Calibri"/>
          <w:b/>
          <w:sz w:val="26"/>
          <w:szCs w:val="26"/>
        </w:rPr>
        <w:t xml:space="preserve">Dodatkowych fakultatywnych wskazanych w niniejszej Sekcji będzie </w:t>
      </w:r>
    </w:p>
    <w:p>
      <w:pPr>
        <w:pStyle w:val="Tretekstu"/>
        <w:suppressAutoHyphens w:val="false"/>
        <w:spacing w:lineRule="auto" w:line="360" w:before="0" w:after="0"/>
        <w:ind w:left="709" w:hanging="0"/>
        <w:rPr/>
      </w:pPr>
      <w:r>
        <w:rPr>
          <w:rFonts w:cs="Calibri" w:ascii="Calibri" w:hAnsi="Calibri"/>
          <w:b/>
          <w:sz w:val="26"/>
          <w:szCs w:val="26"/>
        </w:rPr>
        <w:t xml:space="preserve">oceniana przez Zamawiającego i punktowana jako kryteria oceny ofert </w:t>
      </w:r>
    </w:p>
    <w:p>
      <w:pPr>
        <w:pStyle w:val="Tretekstu"/>
        <w:suppressAutoHyphens w:val="false"/>
        <w:spacing w:lineRule="auto" w:line="360" w:before="0" w:after="0"/>
        <w:ind w:left="709" w:hanging="0"/>
        <w:rPr/>
      </w:pPr>
      <w:r>
        <w:rPr>
          <w:rFonts w:cs="Calibri" w:ascii="Calibri" w:hAnsi="Calibri"/>
          <w:b/>
          <w:sz w:val="26"/>
          <w:szCs w:val="26"/>
        </w:rPr>
        <w:t>zgodnie z postanowieniami SWZ.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bCs/>
          <w:sz w:val="26"/>
          <w:szCs w:val="26"/>
        </w:rPr>
        <w:t>Klauzula stałej sumy ubezpieczenia pojazdów nowych:</w:t>
      </w:r>
      <w:r>
        <w:rPr>
          <w:rFonts w:cs="Calibri" w:ascii="Calibri" w:hAnsi="Calibri"/>
          <w:sz w:val="26"/>
          <w:szCs w:val="26"/>
        </w:rPr>
        <w:t xml:space="preserve"> strony ustalają, że suma ubezpieczenia pojazdu nabytego w autoryzowanym punkcie sprzedaży jako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fabrycznie nowego i którego okres eksploatacji nie przekroczył 12 miesięcy  w chwili zawarcia umowy ubezpieczenia, przyjęta w wysokości równej wartości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>fakturowej pojazdu w dniu nabycia, będzie niezmienna w okresie ubezpieczenia.</w:t>
      </w:r>
    </w:p>
    <w:p>
      <w:pPr>
        <w:pStyle w:val="Tekstpodstawowywcity22"/>
        <w:numPr>
          <w:ilvl w:val="1"/>
          <w:numId w:val="10"/>
        </w:numPr>
        <w:spacing w:lineRule="auto" w:line="360" w:before="0" w:after="0"/>
        <w:ind w:left="709" w:hanging="709"/>
        <w:rPr/>
      </w:pPr>
      <w:r>
        <w:rPr>
          <w:rFonts w:cs="Calibri" w:ascii="Calibri" w:hAnsi="Calibri"/>
          <w:b/>
          <w:sz w:val="26"/>
          <w:szCs w:val="26"/>
          <w:lang w:val="pl-PL"/>
        </w:rPr>
        <w:t xml:space="preserve">Klauzula limitu holowania: </w:t>
      </w:r>
      <w:r>
        <w:rPr>
          <w:rFonts w:cs="Calibri" w:ascii="Calibri" w:hAnsi="Calibri"/>
          <w:sz w:val="26"/>
          <w:szCs w:val="26"/>
          <w:lang w:val="pl-PL"/>
        </w:rPr>
        <w:t xml:space="preserve">wprowadza się dodatkowy </w:t>
      </w:r>
      <w:r>
        <w:rPr>
          <w:rFonts w:cs="Calibri" w:ascii="Calibri" w:hAnsi="Calibri"/>
          <w:b/>
          <w:sz w:val="26"/>
          <w:szCs w:val="26"/>
          <w:lang w:val="pl-PL"/>
        </w:rPr>
        <w:t>limit w wysokości 5.000,00 zł</w:t>
      </w:r>
      <w:r>
        <w:rPr>
          <w:rFonts w:cs="Calibri" w:ascii="Calibri" w:hAnsi="Calibri"/>
          <w:sz w:val="26"/>
          <w:szCs w:val="26"/>
          <w:lang w:val="pl-PL"/>
        </w:rPr>
        <w:t xml:space="preserve"> (słownie: pięć tysięcy złotych zero groszy) łącznie na holowanie pojazdów po awarii na terenie Polski, dla nie więcej, niż 5 zdarzeń w okresie 12 miesięcy; Holowanie </w:t>
      </w:r>
      <w:r>
        <w:rPr>
          <w:rFonts w:cs="Calibri" w:ascii="Calibri" w:hAnsi="Calibri"/>
          <w:b/>
          <w:sz w:val="26"/>
          <w:szCs w:val="26"/>
          <w:lang w:val="pl-PL"/>
        </w:rPr>
        <w:t>organizuje ubezpieczony we własnym zakresie</w:t>
      </w:r>
      <w:r>
        <w:rPr>
          <w:rFonts w:cs="Calibri" w:ascii="Calibri" w:hAnsi="Calibri"/>
          <w:sz w:val="26"/>
          <w:szCs w:val="26"/>
          <w:lang w:val="pl-PL"/>
        </w:rPr>
        <w:t xml:space="preserve">; ubezpieczony organizuje holowanie uszkodzonego pojazdu do lokalizacji - warsztatu naprawczego lub siedziby danego ubezpieczonego. 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sz w:val="26"/>
          <w:szCs w:val="26"/>
        </w:rPr>
        <w:t>Klauzula szkód wyrządzonych przez ładunek:</w:t>
      </w:r>
      <w:r>
        <w:rPr>
          <w:rFonts w:eastAsia="TTE49427D8t00" w:cs="Calibri" w:ascii="Calibri" w:hAnsi="Calibri"/>
          <w:sz w:val="26"/>
          <w:szCs w:val="26"/>
        </w:rPr>
        <w:t xml:space="preserve"> ubezpieczyciel rozszerza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eastAsia="TTE49427D8t00" w:cs="Calibri" w:ascii="Calibri" w:hAnsi="Calibri"/>
          <w:sz w:val="26"/>
          <w:szCs w:val="26"/>
        </w:rPr>
        <w:t xml:space="preserve">odpowiedzialność w zakresie AC o szkody spowodowane przez załadowany i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eastAsia="TTE49427D8t00" w:cs="Calibri" w:ascii="Calibri" w:hAnsi="Calibri"/>
          <w:sz w:val="26"/>
          <w:szCs w:val="26"/>
        </w:rPr>
        <w:t>przewożony ładunek/bagaż. Ubezpieczyciel</w:t>
      </w:r>
      <w:r>
        <w:rPr>
          <w:rFonts w:cs="Calibri" w:ascii="Calibri" w:hAnsi="Calibri"/>
          <w:sz w:val="26"/>
          <w:szCs w:val="26"/>
        </w:rPr>
        <w:t xml:space="preserve"> odpowiada za szkody spowodowane przez przewożony i prawidłowo zamocowany ładunek/</w:t>
      </w:r>
      <w:r>
        <w:rPr>
          <w:rFonts w:eastAsia="TTE49427D8t00" w:cs="Calibri" w:ascii="Calibri" w:hAnsi="Calibri"/>
          <w:sz w:val="26"/>
          <w:szCs w:val="26"/>
        </w:rPr>
        <w:t>bagaż</w:t>
      </w:r>
      <w:r>
        <w:rPr>
          <w:rFonts w:cs="Calibri" w:ascii="Calibri" w:hAnsi="Calibri"/>
          <w:sz w:val="26"/>
          <w:szCs w:val="26"/>
        </w:rPr>
        <w:t xml:space="preserve">, które powstaną w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pojeździe w związku z wypadkiem lub  wskutek zadziałania sił fizycznych,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>mechanicznych lub innych sił przyrody.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bCs/>
          <w:sz w:val="26"/>
          <w:szCs w:val="26"/>
        </w:rPr>
        <w:t>Klauzula pokrycia szkód powstałych w bagażu:</w:t>
      </w:r>
      <w:r>
        <w:rPr>
          <w:rFonts w:cs="Calibri" w:ascii="Calibri" w:hAnsi="Calibri"/>
          <w:sz w:val="26"/>
          <w:szCs w:val="26"/>
        </w:rPr>
        <w:t xml:space="preserve"> w przypadku wypadku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ubezpieczeniowego objętego zakresem umowy ubezpieczenia AC, Ubezpieczyciel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pokryje także koszty wynikłe ze szkód w bagażu (rzeczach osobistych) kierowcy i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pasażerów ubezpieczonego pojazdu. Limit odpowiedzialności Ubezpieczyciela w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>wysokości 5 000 zł na jedno i wszystkie zdarzenia w okresie ubezpieczenia.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bCs/>
          <w:color w:val="000000"/>
          <w:sz w:val="26"/>
          <w:szCs w:val="26"/>
        </w:rPr>
        <w:t xml:space="preserve">Klauzula uszkodzenie silnika, zassanie wody: </w:t>
      </w:r>
      <w:r>
        <w:rPr>
          <w:rFonts w:cs="Calibri" w:ascii="Calibri" w:hAnsi="Calibri"/>
          <w:color w:val="000000"/>
          <w:sz w:val="26"/>
          <w:szCs w:val="26"/>
        </w:rPr>
        <w:t>Ubezpieczyciel odpowiada za szkody Auto Casco polegające na uszkodzeniu silnika wskutek zassania wody podczas jego pracy lub próby uruchomienia silnika w warunkach stwarzających takie zagrożenie. Ubezpieczyciel odpowiada za 2 zdarzenia, o których mowa w niniejszej klauzuli w 12 miesięcznym okresie rozliczeniowym.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bCs/>
          <w:color w:val="000000"/>
          <w:sz w:val="26"/>
          <w:szCs w:val="26"/>
        </w:rPr>
        <w:t>Klauzula o</w:t>
      </w:r>
      <w:r>
        <w:rPr>
          <w:rFonts w:cs="Calibri" w:ascii="Calibri" w:hAnsi="Calibri"/>
          <w:b/>
          <w:sz w:val="26"/>
          <w:szCs w:val="26"/>
        </w:rPr>
        <w:t>bjęcia ochroną szkód spowodowanych stanem nawierzchni:</w:t>
      </w:r>
      <w:r>
        <w:rPr>
          <w:rFonts w:cs="Calibri" w:ascii="Calibri" w:hAnsi="Calibri"/>
          <w:sz w:val="26"/>
          <w:szCs w:val="26"/>
        </w:rPr>
        <w:t xml:space="preserve">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 xml:space="preserve">Ubezpieczyciel odpowiada za szkody powstałe w układzie zawieszenia i układzie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sz w:val="26"/>
          <w:szCs w:val="26"/>
        </w:rPr>
        <w:t>jezdnym pojazdu  wskutek wjechania przez pojazd w nierówności na drodze (tzw. “dziura”).</w:t>
      </w:r>
    </w:p>
    <w:p>
      <w:pPr>
        <w:pStyle w:val="Adresodbiorcy"/>
        <w:numPr>
          <w:ilvl w:val="1"/>
          <w:numId w:val="10"/>
        </w:numPr>
        <w:spacing w:lineRule="auto" w:line="360" w:before="0" w:after="0"/>
        <w:ind w:left="709" w:hanging="709"/>
        <w:jc w:val="left"/>
        <w:rPr/>
      </w:pPr>
      <w:r>
        <w:rPr>
          <w:rFonts w:cs="Calibri" w:ascii="Calibri" w:hAnsi="Calibri"/>
          <w:b/>
          <w:bCs/>
          <w:sz w:val="26"/>
          <w:szCs w:val="26"/>
        </w:rPr>
        <w:t>Klauzula pomocy przy zagospodarowaniu pozostałości przy szkodzie całkowitej:</w:t>
      </w:r>
      <w:r>
        <w:rPr>
          <w:rFonts w:cs="Calibri" w:ascii="Calibri" w:hAnsi="Calibri"/>
          <w:bCs/>
          <w:sz w:val="26"/>
          <w:szCs w:val="26"/>
        </w:rPr>
        <w:t xml:space="preserve"> ubezpieczyciel, na wniosek Ubezpieczającego/Ubezpieczonego, zobowiązuje się do udzielenia wszelkiej możliwej pomocy przy zagospodarowaniu i późniejszym zbyciu pozostałości pojazdu po szkodzie uznanej za całkowitą, a w szczególności do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znalezienia nabywcy pojazdu w stanie uszkodzonym. Jednocześnie Ubezpieczyciel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zobowiązuje się do pokrycia różnicy pomiędzy oszacowaną wartością pozostałości, a ceną uzyskaną ze sprzedaży, do której doszło w wykonaniu obowiązku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przewidzianego w zdaniu poprzednim. W przypadku braku nabywcy na pojazd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uszkodzony, Ubezpieczyciel wypłaci całą sumę odszkodowania po dokonaniu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złomowania pojazdu. W przypadku rezygnacji Ubezpieczonego z oferty nabycia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pozostałości przez wskazany podmiot, Ubezpieczyciel określa odszkodowanie w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kwocie odpowiadającej wartości pojazdu w dniu ustalenia odszkodowania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 xml:space="preserve">pomniejszone o wartość pozostałości powypadkowych ustalone na podstawie </w:t>
      </w:r>
    </w:p>
    <w:p>
      <w:pPr>
        <w:pStyle w:val="Adresodbiorcy"/>
        <w:spacing w:lineRule="auto" w:line="360" w:before="0" w:after="0"/>
        <w:ind w:left="709" w:hanging="0"/>
        <w:jc w:val="left"/>
        <w:rPr/>
      </w:pPr>
      <w:r>
        <w:rPr>
          <w:rFonts w:cs="Calibri" w:ascii="Calibri" w:hAnsi="Calibri"/>
          <w:bCs/>
          <w:sz w:val="26"/>
          <w:szCs w:val="26"/>
        </w:rPr>
        <w:t>systemów eksperckich.</w:t>
      </w:r>
    </w:p>
    <w:p>
      <w:pPr>
        <w:pStyle w:val="Normal"/>
        <w:numPr>
          <w:ilvl w:val="0"/>
          <w:numId w:val="10"/>
        </w:numPr>
        <w:spacing w:lineRule="auto" w:line="360"/>
        <w:ind w:left="709" w:hanging="720"/>
        <w:rPr/>
      </w:pPr>
      <w:r>
        <w:rPr>
          <w:rFonts w:cs="Calibri" w:ascii="Calibri" w:hAnsi="Calibri"/>
          <w:b/>
          <w:sz w:val="26"/>
          <w:szCs w:val="26"/>
        </w:rPr>
        <w:t>Wykaz pojazdów stanowi załącznik nr 4 do SWZ.</w:t>
      </w:r>
    </w:p>
    <w:p>
      <w:pPr>
        <w:pStyle w:val="Normal"/>
        <w:numPr>
          <w:ilvl w:val="0"/>
          <w:numId w:val="10"/>
        </w:numPr>
        <w:spacing w:lineRule="auto" w:line="360"/>
        <w:ind w:left="709" w:hanging="720"/>
        <w:rPr/>
      </w:pPr>
      <w:r>
        <w:rPr>
          <w:rFonts w:cs="Calibri" w:ascii="Calibri" w:hAnsi="Calibri"/>
          <w:b/>
          <w:sz w:val="26"/>
          <w:szCs w:val="26"/>
        </w:rPr>
        <w:t xml:space="preserve">Informacja dodatkowa! </w:t>
      </w:r>
    </w:p>
    <w:p>
      <w:pPr>
        <w:pStyle w:val="Normal"/>
        <w:numPr>
          <w:ilvl w:val="1"/>
          <w:numId w:val="10"/>
        </w:numPr>
        <w:spacing w:lineRule="auto" w:line="360"/>
        <w:ind w:left="709" w:hanging="709"/>
        <w:rPr/>
      </w:pPr>
      <w:r>
        <w:rPr>
          <w:rFonts w:cs="Calibri" w:ascii="Calibri" w:hAnsi="Calibri"/>
          <w:sz w:val="26"/>
          <w:szCs w:val="26"/>
        </w:rPr>
        <w:t>Autobusy są własnością Gminy Andrychów.</w:t>
      </w:r>
    </w:p>
    <w:p>
      <w:pPr>
        <w:pStyle w:val="Normal"/>
        <w:numPr>
          <w:ilvl w:val="1"/>
          <w:numId w:val="10"/>
        </w:numPr>
        <w:spacing w:lineRule="auto" w:line="360"/>
        <w:ind w:left="709" w:hanging="709"/>
        <w:rPr/>
      </w:pPr>
      <w:r>
        <w:rPr>
          <w:rFonts w:cs="Calibri" w:ascii="Calibri" w:hAnsi="Calibri"/>
          <w:sz w:val="26"/>
          <w:szCs w:val="26"/>
        </w:rPr>
        <w:t>Pojazdy są  wykorzystywane do obsługi linii komunikacji miejskiej na terenie Gminy Andrychów.</w:t>
      </w:r>
    </w:p>
    <w:p>
      <w:pPr>
        <w:pStyle w:val="Normal"/>
        <w:widowControl w:val="false"/>
        <w:tabs>
          <w:tab w:val="clear" w:pos="708"/>
          <w:tab w:val="left" w:pos="220" w:leader="none"/>
          <w:tab w:val="left" w:pos="284" w:leader="none"/>
        </w:tabs>
        <w:suppressAutoHyphens w:val="false"/>
        <w:spacing w:lineRule="auto" w:line="360" w:before="0" w:after="320"/>
        <w:rPr/>
      </w:pPr>
      <w:r>
        <w:rPr/>
      </w:r>
    </w:p>
    <w:sectPr>
      <w:footerReference w:type="default" r:id="rId2"/>
      <w:type w:val="nextPage"/>
      <w:pgSz w:w="11906" w:h="16838"/>
      <w:pgMar w:left="1418" w:right="1418" w:gutter="0" w:header="0" w:top="1418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Garamond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  <w:font w:name="Wingdings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Lucida Sans Unicode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">
    <w:altName w:val="Times New Roman"/>
    <w:charset w:val="ee"/>
    <w:family w:val="roman"/>
    <w:pitch w:val="variable"/>
  </w:font>
  <w:font w:name="Arial Narrow">
    <w:charset w:val="ee"/>
    <w:family w:val="roman"/>
    <w:pitch w:val="variable"/>
  </w:font>
  <w:font w:name="Myriad Pro Light">
    <w:charset w:val="ee"/>
    <w:family w:val="roman"/>
    <w:pitch w:val="variable"/>
  </w:font>
  <w:font w:name="Cambria">
    <w:charset w:val="ee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ind w:right="360" w:hanging="0"/>
      <w:rPr>
        <w:lang w:val="en-US" w:eastAsia="pl-PL"/>
      </w:rPr>
    </w:pPr>
    <w:r>
      <w:rPr>
        <w:lang w:val="en-US" w:eastAsia="pl-PL"/>
      </w:rPr>
      <mc:AlternateContent>
        <mc:Choice Requires="wps">
          <w:drawing>
            <wp:anchor behindDoc="1" distT="635" distB="0" distL="1270" distR="1270" simplePos="0" locked="0" layoutInCell="0" allowOverlap="1" relativeHeight="24" wp14:anchorId="1B586063">
              <wp:simplePos x="0" y="0"/>
              <wp:positionH relativeFrom="page">
                <wp:posOffset>6507480</wp:posOffset>
              </wp:positionH>
              <wp:positionV relativeFrom="paragraph">
                <wp:posOffset>635</wp:posOffset>
              </wp:positionV>
              <wp:extent cx="377825" cy="171450"/>
              <wp:effectExtent l="635" t="0" r="0" b="0"/>
              <wp:wrapSquare wrapText="largest"/>
              <wp:docPr id="1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78000" cy="171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/>
                          </w:pPr>
                          <w:r>
                            <w:rPr>
                              <w:rStyle w:val="Pagenumber"/>
                            </w:rPr>
                            <w:t xml:space="preserve">     </w:t>
                          </w: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3240" rIns="3240" tIns="3240" bIns="324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fillcolor="white" stroked="f" o:allowincell="f" style="position:absolute;margin-left:512.4pt;margin-top:0.05pt;width:29.7pt;height:13.45pt;mso-wrap-style:square;v-text-anchor:top;mso-position-horizontal-relative:page" wp14:anchorId="1B586063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Stopka"/>
                      <w:rPr/>
                    </w:pPr>
                    <w:r>
                      <w:rPr>
                        <w:rStyle w:val="Pagenumber"/>
                      </w:rPr>
                      <w:t xml:space="preserve">     </w:t>
                    </w: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b w:val="fals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b w:val="fals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b w:val="fals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b w:val="fals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/>
    </w:lvl>
  </w:abstractNum>
  <w:abstractNum w:abstractNumId="4">
    <w:lvl w:ilvl="0">
      <w:start w:val="5"/>
      <w:numFmt w:val="decimal"/>
      <w:lvlText w:val="%1."/>
      <w:lvlJc w:val="left"/>
      <w:pPr>
        <w:tabs>
          <w:tab w:val="num" w:pos="0"/>
        </w:tabs>
        <w:ind w:left="510" w:hanging="510"/>
      </w:pPr>
      <w:rPr>
        <w:sz w:val="22"/>
        <w:b/>
        <w:szCs w:val="22"/>
        <w:rFonts w:ascii="Calibri" w:hAnsi="Calibri" w:cs="Calibri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510" w:hanging="510"/>
      </w:pPr>
      <w:rPr>
        <w:sz w:val="22"/>
        <w:b/>
        <w:szCs w:val="22"/>
        <w:rFonts w:ascii="Calibri" w:hAnsi="Calibri" w:cs="Calibri"/>
      </w:r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sz w:val="22"/>
        <w:b/>
        <w:szCs w:val="22"/>
        <w:rFonts w:ascii="Calibri" w:hAnsi="Calibri" w:cs="Calibri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sz w:val="22"/>
        <w:b/>
        <w:szCs w:val="22"/>
        <w:rFonts w:ascii="Calibri" w:hAnsi="Calibri" w:cs="Calibri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sz w:val="22"/>
        <w:b/>
        <w:szCs w:val="22"/>
        <w:rFonts w:ascii="Calibri" w:hAnsi="Calibri" w:cs="Calibri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2"/>
        <w:b/>
        <w:szCs w:val="22"/>
        <w:rFonts w:ascii="Calibri" w:hAnsi="Calibri" w:cs="Calibri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2"/>
        <w:b/>
        <w:szCs w:val="22"/>
        <w:rFonts w:ascii="Calibri" w:hAnsi="Calibri" w:cs="Calibri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2"/>
        <w:b/>
        <w:szCs w:val="22"/>
        <w:rFonts w:ascii="Calibri" w:hAnsi="Calibri" w:cs="Calibri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sz w:val="22"/>
        <w:b/>
        <w:szCs w:val="22"/>
        <w:rFonts w:ascii="Calibri" w:hAnsi="Calibri" w:cs="Calibri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6"/>
        <w:b/>
        <w:szCs w:val="26"/>
        <w:rFonts w:ascii="Calibri" w:hAnsi="Calibri" w:cs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sz w:val="26"/>
        <w:b/>
        <w:szCs w:val="26"/>
        <w:rFonts w:ascii="Calibri" w:hAnsi="Calibri" w:cs="Calibri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sz w:val="26"/>
        <w:b/>
        <w:szCs w:val="26"/>
        <w:rFonts w:ascii="Calibri" w:hAnsi="Calibri" w:cs="Calibri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sz w:val="26"/>
        <w:b/>
        <w:szCs w:val="26"/>
        <w:rFonts w:ascii="Calibri" w:hAnsi="Calibri" w:cs="Calibri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sz w:val="26"/>
        <w:b/>
        <w:szCs w:val="26"/>
        <w:rFonts w:ascii="Calibri" w:hAnsi="Calibri" w:cs="Calibri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sz w:val="26"/>
        <w:b/>
        <w:szCs w:val="26"/>
        <w:rFonts w:ascii="Calibri" w:hAnsi="Calibri" w:cs="Calibri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sz w:val="26"/>
        <w:b/>
        <w:szCs w:val="26"/>
        <w:rFonts w:ascii="Calibri" w:hAnsi="Calibri" w:cs="Calibri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sz w:val="26"/>
        <w:b/>
        <w:szCs w:val="26"/>
        <w:rFonts w:ascii="Calibri" w:hAnsi="Calibri" w:cs="Calibri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sz w:val="26"/>
        <w:b/>
        <w:szCs w:val="26"/>
        <w:rFonts w:ascii="Calibri" w:hAnsi="Calibri" w:cs="Calibri"/>
      </w:rPr>
    </w:lvl>
  </w:abstractNum>
  <w:abstractNum w:abstractNumId="6">
    <w:lvl w:ilvl="0">
      <w:start w:val="5"/>
      <w:numFmt w:val="decimal"/>
      <w:lvlText w:val="%1."/>
      <w:lvlJc w:val="left"/>
      <w:pPr>
        <w:tabs>
          <w:tab w:val="num" w:pos="0"/>
        </w:tabs>
        <w:ind w:left="510" w:hanging="510"/>
      </w:pPr>
      <w:rPr>
        <w:sz w:val="22"/>
        <w:b/>
        <w:szCs w:val="22"/>
        <w:rFonts w:ascii="Calibri" w:hAnsi="Calibri" w:cs="Calibri"/>
        <w:lang w:val="pl-PL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510" w:hanging="510"/>
      </w:pPr>
      <w:rPr>
        <w:sz w:val="22"/>
        <w:b/>
        <w:szCs w:val="22"/>
        <w:rFonts w:ascii="Calibri" w:hAnsi="Calibri" w:cs="Calibri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sz w:val="22"/>
        <w:b/>
        <w:szCs w:val="22"/>
        <w:rFonts w:ascii="Calibri" w:hAnsi="Calibri" w:cs="Calibri"/>
        <w:lang w:val="pl-P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sz w:val="22"/>
        <w:b/>
        <w:szCs w:val="22"/>
        <w:rFonts w:ascii="Calibri" w:hAnsi="Calibri" w:cs="Calibri"/>
        <w:lang w:val="pl-P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sz w:val="22"/>
        <w:b/>
        <w:szCs w:val="22"/>
        <w:rFonts w:ascii="Calibri" w:hAnsi="Calibri" w:cs="Calibri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2"/>
        <w:b/>
        <w:szCs w:val="22"/>
        <w:rFonts w:ascii="Calibri" w:hAnsi="Calibri" w:cs="Calibri"/>
        <w:lang w:val="pl-P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2"/>
        <w:b/>
        <w:szCs w:val="22"/>
        <w:rFonts w:ascii="Calibri" w:hAnsi="Calibri" w:cs="Calibri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2"/>
        <w:b/>
        <w:szCs w:val="22"/>
        <w:rFonts w:ascii="Calibri" w:hAnsi="Calibri" w:cs="Calibri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sz w:val="22"/>
        <w:b/>
        <w:szCs w:val="22"/>
        <w:rFonts w:ascii="Calibri" w:hAnsi="Calibri" w:cs="Calibri"/>
        <w:lang w:val="pl-PL"/>
      </w:rPr>
    </w:lvl>
  </w:abstractNum>
  <w:abstractNum w:abstractNumId="7"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sz w:val="26"/>
        <w:b w:val="false"/>
        <w:szCs w:val="26"/>
        <w:rFonts w:ascii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2"/>
      <w:numFmt w:val="decimal"/>
      <w:lvlText w:val="%1."/>
      <w:lvlJc w:val="left"/>
      <w:pPr>
        <w:tabs>
          <w:tab w:val="num" w:pos="0"/>
        </w:tabs>
        <w:ind w:left="660" w:hanging="660"/>
      </w:pPr>
      <w:rPr>
        <w:sz w:val="26"/>
        <w:b/>
        <w:szCs w:val="26"/>
        <w:rFonts w:ascii="Calibri" w:hAnsi="Calibri" w:cs="Calibri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60" w:hanging="660"/>
      </w:pPr>
      <w:rPr>
        <w:sz w:val="26"/>
        <w:b w:val="false"/>
        <w:szCs w:val="26"/>
        <w:rFonts w:ascii="Calibri" w:hAnsi="Calibri" w:cs="Calibri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sz w:val="26"/>
        <w:b/>
        <w:szCs w:val="26"/>
        <w:rFonts w:ascii="Calibri" w:hAnsi="Calibri" w:cs="Calibri"/>
        <w:lang w:val="pl-PL"/>
      </w:rPr>
    </w:lvl>
    <w:lvl w:ilvl="3">
      <w:start w:val="1"/>
      <w:numFmt w:val="bullet"/>
      <w:lvlText w:val="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sz w:val="26"/>
        <w:b/>
        <w:szCs w:val="26"/>
        <w:rFonts w:ascii="Calibri" w:hAnsi="Calibri" w:cs="Calibri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6"/>
        <w:b/>
        <w:szCs w:val="26"/>
        <w:rFonts w:ascii="Calibri" w:hAnsi="Calibri" w:cs="Calibri"/>
        <w:lang w:val="pl-P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6"/>
        <w:b/>
        <w:szCs w:val="26"/>
        <w:rFonts w:ascii="Calibri" w:hAnsi="Calibri" w:cs="Calibri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6"/>
        <w:b/>
        <w:szCs w:val="26"/>
        <w:rFonts w:ascii="Calibri" w:hAnsi="Calibri" w:cs="Calibri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sz w:val="26"/>
        <w:b/>
        <w:szCs w:val="26"/>
        <w:rFonts w:ascii="Calibri" w:hAnsi="Calibri" w:cs="Calibri"/>
        <w:lang w:val="pl-PL"/>
      </w:rPr>
    </w:lvl>
  </w:abstractNum>
  <w:abstractNum w:abstractNumId="9">
    <w:lvl w:ilvl="0">
      <w:start w:val="5"/>
      <w:numFmt w:val="decimal"/>
      <w:lvlText w:val="%1."/>
      <w:lvlJc w:val="left"/>
      <w:pPr>
        <w:tabs>
          <w:tab w:val="num" w:pos="0"/>
        </w:tabs>
        <w:ind w:left="680" w:hanging="680"/>
      </w:pPr>
      <w:rPr>
        <w:sz w:val="22"/>
        <w:b/>
        <w:szCs w:val="22"/>
        <w:rFonts w:ascii="Calibri" w:hAnsi="Calibri" w:cs="Calibri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680" w:hanging="680"/>
      </w:pPr>
      <w:rPr>
        <w:sz w:val="22"/>
        <w:b/>
        <w:szCs w:val="22"/>
        <w:rFonts w:ascii="Calibri" w:hAnsi="Calibri" w:cs="Calibri"/>
      </w:rPr>
    </w:lvl>
    <w:lvl w:ilvl="2">
      <w:start w:val="4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sz w:val="22"/>
        <w:b/>
        <w:szCs w:val="22"/>
        <w:rFonts w:ascii="Calibri" w:hAnsi="Calibri" w:cs="Calibri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sz w:val="22"/>
        <w:b/>
        <w:szCs w:val="22"/>
        <w:rFonts w:ascii="Calibri" w:hAnsi="Calibri" w:cs="Calibri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sz w:val="22"/>
        <w:b/>
        <w:szCs w:val="22"/>
        <w:rFonts w:ascii="Calibri" w:hAnsi="Calibri" w:cs="Calibri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2"/>
        <w:b/>
        <w:szCs w:val="22"/>
        <w:rFonts w:ascii="Calibri" w:hAnsi="Calibri" w:cs="Calibri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2"/>
        <w:b/>
        <w:szCs w:val="22"/>
        <w:rFonts w:ascii="Calibri" w:hAnsi="Calibri" w:cs="Calibri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2"/>
        <w:b/>
        <w:szCs w:val="22"/>
        <w:rFonts w:ascii="Calibri" w:hAnsi="Calibri" w:cs="Calibri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sz w:val="22"/>
        <w:b/>
        <w:szCs w:val="22"/>
        <w:rFonts w:ascii="Calibri" w:hAnsi="Calibri" w:cs="Calibri"/>
      </w:rPr>
    </w:lvl>
  </w:abstractNum>
  <w:abstractNum w:abstractNumId="10">
    <w:lvl w:ilvl="0">
      <w:start w:val="6"/>
      <w:numFmt w:val="decimal"/>
      <w:lvlText w:val="%1."/>
      <w:lvlJc w:val="left"/>
      <w:pPr>
        <w:tabs>
          <w:tab w:val="num" w:pos="708"/>
        </w:tabs>
        <w:ind w:left="360" w:hanging="360"/>
      </w:pPr>
      <w:rPr>
        <w:sz w:val="26"/>
        <w:spacing w:val="0"/>
        <w:b/>
        <w:szCs w:val="26"/>
        <w:bCs/>
        <w:rFonts w:ascii="Calibri" w:hAnsi="Calibri" w:cs="Calibri"/>
        <w:lang w:eastAsia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sz w:val="26"/>
        <w:spacing w:val="0"/>
        <w:b/>
        <w:szCs w:val="26"/>
        <w:bCs/>
        <w:rFonts w:ascii="Calibri" w:hAnsi="Calibri" w:cs="Calibri"/>
        <w:lang w:eastAsia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sz w:val="26"/>
        <w:spacing w:val="0"/>
        <w:b/>
        <w:szCs w:val="26"/>
        <w:bCs/>
        <w:rFonts w:ascii="Calibri" w:hAnsi="Calibri" w:cs="Calibri"/>
        <w:lang w:eastAsia="pl-P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sz w:val="26"/>
        <w:spacing w:val="0"/>
        <w:b/>
        <w:szCs w:val="26"/>
        <w:bCs/>
        <w:rFonts w:ascii="Calibri" w:hAnsi="Calibri" w:cs="Calibri"/>
        <w:lang w:eastAsia="pl-P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sz w:val="26"/>
        <w:spacing w:val="0"/>
        <w:b/>
        <w:szCs w:val="26"/>
        <w:bCs/>
        <w:rFonts w:ascii="Calibri" w:hAnsi="Calibri" w:cs="Calibri"/>
        <w:lang w:eastAsia="pl-P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6"/>
        <w:spacing w:val="0"/>
        <w:b/>
        <w:szCs w:val="26"/>
        <w:bCs/>
        <w:rFonts w:ascii="Calibri" w:hAnsi="Calibri" w:cs="Calibri"/>
        <w:lang w:eastAsia="pl-P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6"/>
        <w:spacing w:val="0"/>
        <w:b/>
        <w:szCs w:val="26"/>
        <w:bCs/>
        <w:rFonts w:ascii="Calibri" w:hAnsi="Calibri" w:cs="Calibri"/>
        <w:lang w:eastAsia="pl-P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6"/>
        <w:spacing w:val="0"/>
        <w:b/>
        <w:szCs w:val="26"/>
        <w:bCs/>
        <w:rFonts w:ascii="Calibri" w:hAnsi="Calibri" w:cs="Calibri"/>
        <w:lang w:eastAsia="pl-P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sz w:val="26"/>
        <w:spacing w:val="0"/>
        <w:b/>
        <w:szCs w:val="26"/>
        <w:bCs/>
        <w:rFonts w:ascii="Calibri" w:hAnsi="Calibri" w:cs="Calibri"/>
        <w:lang w:eastAsia="pl-PL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isplayBackgroundShape/>
  <w:trackRevisions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l-PL" w:bidi="ar-SA"/>
    </w:rPr>
  </w:style>
  <w:style w:type="paragraph" w:styleId="Nagwek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Garamond" w:hAnsi="Garamond" w:cs="Garamond"/>
      <w:b/>
      <w:bCs/>
      <w:sz w:val="28"/>
    </w:rPr>
  </w:style>
  <w:style w:type="paragraph" w:styleId="Nagwek2">
    <w:name w:val="Heading 2"/>
    <w:basedOn w:val="Normal"/>
    <w:next w:val="Normal"/>
    <w:qFormat/>
    <w:pPr>
      <w:keepNext w:val="true"/>
      <w:numPr>
        <w:ilvl w:val="1"/>
        <w:numId w:val="1"/>
      </w:numPr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"/>
    <w:next w:val="Normal"/>
    <w:qFormat/>
    <w:pPr>
      <w:keepNext w:val="true"/>
      <w:numPr>
        <w:ilvl w:val="2"/>
        <w:numId w:val="1"/>
      </w:numPr>
      <w:jc w:val="both"/>
      <w:outlineLvl w:val="2"/>
    </w:pPr>
    <w:rPr>
      <w:rFonts w:ascii="Garamond" w:hAnsi="Garamond" w:cs="Garamond"/>
      <w:b/>
      <w:bCs/>
      <w:sz w:val="28"/>
    </w:rPr>
  </w:style>
  <w:style w:type="paragraph" w:styleId="Nagwek4">
    <w:name w:val="Heading 4"/>
    <w:basedOn w:val="Normal"/>
    <w:next w:val="Normal"/>
    <w:qFormat/>
    <w:pPr>
      <w:keepNext w:val="true"/>
      <w:numPr>
        <w:ilvl w:val="3"/>
        <w:numId w:val="1"/>
      </w:numPr>
      <w:ind w:left="360" w:hanging="0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"/>
    <w:next w:val="Normal"/>
    <w:qFormat/>
    <w:pPr>
      <w:keepNext w:val="true"/>
      <w:numPr>
        <w:ilvl w:val="4"/>
        <w:numId w:val="1"/>
      </w:numPr>
      <w:ind w:left="360" w:hanging="360"/>
      <w:jc w:val="both"/>
      <w:outlineLvl w:val="4"/>
    </w:pPr>
    <w:rPr>
      <w:rFonts w:ascii="Garamond" w:hAnsi="Garamond" w:cs="Garamond"/>
      <w:b/>
      <w:bCs/>
      <w:sz w:val="28"/>
    </w:rPr>
  </w:style>
  <w:style w:type="paragraph" w:styleId="Nagwek6">
    <w:name w:val="Heading 6"/>
    <w:basedOn w:val="Normal"/>
    <w:next w:val="Normal"/>
    <w:qFormat/>
    <w:pPr>
      <w:keepNext w:val="true"/>
      <w:numPr>
        <w:ilvl w:val="5"/>
        <w:numId w:val="1"/>
      </w:numPr>
      <w:spacing w:lineRule="auto" w:line="360"/>
      <w:jc w:val="center"/>
      <w:outlineLvl w:val="5"/>
    </w:pPr>
    <w:rPr>
      <w:rFonts w:ascii="Arial" w:hAnsi="Arial" w:cs="Arial"/>
      <w:b/>
      <w:bCs/>
      <w:szCs w:val="20"/>
    </w:rPr>
  </w:style>
  <w:style w:type="paragraph" w:styleId="Nagwek7">
    <w:name w:val="Heading 7"/>
    <w:basedOn w:val="Normal"/>
    <w:next w:val="Normal"/>
    <w:qFormat/>
    <w:pPr>
      <w:keepNext w:val="true"/>
      <w:numPr>
        <w:ilvl w:val="6"/>
        <w:numId w:val="1"/>
      </w:numPr>
      <w:outlineLvl w:val="6"/>
    </w:pPr>
    <w:rPr>
      <w:rFonts w:ascii="Arial" w:hAnsi="Arial" w:cs="Arial"/>
      <w:b/>
      <w:bCs/>
      <w:i/>
      <w:color w:val="000000"/>
      <w:sz w:val="20"/>
      <w:szCs w:val="20"/>
      <w:u w:val="single"/>
      <w:lang w:val="en-GB"/>
    </w:rPr>
  </w:style>
  <w:style w:type="paragraph" w:styleId="Nagwe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"/>
    <w:next w:val="Normal"/>
    <w:qFormat/>
    <w:pPr>
      <w:keepNext w:val="true"/>
      <w:numPr>
        <w:ilvl w:val="8"/>
        <w:numId w:val="1"/>
      </w:numPr>
      <w:jc w:val="center"/>
      <w:outlineLvl w:val="8"/>
    </w:pPr>
    <w:rPr>
      <w:rFonts w:ascii="Tahoma" w:hAnsi="Tahoma" w:cs="Arial Narrow"/>
      <w:b/>
      <w:color w:val="00000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1" w:customStyle="1">
    <w:name w:val="WW8Num2z1"/>
    <w:qFormat/>
    <w:rPr>
      <w:b w:val="false"/>
    </w:rPr>
  </w:style>
  <w:style w:type="character" w:styleId="WW8Num3z1" w:customStyle="1">
    <w:name w:val="WW8Num3z1"/>
    <w:qFormat/>
    <w:rPr>
      <w:b w:val="false"/>
    </w:rPr>
  </w:style>
  <w:style w:type="character" w:styleId="WW8Num4z0" w:customStyle="1">
    <w:name w:val="WW8Num4z0"/>
    <w:qFormat/>
    <w:rPr>
      <w:rFonts w:ascii="Calibri" w:hAnsi="Calibri" w:cs="Calibri"/>
      <w:b/>
      <w:sz w:val="22"/>
      <w:szCs w:val="22"/>
    </w:rPr>
  </w:style>
  <w:style w:type="character" w:styleId="WW8Num5z0" w:customStyle="1">
    <w:name w:val="WW8Num5z0"/>
    <w:qFormat/>
    <w:rPr>
      <w:rFonts w:ascii="Calibri" w:hAnsi="Calibri" w:cs="Calibri"/>
      <w:b/>
      <w:sz w:val="26"/>
      <w:szCs w:val="26"/>
    </w:rPr>
  </w:style>
  <w:style w:type="character" w:styleId="WW8Num6z0" w:customStyle="1">
    <w:name w:val="WW8Num6z0"/>
    <w:qFormat/>
    <w:rPr>
      <w:rFonts w:ascii="Calibri" w:hAnsi="Calibri" w:cs="Calibri"/>
      <w:b/>
      <w:sz w:val="22"/>
      <w:szCs w:val="22"/>
      <w:lang w:val="pl-PL"/>
    </w:rPr>
  </w:style>
  <w:style w:type="character" w:styleId="WW8Num7z0" w:customStyle="1">
    <w:name w:val="WW8Num7z0"/>
    <w:qFormat/>
    <w:rPr>
      <w:rFonts w:ascii="Calibri" w:hAnsi="Calibri" w:cs="Times New Roman"/>
      <w:b w:val="false"/>
      <w:sz w:val="26"/>
      <w:szCs w:val="26"/>
    </w:rPr>
  </w:style>
  <w:style w:type="character" w:styleId="WW8Num8z0" w:customStyle="1">
    <w:name w:val="WW8Num8z0"/>
    <w:qFormat/>
    <w:rPr>
      <w:rFonts w:ascii="Calibri" w:hAnsi="Calibri" w:cs="Calibri"/>
      <w:b/>
      <w:sz w:val="26"/>
      <w:szCs w:val="26"/>
      <w:lang w:val="pl-PL"/>
    </w:rPr>
  </w:style>
  <w:style w:type="character" w:styleId="WW8Num8z1" w:customStyle="1">
    <w:name w:val="WW8Num8z1"/>
    <w:qFormat/>
    <w:rPr>
      <w:rFonts w:ascii="Calibri" w:hAnsi="Calibri" w:cs="Calibri"/>
      <w:b w:val="false"/>
      <w:sz w:val="26"/>
      <w:szCs w:val="26"/>
    </w:rPr>
  </w:style>
  <w:style w:type="character" w:styleId="WW8Num8z3" w:customStyle="1">
    <w:name w:val="WW8Num8z3"/>
    <w:qFormat/>
    <w:rPr>
      <w:rFonts w:ascii="Wingdings" w:hAnsi="Wingdings" w:cs="Wingdings"/>
    </w:rPr>
  </w:style>
  <w:style w:type="character" w:styleId="WW8Num9z0" w:customStyle="1">
    <w:name w:val="WW8Num9z0"/>
    <w:qFormat/>
    <w:rPr>
      <w:rFonts w:ascii="Calibri" w:hAnsi="Calibri" w:cs="Calibri"/>
      <w:b/>
      <w:sz w:val="22"/>
      <w:szCs w:val="22"/>
    </w:rPr>
  </w:style>
  <w:style w:type="character" w:styleId="WW8Num10z0" w:customStyle="1">
    <w:name w:val="WW8Num10z0"/>
    <w:qFormat/>
    <w:rPr>
      <w:rFonts w:ascii="Calibri" w:hAnsi="Calibri" w:cs="Calibri"/>
      <w:b/>
      <w:bCs/>
      <w:spacing w:val="0"/>
      <w:sz w:val="26"/>
      <w:szCs w:val="26"/>
      <w:lang w:eastAsia="pl-PL"/>
    </w:rPr>
  </w:style>
  <w:style w:type="character" w:styleId="Domylnaczcionkaakapitu4" w:customStyle="1">
    <w:name w:val="Domyślna czcionka akapitu4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Domylnaczcionkaakapitu3" w:customStyle="1">
    <w:name w:val="Domyślna czcionka akapitu3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9z1" w:customStyle="1">
    <w:name w:val="WW8Num9z1"/>
    <w:qFormat/>
    <w:rPr>
      <w:rFonts w:ascii="Times New Roman" w:hAnsi="Times New Roman" w:cs="Times New Roman"/>
    </w:rPr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1z0" w:customStyle="1">
    <w:name w:val="WW8Num11z0"/>
    <w:qFormat/>
    <w:rPr>
      <w:rFonts w:ascii="Times New Roman" w:hAnsi="Times New Roman" w:cs="Times New Roman"/>
    </w:rPr>
  </w:style>
  <w:style w:type="character" w:styleId="WW8Num12z0" w:customStyle="1">
    <w:name w:val="WW8Num12z0"/>
    <w:qFormat/>
    <w:rPr>
      <w:rFonts w:ascii="Symbol" w:hAnsi="Symbol" w:cs="Symbol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2" w:customStyle="1">
    <w:name w:val="WW8Num12z2"/>
    <w:qFormat/>
    <w:rPr>
      <w:rFonts w:ascii="Wingdings" w:hAnsi="Wingdings" w:cs="Wingdings"/>
    </w:rPr>
  </w:style>
  <w:style w:type="character" w:styleId="WW8Num13z0" w:customStyle="1">
    <w:name w:val="WW8Num13z0"/>
    <w:qFormat/>
    <w:rPr>
      <w:rFonts w:cs="Times New Roman"/>
    </w:rPr>
  </w:style>
  <w:style w:type="character" w:styleId="WW8Num14z0" w:customStyle="1">
    <w:name w:val="WW8Num14z0"/>
    <w:qFormat/>
    <w:rPr/>
  </w:style>
  <w:style w:type="character" w:styleId="WW8Num15z0" w:customStyle="1">
    <w:name w:val="WW8Num15z0"/>
    <w:qFormat/>
    <w:rPr/>
  </w:style>
  <w:style w:type="character" w:styleId="WW8Num16z0" w:customStyle="1">
    <w:name w:val="WW8Num16z0"/>
    <w:qFormat/>
    <w:rPr/>
  </w:style>
  <w:style w:type="character" w:styleId="WW8Num17z0" w:customStyle="1">
    <w:name w:val="WW8Num17z0"/>
    <w:qFormat/>
    <w:rPr>
      <w:rFonts w:ascii="Arial" w:hAnsi="Arial" w:cs="Arial"/>
      <w:b w:val="false"/>
      <w:i w:val="false"/>
      <w:sz w:val="20"/>
      <w:szCs w:val="20"/>
    </w:rPr>
  </w:style>
  <w:style w:type="character" w:styleId="WW8Num17z1" w:customStyle="1">
    <w:name w:val="WW8Num17z1"/>
    <w:qFormat/>
    <w:rPr>
      <w:rFonts w:ascii="Times New Roman" w:hAnsi="Times New Roman" w:cs="Times New Roman"/>
      <w:b w:val="false"/>
      <w:i w:val="false"/>
      <w:sz w:val="20"/>
      <w:szCs w:val="20"/>
    </w:rPr>
  </w:style>
  <w:style w:type="character" w:styleId="WW8Num17z2" w:customStyle="1">
    <w:name w:val="WW8Num17z2"/>
    <w:qFormat/>
    <w:rPr/>
  </w:style>
  <w:style w:type="character" w:styleId="WW8Num17z3" w:customStyle="1">
    <w:name w:val="WW8Num17z3"/>
    <w:qFormat/>
    <w:rPr/>
  </w:style>
  <w:style w:type="character" w:styleId="WW8Num17z4" w:customStyle="1">
    <w:name w:val="WW8Num17z4"/>
    <w:qFormat/>
    <w:rPr/>
  </w:style>
  <w:style w:type="character" w:styleId="WW8Num17z5" w:customStyle="1">
    <w:name w:val="WW8Num17z5"/>
    <w:qFormat/>
    <w:rPr/>
  </w:style>
  <w:style w:type="character" w:styleId="WW8Num17z6" w:customStyle="1">
    <w:name w:val="WW8Num17z6"/>
    <w:qFormat/>
    <w:rPr/>
  </w:style>
  <w:style w:type="character" w:styleId="WW8Num17z7" w:customStyle="1">
    <w:name w:val="WW8Num17z7"/>
    <w:qFormat/>
    <w:rPr/>
  </w:style>
  <w:style w:type="character" w:styleId="WW8Num17z8" w:customStyle="1">
    <w:name w:val="WW8Num17z8"/>
    <w:qFormat/>
    <w:rPr/>
  </w:style>
  <w:style w:type="character" w:styleId="WW8Num18z0" w:customStyle="1">
    <w:name w:val="WW8Num18z0"/>
    <w:qFormat/>
    <w:rPr/>
  </w:style>
  <w:style w:type="character" w:styleId="WW8Num19z0" w:customStyle="1">
    <w:name w:val="WW8Num19z0"/>
    <w:qFormat/>
    <w:rPr>
      <w:b w:val="false"/>
      <w:i w:val="false"/>
    </w:rPr>
  </w:style>
  <w:style w:type="character" w:styleId="WW8Num19z1" w:customStyle="1">
    <w:name w:val="WW8Num19z1"/>
    <w:qFormat/>
    <w:rPr/>
  </w:style>
  <w:style w:type="character" w:styleId="WW8Num19z2" w:customStyle="1">
    <w:name w:val="WW8Num19z2"/>
    <w:qFormat/>
    <w:rPr>
      <w:rFonts w:ascii="Symbol" w:hAnsi="Symbol" w:cs="Symbol"/>
      <w:color w:val="000000"/>
    </w:rPr>
  </w:style>
  <w:style w:type="character" w:styleId="WW8Num19z3" w:customStyle="1">
    <w:name w:val="WW8Num19z3"/>
    <w:qFormat/>
    <w:rPr/>
  </w:style>
  <w:style w:type="character" w:styleId="WW8Num19z4" w:customStyle="1">
    <w:name w:val="WW8Num19z4"/>
    <w:qFormat/>
    <w:rPr/>
  </w:style>
  <w:style w:type="character" w:styleId="WW8Num19z5" w:customStyle="1">
    <w:name w:val="WW8Num19z5"/>
    <w:qFormat/>
    <w:rPr/>
  </w:style>
  <w:style w:type="character" w:styleId="WW8Num19z6" w:customStyle="1">
    <w:name w:val="WW8Num19z6"/>
    <w:qFormat/>
    <w:rPr/>
  </w:style>
  <w:style w:type="character" w:styleId="WW8Num19z7" w:customStyle="1">
    <w:name w:val="WW8Num19z7"/>
    <w:qFormat/>
    <w:rPr/>
  </w:style>
  <w:style w:type="character" w:styleId="WW8Num19z8" w:customStyle="1">
    <w:name w:val="WW8Num19z8"/>
    <w:qFormat/>
    <w:rPr/>
  </w:style>
  <w:style w:type="character" w:styleId="WW8Num20z0" w:customStyle="1">
    <w:name w:val="WW8Num20z0"/>
    <w:qFormat/>
    <w:rPr>
      <w:b w:val="false"/>
      <w:i w:val="false"/>
    </w:rPr>
  </w:style>
  <w:style w:type="character" w:styleId="WW8Num20z1" w:customStyle="1">
    <w:name w:val="WW8Num20z1"/>
    <w:qFormat/>
    <w:rPr>
      <w:rFonts w:ascii="Times New Roman" w:hAnsi="Times New Roman" w:cs="Times New Roman"/>
    </w:rPr>
  </w:style>
  <w:style w:type="character" w:styleId="WW8Num20z2" w:customStyle="1">
    <w:name w:val="WW8Num20z2"/>
    <w:qFormat/>
    <w:rPr/>
  </w:style>
  <w:style w:type="character" w:styleId="WW8Num20z3" w:customStyle="1">
    <w:name w:val="WW8Num20z3"/>
    <w:qFormat/>
    <w:rPr/>
  </w:style>
  <w:style w:type="character" w:styleId="WW8Num20z4" w:customStyle="1">
    <w:name w:val="WW8Num20z4"/>
    <w:qFormat/>
    <w:rPr/>
  </w:style>
  <w:style w:type="character" w:styleId="WW8Num20z5" w:customStyle="1">
    <w:name w:val="WW8Num20z5"/>
    <w:qFormat/>
    <w:rPr/>
  </w:style>
  <w:style w:type="character" w:styleId="WW8Num20z6" w:customStyle="1">
    <w:name w:val="WW8Num20z6"/>
    <w:qFormat/>
    <w:rPr/>
  </w:style>
  <w:style w:type="character" w:styleId="WW8Num20z7" w:customStyle="1">
    <w:name w:val="WW8Num20z7"/>
    <w:qFormat/>
    <w:rPr/>
  </w:style>
  <w:style w:type="character" w:styleId="WW8Num20z8" w:customStyle="1">
    <w:name w:val="WW8Num20z8"/>
    <w:qFormat/>
    <w:rPr/>
  </w:style>
  <w:style w:type="character" w:styleId="WW8Num21z0" w:customStyle="1">
    <w:name w:val="WW8Num21z0"/>
    <w:qFormat/>
    <w:rPr/>
  </w:style>
  <w:style w:type="character" w:styleId="WW8Num22z0" w:customStyle="1">
    <w:name w:val="WW8Num22z0"/>
    <w:qFormat/>
    <w:rPr>
      <w:b/>
      <w:color w:val="000000"/>
      <w:sz w:val="20"/>
      <w:szCs w:val="20"/>
    </w:rPr>
  </w:style>
  <w:style w:type="character" w:styleId="WW8Num22z1" w:customStyle="1">
    <w:name w:val="WW8Num22z1"/>
    <w:qFormat/>
    <w:rPr>
      <w:b/>
      <w:i w:val="false"/>
      <w:color w:val="000000"/>
    </w:rPr>
  </w:style>
  <w:style w:type="character" w:styleId="WW8Num22z2" w:customStyle="1">
    <w:name w:val="WW8Num22z2"/>
    <w:qFormat/>
    <w:rPr>
      <w:rFonts w:ascii="Times New Roman" w:hAnsi="Times New Roman" w:cs="Times New Roman"/>
      <w:b w:val="false"/>
      <w:i w:val="false"/>
      <w:color w:val="000000"/>
      <w:sz w:val="22"/>
      <w:szCs w:val="22"/>
    </w:rPr>
  </w:style>
  <w:style w:type="character" w:styleId="WW8Num22z3" w:customStyle="1">
    <w:name w:val="WW8Num22z3"/>
    <w:qFormat/>
    <w:rPr>
      <w:b w:val="false"/>
      <w:i w:val="false"/>
      <w:color w:val="000000"/>
    </w:rPr>
  </w:style>
  <w:style w:type="character" w:styleId="WW8Num22z4" w:customStyle="1">
    <w:name w:val="WW8Num22z4"/>
    <w:qFormat/>
    <w:rPr>
      <w:b w:val="false"/>
    </w:rPr>
  </w:style>
  <w:style w:type="character" w:styleId="WW8Num22z6" w:customStyle="1">
    <w:name w:val="WW8Num22z6"/>
    <w:qFormat/>
    <w:rPr/>
  </w:style>
  <w:style w:type="character" w:styleId="WW8Num22z7" w:customStyle="1">
    <w:name w:val="WW8Num22z7"/>
    <w:qFormat/>
    <w:rPr/>
  </w:style>
  <w:style w:type="character" w:styleId="WW8Num22z8" w:customStyle="1">
    <w:name w:val="WW8Num22z8"/>
    <w:qFormat/>
    <w:rPr/>
  </w:style>
  <w:style w:type="character" w:styleId="WW8Num23z0" w:customStyle="1">
    <w:name w:val="WW8Num23z0"/>
    <w:qFormat/>
    <w:rPr/>
  </w:style>
  <w:style w:type="character" w:styleId="WW8Num23z1" w:customStyle="1">
    <w:name w:val="WW8Num23z1"/>
    <w:qFormat/>
    <w:rPr>
      <w:b w:val="false"/>
    </w:rPr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4z0" w:customStyle="1">
    <w:name w:val="WW8Num24z0"/>
    <w:qFormat/>
    <w:rPr/>
  </w:style>
  <w:style w:type="character" w:styleId="WW8Num25z0" w:customStyle="1">
    <w:name w:val="WW8Num25z0"/>
    <w:qFormat/>
    <w:rPr/>
  </w:style>
  <w:style w:type="character" w:styleId="WW8Num25z1" w:customStyle="1">
    <w:name w:val="WW8Num25z1"/>
    <w:qFormat/>
    <w:rPr/>
  </w:style>
  <w:style w:type="character" w:styleId="WW8Num25z2" w:customStyle="1">
    <w:name w:val="WW8Num25z2"/>
    <w:qFormat/>
    <w:rPr/>
  </w:style>
  <w:style w:type="character" w:styleId="WW8Num25z3" w:customStyle="1">
    <w:name w:val="WW8Num25z3"/>
    <w:qFormat/>
    <w:rPr/>
  </w:style>
  <w:style w:type="character" w:styleId="WW8Num25z4" w:customStyle="1">
    <w:name w:val="WW8Num25z4"/>
    <w:qFormat/>
    <w:rPr/>
  </w:style>
  <w:style w:type="character" w:styleId="WW8Num25z5" w:customStyle="1">
    <w:name w:val="WW8Num25z5"/>
    <w:qFormat/>
    <w:rPr/>
  </w:style>
  <w:style w:type="character" w:styleId="WW8Num25z6" w:customStyle="1">
    <w:name w:val="WW8Num25z6"/>
    <w:qFormat/>
    <w:rPr/>
  </w:style>
  <w:style w:type="character" w:styleId="WW8Num25z7" w:customStyle="1">
    <w:name w:val="WW8Num25z7"/>
    <w:qFormat/>
    <w:rPr/>
  </w:style>
  <w:style w:type="character" w:styleId="WW8Num25z8" w:customStyle="1">
    <w:name w:val="WW8Num25z8"/>
    <w:qFormat/>
    <w:rPr/>
  </w:style>
  <w:style w:type="character" w:styleId="WW8Num26z0" w:customStyle="1">
    <w:name w:val="WW8Num26z0"/>
    <w:qFormat/>
    <w:rPr/>
  </w:style>
  <w:style w:type="character" w:styleId="WW8Num26z1" w:customStyle="1">
    <w:name w:val="WW8Num26z1"/>
    <w:qFormat/>
    <w:rPr>
      <w:b w:val="false"/>
    </w:rPr>
  </w:style>
  <w:style w:type="character" w:styleId="WW8Num27z0" w:customStyle="1">
    <w:name w:val="WW8Num27z0"/>
    <w:qFormat/>
    <w:rPr/>
  </w:style>
  <w:style w:type="character" w:styleId="WW8Num28z0" w:customStyle="1">
    <w:name w:val="WW8Num28z0"/>
    <w:qFormat/>
    <w:rPr/>
  </w:style>
  <w:style w:type="character" w:styleId="WW8Num28z1" w:customStyle="1">
    <w:name w:val="WW8Num28z1"/>
    <w:qFormat/>
    <w:rPr>
      <w:b w:val="false"/>
    </w:rPr>
  </w:style>
  <w:style w:type="character" w:styleId="WW8Num28z4" w:customStyle="1">
    <w:name w:val="WW8Num28z4"/>
    <w:qFormat/>
    <w:rPr/>
  </w:style>
  <w:style w:type="character" w:styleId="WW8Num28z5" w:customStyle="1">
    <w:name w:val="WW8Num28z5"/>
    <w:qFormat/>
    <w:rPr/>
  </w:style>
  <w:style w:type="character" w:styleId="WW8Num28z6" w:customStyle="1">
    <w:name w:val="WW8Num28z6"/>
    <w:qFormat/>
    <w:rPr/>
  </w:style>
  <w:style w:type="character" w:styleId="WW8Num28z7" w:customStyle="1">
    <w:name w:val="WW8Num28z7"/>
    <w:qFormat/>
    <w:rPr/>
  </w:style>
  <w:style w:type="character" w:styleId="WW8Num28z8" w:customStyle="1">
    <w:name w:val="WW8Num28z8"/>
    <w:qFormat/>
    <w:rPr/>
  </w:style>
  <w:style w:type="character" w:styleId="WW8Num29z0" w:customStyle="1">
    <w:name w:val="WW8Num29z0"/>
    <w:qFormat/>
    <w:rPr>
      <w:rFonts w:ascii="Times New Roman" w:hAnsi="Times New Roman" w:cs="Times New Roman"/>
    </w:rPr>
  </w:style>
  <w:style w:type="character" w:styleId="WW8Num30z0" w:customStyle="1">
    <w:name w:val="WW8Num30z0"/>
    <w:qFormat/>
    <w:rPr>
      <w:rFonts w:ascii="Times New Roman" w:hAnsi="Times New Roman" w:cs="Times New Roman"/>
    </w:rPr>
  </w:style>
  <w:style w:type="character" w:styleId="WW8Num31z0" w:customStyle="1">
    <w:name w:val="WW8Num31z0"/>
    <w:qFormat/>
    <w:rPr>
      <w:rFonts w:ascii="Times New Roman" w:hAnsi="Times New Roman" w:cs="Times New Roman"/>
    </w:rPr>
  </w:style>
  <w:style w:type="character" w:styleId="WW8Num32z0" w:customStyle="1">
    <w:name w:val="WW8Num32z0"/>
    <w:qFormat/>
    <w:rPr/>
  </w:style>
  <w:style w:type="character" w:styleId="WW8Num33z0" w:customStyle="1">
    <w:name w:val="WW8Num33z0"/>
    <w:qFormat/>
    <w:rPr>
      <w:rFonts w:ascii="Symbol" w:hAnsi="Symbol" w:cs="Symbol"/>
    </w:rPr>
  </w:style>
  <w:style w:type="character" w:styleId="WW8Num33z1" w:customStyle="1">
    <w:name w:val="WW8Num33z1"/>
    <w:qFormat/>
    <w:rPr>
      <w:rFonts w:ascii="Courier New" w:hAnsi="Courier New" w:cs="Courier New"/>
    </w:rPr>
  </w:style>
  <w:style w:type="character" w:styleId="WW8Num33z2" w:customStyle="1">
    <w:name w:val="WW8Num33z2"/>
    <w:qFormat/>
    <w:rPr>
      <w:rFonts w:ascii="Wingdings" w:hAnsi="Wingdings" w:cs="Wingdings"/>
    </w:rPr>
  </w:style>
  <w:style w:type="character" w:styleId="WW8Num34z0" w:customStyle="1">
    <w:name w:val="WW8Num34z0"/>
    <w:qFormat/>
    <w:rPr/>
  </w:style>
  <w:style w:type="character" w:styleId="WW8Num34z1" w:customStyle="1">
    <w:name w:val="WW8Num34z1"/>
    <w:qFormat/>
    <w:rPr/>
  </w:style>
  <w:style w:type="character" w:styleId="WW8Num34z2" w:customStyle="1">
    <w:name w:val="WW8Num34z2"/>
    <w:qFormat/>
    <w:rPr/>
  </w:style>
  <w:style w:type="character" w:styleId="WW8Num34z3" w:customStyle="1">
    <w:name w:val="WW8Num34z3"/>
    <w:qFormat/>
    <w:rPr/>
  </w:style>
  <w:style w:type="character" w:styleId="WW8Num34z4" w:customStyle="1">
    <w:name w:val="WW8Num34z4"/>
    <w:qFormat/>
    <w:rPr/>
  </w:style>
  <w:style w:type="character" w:styleId="WW8Num34z5" w:customStyle="1">
    <w:name w:val="WW8Num34z5"/>
    <w:qFormat/>
    <w:rPr/>
  </w:style>
  <w:style w:type="character" w:styleId="WW8Num34z6" w:customStyle="1">
    <w:name w:val="WW8Num34z6"/>
    <w:qFormat/>
    <w:rPr/>
  </w:style>
  <w:style w:type="character" w:styleId="WW8Num34z7" w:customStyle="1">
    <w:name w:val="WW8Num34z7"/>
    <w:qFormat/>
    <w:rPr/>
  </w:style>
  <w:style w:type="character" w:styleId="WW8Num34z8" w:customStyle="1">
    <w:name w:val="WW8Num34z8"/>
    <w:qFormat/>
    <w:rPr/>
  </w:style>
  <w:style w:type="character" w:styleId="WW8Num35z0" w:customStyle="1">
    <w:name w:val="WW8Num35z0"/>
    <w:qFormat/>
    <w:rPr>
      <w:b/>
    </w:rPr>
  </w:style>
  <w:style w:type="character" w:styleId="WW8Num35z1" w:customStyle="1">
    <w:name w:val="WW8Num35z1"/>
    <w:qFormat/>
    <w:rPr>
      <w:rFonts w:ascii="Wingdings" w:hAnsi="Wingdings" w:cs="Wingdings"/>
    </w:rPr>
  </w:style>
  <w:style w:type="character" w:styleId="WW8Num35z2" w:customStyle="1">
    <w:name w:val="WW8Num35z2"/>
    <w:qFormat/>
    <w:rPr/>
  </w:style>
  <w:style w:type="character" w:styleId="WW8Num35z3" w:customStyle="1">
    <w:name w:val="WW8Num35z3"/>
    <w:qFormat/>
    <w:rPr/>
  </w:style>
  <w:style w:type="character" w:styleId="WW8Num35z4" w:customStyle="1">
    <w:name w:val="WW8Num35z4"/>
    <w:qFormat/>
    <w:rPr/>
  </w:style>
  <w:style w:type="character" w:styleId="WW8Num35z5" w:customStyle="1">
    <w:name w:val="WW8Num35z5"/>
    <w:qFormat/>
    <w:rPr/>
  </w:style>
  <w:style w:type="character" w:styleId="WW8Num35z6" w:customStyle="1">
    <w:name w:val="WW8Num35z6"/>
    <w:qFormat/>
    <w:rPr/>
  </w:style>
  <w:style w:type="character" w:styleId="WW8Num35z7" w:customStyle="1">
    <w:name w:val="WW8Num35z7"/>
    <w:qFormat/>
    <w:rPr/>
  </w:style>
  <w:style w:type="character" w:styleId="WW8Num35z8" w:customStyle="1">
    <w:name w:val="WW8Num35z8"/>
    <w:qFormat/>
    <w:rPr/>
  </w:style>
  <w:style w:type="character" w:styleId="WW8Num36z0" w:customStyle="1">
    <w:name w:val="WW8Num36z0"/>
    <w:qFormat/>
    <w:rPr>
      <w:rFonts w:cs="Times New Roman"/>
    </w:rPr>
  </w:style>
  <w:style w:type="character" w:styleId="WW8Num36z1" w:customStyle="1">
    <w:name w:val="WW8Num36z1"/>
    <w:qFormat/>
    <w:rPr/>
  </w:style>
  <w:style w:type="character" w:styleId="WW8Num36z2" w:customStyle="1">
    <w:name w:val="WW8Num36z2"/>
    <w:qFormat/>
    <w:rPr/>
  </w:style>
  <w:style w:type="character" w:styleId="WW8Num36z3" w:customStyle="1">
    <w:name w:val="WW8Num36z3"/>
    <w:qFormat/>
    <w:rPr/>
  </w:style>
  <w:style w:type="character" w:styleId="WW8Num36z4" w:customStyle="1">
    <w:name w:val="WW8Num36z4"/>
    <w:qFormat/>
    <w:rPr/>
  </w:style>
  <w:style w:type="character" w:styleId="WW8Num36z5" w:customStyle="1">
    <w:name w:val="WW8Num36z5"/>
    <w:qFormat/>
    <w:rPr/>
  </w:style>
  <w:style w:type="character" w:styleId="WW8Num36z6" w:customStyle="1">
    <w:name w:val="WW8Num36z6"/>
    <w:qFormat/>
    <w:rPr/>
  </w:style>
  <w:style w:type="character" w:styleId="WW8Num36z7" w:customStyle="1">
    <w:name w:val="WW8Num36z7"/>
    <w:qFormat/>
    <w:rPr/>
  </w:style>
  <w:style w:type="character" w:styleId="WW8Num36z8" w:customStyle="1">
    <w:name w:val="WW8Num36z8"/>
    <w:qFormat/>
    <w:rPr/>
  </w:style>
  <w:style w:type="character" w:styleId="WW8Num37z0" w:customStyle="1">
    <w:name w:val="WW8Num37z0"/>
    <w:qFormat/>
    <w:rPr/>
  </w:style>
  <w:style w:type="character" w:styleId="WW8Num37z1" w:customStyle="1">
    <w:name w:val="WW8Num37z1"/>
    <w:qFormat/>
    <w:rPr/>
  </w:style>
  <w:style w:type="character" w:styleId="WW8Num37z2" w:customStyle="1">
    <w:name w:val="WW8Num37z2"/>
    <w:qFormat/>
    <w:rPr/>
  </w:style>
  <w:style w:type="character" w:styleId="WW8Num37z3" w:customStyle="1">
    <w:name w:val="WW8Num37z3"/>
    <w:qFormat/>
    <w:rPr/>
  </w:style>
  <w:style w:type="character" w:styleId="WW8Num37z4" w:customStyle="1">
    <w:name w:val="WW8Num37z4"/>
    <w:qFormat/>
    <w:rPr/>
  </w:style>
  <w:style w:type="character" w:styleId="WW8Num37z5" w:customStyle="1">
    <w:name w:val="WW8Num37z5"/>
    <w:qFormat/>
    <w:rPr/>
  </w:style>
  <w:style w:type="character" w:styleId="WW8Num37z6" w:customStyle="1">
    <w:name w:val="WW8Num37z6"/>
    <w:qFormat/>
    <w:rPr/>
  </w:style>
  <w:style w:type="character" w:styleId="WW8Num37z7" w:customStyle="1">
    <w:name w:val="WW8Num37z7"/>
    <w:qFormat/>
    <w:rPr/>
  </w:style>
  <w:style w:type="character" w:styleId="WW8Num37z8" w:customStyle="1">
    <w:name w:val="WW8Num37z8"/>
    <w:qFormat/>
    <w:rPr/>
  </w:style>
  <w:style w:type="character" w:styleId="WW8Num38z0" w:customStyle="1">
    <w:name w:val="WW8Num38z0"/>
    <w:qFormat/>
    <w:rPr/>
  </w:style>
  <w:style w:type="character" w:styleId="WW8Num39z0" w:customStyle="1">
    <w:name w:val="WW8Num39z0"/>
    <w:qFormat/>
    <w:rPr>
      <w:rFonts w:ascii="Calibri" w:hAnsi="Calibri" w:cs="Calibri"/>
      <w:b/>
      <w:sz w:val="22"/>
      <w:szCs w:val="22"/>
    </w:rPr>
  </w:style>
  <w:style w:type="character" w:styleId="WW8Num40z0" w:customStyle="1">
    <w:name w:val="WW8Num40z0"/>
    <w:qFormat/>
    <w:rPr>
      <w:rFonts w:ascii="Calibri" w:hAnsi="Calibri" w:cs="Calibri"/>
      <w:b/>
      <w:sz w:val="22"/>
      <w:szCs w:val="22"/>
    </w:rPr>
  </w:style>
  <w:style w:type="character" w:styleId="WW8Num41z0" w:customStyle="1">
    <w:name w:val="WW8Num41z0"/>
    <w:qFormat/>
    <w:rPr>
      <w:rFonts w:ascii="Calibri" w:hAnsi="Calibri" w:cs="Calibri"/>
      <w:b/>
      <w:sz w:val="22"/>
      <w:szCs w:val="22"/>
      <w:lang w:val="pl-PL"/>
    </w:rPr>
  </w:style>
  <w:style w:type="character" w:styleId="WW8Num42z0" w:customStyle="1">
    <w:name w:val="WW8Num42z0"/>
    <w:qFormat/>
    <w:rPr>
      <w:rFonts w:ascii="Calibri" w:hAnsi="Calibri" w:cs="Times New Roman"/>
      <w:b w:val="false"/>
      <w:sz w:val="22"/>
      <w:szCs w:val="22"/>
    </w:rPr>
  </w:style>
  <w:style w:type="character" w:styleId="WW8Num42z1" w:customStyle="1">
    <w:name w:val="WW8Num42z1"/>
    <w:qFormat/>
    <w:rPr/>
  </w:style>
  <w:style w:type="character" w:styleId="WW8Num42z2" w:customStyle="1">
    <w:name w:val="WW8Num42z2"/>
    <w:qFormat/>
    <w:rPr/>
  </w:style>
  <w:style w:type="character" w:styleId="WW8Num42z3" w:customStyle="1">
    <w:name w:val="WW8Num42z3"/>
    <w:qFormat/>
    <w:rPr/>
  </w:style>
  <w:style w:type="character" w:styleId="WW8Num42z4" w:customStyle="1">
    <w:name w:val="WW8Num42z4"/>
    <w:qFormat/>
    <w:rPr/>
  </w:style>
  <w:style w:type="character" w:styleId="WW8Num42z5" w:customStyle="1">
    <w:name w:val="WW8Num42z5"/>
    <w:qFormat/>
    <w:rPr/>
  </w:style>
  <w:style w:type="character" w:styleId="WW8Num42z6" w:customStyle="1">
    <w:name w:val="WW8Num42z6"/>
    <w:qFormat/>
    <w:rPr/>
  </w:style>
  <w:style w:type="character" w:styleId="WW8Num42z7" w:customStyle="1">
    <w:name w:val="WW8Num42z7"/>
    <w:qFormat/>
    <w:rPr/>
  </w:style>
  <w:style w:type="character" w:styleId="WW8Num42z8" w:customStyle="1">
    <w:name w:val="WW8Num42z8"/>
    <w:qFormat/>
    <w:rPr/>
  </w:style>
  <w:style w:type="character" w:styleId="WW8Num43z0" w:customStyle="1">
    <w:name w:val="WW8Num43z0"/>
    <w:qFormat/>
    <w:rPr>
      <w:rFonts w:ascii="Calibri" w:hAnsi="Calibri" w:cs="Calibri"/>
      <w:b/>
      <w:sz w:val="22"/>
      <w:szCs w:val="22"/>
      <w:lang w:val="pl-PL"/>
    </w:rPr>
  </w:style>
  <w:style w:type="character" w:styleId="WW8Num43z1" w:customStyle="1">
    <w:name w:val="WW8Num43z1"/>
    <w:qFormat/>
    <w:rPr>
      <w:rFonts w:ascii="Calibri" w:hAnsi="Calibri" w:cs="Calibri"/>
      <w:b w:val="false"/>
      <w:sz w:val="22"/>
      <w:szCs w:val="22"/>
    </w:rPr>
  </w:style>
  <w:style w:type="character" w:styleId="WW8Num43z3" w:customStyle="1">
    <w:name w:val="WW8Num43z3"/>
    <w:qFormat/>
    <w:rPr>
      <w:rFonts w:ascii="Wingdings" w:hAnsi="Wingdings" w:cs="Wingdings"/>
    </w:rPr>
  </w:style>
  <w:style w:type="character" w:styleId="WW8Num44z0" w:customStyle="1">
    <w:name w:val="WW8Num44z0"/>
    <w:qFormat/>
    <w:rPr/>
  </w:style>
  <w:style w:type="character" w:styleId="WW8Num44z1" w:customStyle="1">
    <w:name w:val="WW8Num44z1"/>
    <w:qFormat/>
    <w:rPr/>
  </w:style>
  <w:style w:type="character" w:styleId="WW8Num44z2" w:customStyle="1">
    <w:name w:val="WW8Num44z2"/>
    <w:qFormat/>
    <w:rPr/>
  </w:style>
  <w:style w:type="character" w:styleId="WW8Num44z3" w:customStyle="1">
    <w:name w:val="WW8Num44z3"/>
    <w:qFormat/>
    <w:rPr/>
  </w:style>
  <w:style w:type="character" w:styleId="WW8Num44z4" w:customStyle="1">
    <w:name w:val="WW8Num44z4"/>
    <w:qFormat/>
    <w:rPr/>
  </w:style>
  <w:style w:type="character" w:styleId="WW8Num44z5" w:customStyle="1">
    <w:name w:val="WW8Num44z5"/>
    <w:qFormat/>
    <w:rPr/>
  </w:style>
  <w:style w:type="character" w:styleId="WW8Num44z6" w:customStyle="1">
    <w:name w:val="WW8Num44z6"/>
    <w:qFormat/>
    <w:rPr/>
  </w:style>
  <w:style w:type="character" w:styleId="WW8Num44z7" w:customStyle="1">
    <w:name w:val="WW8Num44z7"/>
    <w:qFormat/>
    <w:rPr/>
  </w:style>
  <w:style w:type="character" w:styleId="WW8Num44z8" w:customStyle="1">
    <w:name w:val="WW8Num44z8"/>
    <w:qFormat/>
    <w:rPr/>
  </w:style>
  <w:style w:type="character" w:styleId="WW8Num45z0" w:customStyle="1">
    <w:name w:val="WW8Num45z0"/>
    <w:qFormat/>
    <w:rPr>
      <w:rFonts w:ascii="Calibri" w:hAnsi="Calibri" w:cs="Calibri"/>
      <w:b/>
      <w:sz w:val="22"/>
      <w:szCs w:val="22"/>
    </w:rPr>
  </w:style>
  <w:style w:type="character" w:styleId="WW8Num46z0" w:customStyle="1">
    <w:name w:val="WW8Num46z0"/>
    <w:qFormat/>
    <w:rPr/>
  </w:style>
  <w:style w:type="character" w:styleId="WW8Num46z1" w:customStyle="1">
    <w:name w:val="WW8Num46z1"/>
    <w:qFormat/>
    <w:rPr/>
  </w:style>
  <w:style w:type="character" w:styleId="WW8Num46z2" w:customStyle="1">
    <w:name w:val="WW8Num46z2"/>
    <w:qFormat/>
    <w:rPr/>
  </w:style>
  <w:style w:type="character" w:styleId="WW8Num46z3" w:customStyle="1">
    <w:name w:val="WW8Num46z3"/>
    <w:qFormat/>
    <w:rPr/>
  </w:style>
  <w:style w:type="character" w:styleId="WW8Num46z4" w:customStyle="1">
    <w:name w:val="WW8Num46z4"/>
    <w:qFormat/>
    <w:rPr/>
  </w:style>
  <w:style w:type="character" w:styleId="WW8Num46z5" w:customStyle="1">
    <w:name w:val="WW8Num46z5"/>
    <w:qFormat/>
    <w:rPr/>
  </w:style>
  <w:style w:type="character" w:styleId="WW8Num46z6" w:customStyle="1">
    <w:name w:val="WW8Num46z6"/>
    <w:qFormat/>
    <w:rPr/>
  </w:style>
  <w:style w:type="character" w:styleId="WW8Num46z7" w:customStyle="1">
    <w:name w:val="WW8Num46z7"/>
    <w:qFormat/>
    <w:rPr/>
  </w:style>
  <w:style w:type="character" w:styleId="WW8Num46z8" w:customStyle="1">
    <w:name w:val="WW8Num46z8"/>
    <w:qFormat/>
    <w:rPr/>
  </w:style>
  <w:style w:type="character" w:styleId="WW8Num47z0" w:customStyle="1">
    <w:name w:val="WW8Num47z0"/>
    <w:qFormat/>
    <w:rPr>
      <w:rFonts w:ascii="Calibri" w:hAnsi="Calibri" w:cs="Calibri"/>
      <w:b/>
      <w:sz w:val="22"/>
      <w:szCs w:val="22"/>
    </w:rPr>
  </w:style>
  <w:style w:type="character" w:styleId="Domylnaczcionkaakapitu2" w:customStyle="1">
    <w:name w:val="Domyślna czcionka akapitu2"/>
    <w:qFormat/>
    <w:rPr/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WW8Num7z3" w:customStyle="1">
    <w:name w:val="WW8Num7z3"/>
    <w:qFormat/>
    <w:rPr>
      <w:rFonts w:ascii="Symbol" w:hAnsi="Symbol" w:cs="Symbol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11z1" w:customStyle="1">
    <w:name w:val="WW8Num11z1"/>
    <w:qFormat/>
    <w:rPr>
      <w:rFonts w:ascii="Times New Roman" w:hAnsi="Times New Roman" w:cs="Times New Roman"/>
    </w:rPr>
  </w:style>
  <w:style w:type="character" w:styleId="WW8Num12z3" w:customStyle="1">
    <w:name w:val="WW8Num12z3"/>
    <w:qFormat/>
    <w:rPr>
      <w:rFonts w:ascii="Symbol" w:hAnsi="Symbol" w:cs="Symbol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1" w:customStyle="1">
    <w:name w:val="WW8Num14z1"/>
    <w:qFormat/>
    <w:rPr>
      <w:rFonts w:ascii="Courier New" w:hAnsi="Courier New" w:cs="Courier New"/>
    </w:rPr>
  </w:style>
  <w:style w:type="character" w:styleId="WW8Num14z2" w:customStyle="1">
    <w:name w:val="WW8Num14z2"/>
    <w:qFormat/>
    <w:rPr>
      <w:rFonts w:ascii="Wingdings" w:hAnsi="Wingdings" w:cs="Wingdings"/>
    </w:rPr>
  </w:style>
  <w:style w:type="character" w:styleId="WW8Num21z1" w:customStyle="1">
    <w:name w:val="WW8Num21z1"/>
    <w:qFormat/>
    <w:rPr>
      <w:rFonts w:ascii="Times New Roman" w:hAnsi="Times New Roman" w:cs="Times New Roman"/>
      <w:b w:val="false"/>
      <w:i w:val="false"/>
      <w:sz w:val="20"/>
      <w:szCs w:val="20"/>
    </w:rPr>
  </w:style>
  <w:style w:type="character" w:styleId="WW8Num24z1" w:customStyle="1">
    <w:name w:val="WW8Num24z1"/>
    <w:qFormat/>
    <w:rPr>
      <w:rFonts w:ascii="Times New Roman" w:hAnsi="Times New Roman" w:eastAsia="Times New Roman" w:cs="Times New Roman"/>
    </w:rPr>
  </w:style>
  <w:style w:type="character" w:styleId="WW8Num26z2" w:customStyle="1">
    <w:name w:val="WW8Num26z2"/>
    <w:qFormat/>
    <w:rPr>
      <w:rFonts w:ascii="Times New Roman" w:hAnsi="Times New Roman" w:cs="Times New Roman"/>
      <w:b w:val="false"/>
      <w:i w:val="false"/>
      <w:color w:val="000000"/>
      <w:sz w:val="22"/>
      <w:szCs w:val="22"/>
    </w:rPr>
  </w:style>
  <w:style w:type="character" w:styleId="WW8Num26z3" w:customStyle="1">
    <w:name w:val="WW8Num26z3"/>
    <w:qFormat/>
    <w:rPr>
      <w:b w:val="false"/>
      <w:i w:val="false"/>
      <w:color w:val="000000"/>
    </w:rPr>
  </w:style>
  <w:style w:type="character" w:styleId="WW8Num26z4" w:customStyle="1">
    <w:name w:val="WW8Num26z4"/>
    <w:qFormat/>
    <w:rPr>
      <w:b w:val="false"/>
    </w:rPr>
  </w:style>
  <w:style w:type="character" w:styleId="WW8Num31z1" w:customStyle="1">
    <w:name w:val="WW8Num31z1"/>
    <w:qFormat/>
    <w:rPr>
      <w:rFonts w:ascii="Courier New" w:hAnsi="Courier New" w:cs="Courier New"/>
    </w:rPr>
  </w:style>
  <w:style w:type="character" w:styleId="WW8Num31z2" w:customStyle="1">
    <w:name w:val="WW8Num31z2"/>
    <w:qFormat/>
    <w:rPr>
      <w:rFonts w:ascii="Wingdings" w:hAnsi="Wingdings" w:cs="Wingdings"/>
    </w:rPr>
  </w:style>
  <w:style w:type="character" w:styleId="WW8Num31z3" w:customStyle="1">
    <w:name w:val="WW8Num31z3"/>
    <w:qFormat/>
    <w:rPr>
      <w:rFonts w:ascii="Symbol" w:hAnsi="Symbol" w:cs="Symbol"/>
    </w:rPr>
  </w:style>
  <w:style w:type="character" w:styleId="WW8Num38z1" w:customStyle="1">
    <w:name w:val="WW8Num38z1"/>
    <w:qFormat/>
    <w:rPr>
      <w:rFonts w:ascii="Courier New" w:hAnsi="Courier New" w:cs="Courier New"/>
    </w:rPr>
  </w:style>
  <w:style w:type="character" w:styleId="WW8Num38z2" w:customStyle="1">
    <w:name w:val="WW8Num38z2"/>
    <w:qFormat/>
    <w:rPr>
      <w:rFonts w:ascii="Wingdings" w:hAnsi="Wingdings" w:cs="Wingdings"/>
    </w:rPr>
  </w:style>
  <w:style w:type="character" w:styleId="WW8Num40z1" w:customStyle="1">
    <w:name w:val="WW8Num40z1"/>
    <w:qFormat/>
    <w:rPr>
      <w:rFonts w:ascii="Wingdings" w:hAnsi="Wingdings" w:cs="Wingdings"/>
    </w:rPr>
  </w:style>
  <w:style w:type="character" w:styleId="Domylnaczcionkaakapitu1" w:customStyle="1">
    <w:name w:val="Domyślna czcionka akapitu1"/>
    <w:qFormat/>
    <w:rPr/>
  </w:style>
  <w:style w:type="character" w:styleId="Czeinternetowe">
    <w:name w:val="Łącze internetowe"/>
    <w:rPr>
      <w:color w:val="0000FF"/>
      <w:u w:val="single"/>
    </w:rPr>
  </w:style>
  <w:style w:type="character" w:styleId="Pagenumber">
    <w:name w:val="page number"/>
    <w:basedOn w:val="Domylnaczcionkaakapitu1"/>
    <w:qFormat/>
    <w:rPr/>
  </w:style>
  <w:style w:type="character" w:styleId="Strong">
    <w:name w:val="Strong"/>
    <w:qFormat/>
    <w:rPr>
      <w:b/>
      <w:bCs/>
    </w:rPr>
  </w:style>
  <w:style w:type="character" w:styleId="NagwekZnak" w:customStyle="1">
    <w:name w:val="Nagłówek Znak"/>
    <w:qFormat/>
    <w:rPr>
      <w:rFonts w:ascii="Garamond" w:hAnsi="Garamond" w:cs="Garamond"/>
      <w:sz w:val="24"/>
      <w:lang w:val="pl-PL" w:bidi="ar-SA"/>
    </w:rPr>
  </w:style>
  <w:style w:type="character" w:styleId="PodpisZnak" w:customStyle="1">
    <w:name w:val="Podpis Znak"/>
    <w:qFormat/>
    <w:rPr>
      <w:rFonts w:ascii="Arial" w:hAnsi="Arial" w:cs="Arial"/>
      <w:spacing w:val="-5"/>
    </w:rPr>
  </w:style>
  <w:style w:type="character" w:styleId="TekstprzypisudolnegoZnak" w:customStyle="1">
    <w:name w:val="Tekst przypisu dolnego Znak"/>
    <w:qFormat/>
    <w:rPr>
      <w:lang w:val="hu-HU"/>
    </w:rPr>
  </w:style>
  <w:style w:type="character" w:styleId="Appletabspan" w:customStyle="1">
    <w:name w:val="apple-tab-span"/>
    <w:qFormat/>
    <w:rPr/>
  </w:style>
  <w:style w:type="character" w:styleId="A0" w:customStyle="1">
    <w:name w:val="A0"/>
    <w:qFormat/>
    <w:rPr>
      <w:rFonts w:cs="Myriad Pro Light"/>
      <w:color w:val="000000"/>
      <w:sz w:val="16"/>
      <w:szCs w:val="16"/>
    </w:rPr>
  </w:style>
  <w:style w:type="character" w:styleId="ZwykytekstZnak" w:customStyle="1">
    <w:name w:val="Zwykły tekst Znak"/>
    <w:qFormat/>
    <w:rPr>
      <w:rFonts w:ascii="Calibri" w:hAnsi="Calibri" w:eastAsia="Calibri" w:cs="Calibri"/>
      <w:sz w:val="22"/>
      <w:szCs w:val="21"/>
    </w:rPr>
  </w:style>
  <w:style w:type="character" w:styleId="StopkaZnak" w:customStyle="1">
    <w:name w:val="Stopka Znak"/>
    <w:qFormat/>
    <w:rPr>
      <w:rFonts w:ascii="Garamond" w:hAnsi="Garamond" w:cs="Garamond"/>
      <w:sz w:val="24"/>
      <w:lang w:val="pl-PL"/>
    </w:rPr>
  </w:style>
  <w:style w:type="character" w:styleId="Tekstpodstawowy2Znak" w:customStyle="1">
    <w:name w:val="Tekst podstawowy 2 Znak"/>
    <w:qFormat/>
    <w:rPr>
      <w:sz w:val="24"/>
      <w:szCs w:val="24"/>
      <w:lang w:val="pl-PL"/>
    </w:rPr>
  </w:style>
  <w:style w:type="character" w:styleId="Tekstpodstawowy3Znak" w:customStyle="1">
    <w:name w:val="Tekst podstawowy 3 Znak"/>
    <w:qFormat/>
    <w:rPr>
      <w:sz w:val="16"/>
      <w:szCs w:val="16"/>
      <w:lang w:val="pl-PL"/>
    </w:rPr>
  </w:style>
  <w:style w:type="character" w:styleId="Tekstpodstawowywcity3Znak" w:customStyle="1">
    <w:name w:val="Tekst podstawowy wcięty 3 Znak"/>
    <w:qFormat/>
    <w:rPr>
      <w:sz w:val="16"/>
      <w:szCs w:val="16"/>
    </w:rPr>
  </w:style>
  <w:style w:type="character" w:styleId="Tekstpodstawowywcity2Znak" w:customStyle="1">
    <w:name w:val="Tekst podstawowy wcięty 2 Znak"/>
    <w:qFormat/>
    <w:rPr>
      <w:sz w:val="24"/>
      <w:szCs w:val="24"/>
    </w:rPr>
  </w:style>
  <w:style w:type="character" w:styleId="BezodstpwZnak" w:customStyle="1">
    <w:name w:val="Bez odstępów Znak"/>
    <w:qFormat/>
    <w:rPr>
      <w:rFonts w:ascii="Verdana" w:hAnsi="Verdana" w:cs="Verdana"/>
      <w:szCs w:val="22"/>
      <w:lang w:bidi="en-US"/>
    </w:rPr>
  </w:style>
  <w:style w:type="character" w:styleId="TekstdymkaZnak" w:customStyle="1">
    <w:name w:val="Tekst dymka Znak"/>
    <w:qFormat/>
    <w:rPr>
      <w:rFonts w:ascii="Tahoma" w:hAnsi="Tahoma" w:cs="Tahoma"/>
      <w:sz w:val="16"/>
      <w:szCs w:val="16"/>
    </w:rPr>
  </w:style>
  <w:style w:type="character" w:styleId="Bodytext5" w:customStyle="1">
    <w:name w:val="Body text (5)_"/>
    <w:qFormat/>
    <w:rPr>
      <w:rFonts w:ascii="Arial" w:hAnsi="Arial" w:cs="Arial"/>
      <w:sz w:val="19"/>
      <w:szCs w:val="19"/>
      <w:shd w:fill="FFFFFF" w:val="clear"/>
    </w:rPr>
  </w:style>
  <w:style w:type="character" w:styleId="Odwoaniedokomentarza1" w:customStyle="1">
    <w:name w:val="Odwołanie do komentarza1"/>
    <w:qFormat/>
    <w:rPr>
      <w:sz w:val="16"/>
      <w:szCs w:val="16"/>
    </w:rPr>
  </w:style>
  <w:style w:type="character" w:styleId="TekstkomentarzaZnak" w:customStyle="1">
    <w:name w:val="Tekst komentarza Znak"/>
    <w:qFormat/>
    <w:rPr/>
  </w:style>
  <w:style w:type="character" w:styleId="TematkomentarzaZnak" w:customStyle="1">
    <w:name w:val="Temat komentarza Znak"/>
    <w:qFormat/>
    <w:rPr>
      <w:b/>
      <w:bCs/>
    </w:rPr>
  </w:style>
  <w:style w:type="character" w:styleId="Nagwek1Znak" w:customStyle="1">
    <w:name w:val="Nagłówek 1 Znak"/>
    <w:qFormat/>
    <w:rPr>
      <w:rFonts w:ascii="Garamond" w:hAnsi="Garamond" w:cs="Garamond"/>
      <w:b/>
      <w:bCs/>
      <w:sz w:val="28"/>
      <w:szCs w:val="24"/>
    </w:rPr>
  </w:style>
  <w:style w:type="character" w:styleId="DataZnak" w:customStyle="1">
    <w:name w:val="Data Znak"/>
    <w:qFormat/>
    <w:rPr>
      <w:rFonts w:ascii="Arial" w:hAnsi="Arial" w:cs="Arial"/>
      <w:spacing w:val="-5"/>
    </w:rPr>
  </w:style>
  <w:style w:type="character" w:styleId="Nagwek2Znak" w:customStyle="1">
    <w:name w:val="Nagłówek 2 Znak"/>
    <w:qFormat/>
    <w:rPr>
      <w:rFonts w:ascii="Arial" w:hAnsi="Arial" w:cs="Arial"/>
      <w:b/>
      <w:bCs/>
      <w:sz w:val="24"/>
      <w:szCs w:val="24"/>
    </w:rPr>
  </w:style>
  <w:style w:type="character" w:styleId="Nagwek4Znak" w:customStyle="1">
    <w:name w:val="Nagłówek 4 Znak"/>
    <w:qFormat/>
    <w:rPr>
      <w:rFonts w:ascii="Arial" w:hAnsi="Arial" w:cs="Arial"/>
      <w:b/>
      <w:bCs/>
      <w:sz w:val="28"/>
      <w:szCs w:val="24"/>
    </w:rPr>
  </w:style>
  <w:style w:type="character" w:styleId="TekstpodstawowyZnak" w:customStyle="1">
    <w:name w:val="Tekst podstawowy Znak"/>
    <w:qFormat/>
    <w:rPr>
      <w:sz w:val="24"/>
    </w:rPr>
  </w:style>
  <w:style w:type="character" w:styleId="TekstpodstawowywcityZnak" w:customStyle="1">
    <w:name w:val="Tekst podstawowy wcięty Znak"/>
    <w:qFormat/>
    <w:rPr>
      <w:sz w:val="24"/>
      <w:szCs w:val="24"/>
    </w:rPr>
  </w:style>
  <w:style w:type="character" w:styleId="Bodytext" w:customStyle="1">
    <w:name w:val="Body text_"/>
    <w:qFormat/>
    <w:rPr>
      <w:rFonts w:ascii="Lucida Sans Unicode" w:hAnsi="Lucida Sans Unicode" w:cs="Lucida Sans Unicode"/>
      <w:sz w:val="16"/>
      <w:szCs w:val="16"/>
      <w:shd w:fill="FFFFFF" w:val="clear"/>
    </w:rPr>
  </w:style>
  <w:style w:type="character" w:styleId="BodytextArial22" w:customStyle="1">
    <w:name w:val="Body text + Arial22"/>
    <w:qFormat/>
    <w:rPr>
      <w:rFonts w:ascii="Arial" w:hAnsi="Arial" w:cs="Arial"/>
      <w:sz w:val="19"/>
      <w:szCs w:val="19"/>
      <w:shd w:fill="FFFFFF" w:val="clear"/>
    </w:rPr>
  </w:style>
  <w:style w:type="character" w:styleId="Numeracjawierszy">
    <w:name w:val="Numeracja wierszy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>
      <w:szCs w:val="20"/>
    </w:rPr>
  </w:style>
  <w:style w:type="paragraph" w:styleId="Lista">
    <w:name w:val="List"/>
    <w:basedOn w:val="Normal"/>
    <w:pPr>
      <w:ind w:left="283" w:hanging="283"/>
    </w:pPr>
    <w:rPr>
      <w:szCs w:val="20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Nagwek41" w:customStyle="1">
    <w:name w:val="Nagłówek4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agwek31" w:customStyle="1">
    <w:name w:val="Nagłówek3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Nagwek21" w:customStyle="1">
    <w:name w:val="Nagłówek2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Nagwek11" w:customStyle="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i/>
      <w:iCs/>
    </w:rPr>
  </w:style>
  <w:style w:type="paragraph" w:styleId="Gwkaistopka" w:customStyle="1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opka">
    <w:name w:val="Footer"/>
    <w:basedOn w:val="Normal"/>
    <w:pPr/>
    <w:rPr>
      <w:rFonts w:ascii="Garamond" w:hAnsi="Garamond" w:cs="Garamond"/>
      <w:szCs w:val="20"/>
    </w:rPr>
  </w:style>
  <w:style w:type="paragraph" w:styleId="Wcicietrecitekstu">
    <w:name w:val="Body Text Indent"/>
    <w:basedOn w:val="Normal"/>
    <w:pPr>
      <w:ind w:left="360" w:hanging="0"/>
      <w:jc w:val="both"/>
    </w:pPr>
    <w:rPr/>
  </w:style>
  <w:style w:type="paragraph" w:styleId="Tekstpodstawowywcity21" w:customStyle="1">
    <w:name w:val="Tekst podstawowy wcięty 21"/>
    <w:basedOn w:val="Normal"/>
    <w:qFormat/>
    <w:pPr>
      <w:ind w:left="1080" w:hanging="0"/>
    </w:pPr>
    <w:rPr>
      <w:rFonts w:ascii="Arial" w:hAnsi="Arial" w:cs="Arial"/>
      <w:i/>
      <w:iCs/>
    </w:rPr>
  </w:style>
  <w:style w:type="paragraph" w:styleId="Tekstpodstawowywcity31" w:customStyle="1">
    <w:name w:val="Tekst podstawowy wcięty 31"/>
    <w:basedOn w:val="Normal"/>
    <w:qFormat/>
    <w:pPr>
      <w:ind w:left="720" w:hanging="0"/>
      <w:jc w:val="both"/>
    </w:pPr>
    <w:rPr>
      <w:rFonts w:ascii="Garamond" w:hAnsi="Garamond" w:cs="Garamond"/>
      <w:u w:val="single"/>
    </w:rPr>
  </w:style>
  <w:style w:type="paragraph" w:styleId="Tekstblokowy1" w:customStyle="1">
    <w:name w:val="Tekst blokowy1"/>
    <w:basedOn w:val="Normal"/>
    <w:qFormat/>
    <w:pPr>
      <w:ind w:left="300" w:right="-157" w:hanging="0"/>
      <w:jc w:val="both"/>
    </w:pPr>
    <w:rPr>
      <w:rFonts w:ascii="Garamond" w:hAnsi="Garamond" w:cs="Garamond"/>
    </w:rPr>
  </w:style>
  <w:style w:type="paragraph" w:styleId="Tekstpodstawowy21" w:customStyle="1">
    <w:name w:val="Tekst podstawowy 21"/>
    <w:basedOn w:val="Normal"/>
    <w:qFormat/>
    <w:pPr>
      <w:jc w:val="both"/>
    </w:pPr>
    <w:rPr>
      <w:rFonts w:ascii="Garamond" w:hAnsi="Garamond" w:cs="Garamond"/>
    </w:rPr>
  </w:style>
  <w:style w:type="paragraph" w:styleId="Tekstpodstawowy31" w:customStyle="1">
    <w:name w:val="Tekst podstawowy 31"/>
    <w:basedOn w:val="Normal"/>
    <w:qFormat/>
    <w:pPr>
      <w:spacing w:before="0" w:after="120"/>
    </w:pPr>
    <w:rPr>
      <w:sz w:val="16"/>
      <w:szCs w:val="16"/>
    </w:rPr>
  </w:style>
  <w:style w:type="paragraph" w:styleId="Tekstpodstawowy5" w:customStyle="1">
    <w:name w:val="Tekst podstawowy 5"/>
    <w:basedOn w:val="Wcicietrecitekstu"/>
    <w:qFormat/>
    <w:pPr>
      <w:spacing w:before="0" w:after="120"/>
      <w:ind w:left="283" w:hanging="0"/>
      <w:jc w:val="left"/>
    </w:pPr>
    <w:rPr>
      <w:szCs w:val="20"/>
    </w:rPr>
  </w:style>
  <w:style w:type="paragraph" w:styleId="Tekstpodstawowy4" w:customStyle="1">
    <w:name w:val="Tekst podstawowy 4"/>
    <w:basedOn w:val="Wcicietrecitekstu"/>
    <w:qFormat/>
    <w:pPr>
      <w:spacing w:before="0" w:after="120"/>
      <w:ind w:left="283" w:hanging="0"/>
      <w:jc w:val="left"/>
    </w:pPr>
    <w:rPr>
      <w:szCs w:val="20"/>
    </w:rPr>
  </w:style>
  <w:style w:type="paragraph" w:styleId="Lista21" w:customStyle="1">
    <w:name w:val="Lista 21"/>
    <w:basedOn w:val="Normal"/>
    <w:qFormat/>
    <w:pPr>
      <w:ind w:left="566" w:hanging="283"/>
    </w:pPr>
    <w:rPr>
      <w:szCs w:val="20"/>
    </w:rPr>
  </w:style>
  <w:style w:type="paragraph" w:styleId="NormalWeb">
    <w:name w:val="Normal (Web)"/>
    <w:basedOn w:val="Normal"/>
    <w:qFormat/>
    <w:pPr>
      <w:spacing w:before="280" w:after="280"/>
      <w:jc w:val="both"/>
    </w:pPr>
    <w:rPr>
      <w:sz w:val="20"/>
      <w:szCs w:val="20"/>
    </w:rPr>
  </w:style>
  <w:style w:type="paragraph" w:styleId="Gwka">
    <w:name w:val="Header"/>
    <w:basedOn w:val="Normal"/>
    <w:pPr/>
    <w:rPr>
      <w:rFonts w:ascii="Garamond" w:hAnsi="Garamond" w:cs="Garamond"/>
      <w:szCs w:val="20"/>
    </w:rPr>
  </w:style>
  <w:style w:type="paragraph" w:styleId="Tekstpodstawowy22" w:customStyle="1">
    <w:name w:val="Tekst podstawowy 22"/>
    <w:basedOn w:val="Normal"/>
    <w:qFormat/>
    <w:pPr>
      <w:jc w:val="both"/>
    </w:pPr>
    <w:rPr>
      <w:szCs w:val="20"/>
    </w:rPr>
  </w:style>
  <w:style w:type="paragraph" w:styleId="3" w:customStyle="1">
    <w:name w:val="3"/>
    <w:basedOn w:val="Normal"/>
    <w:qFormat/>
    <w:pPr/>
    <w:rPr>
      <w:rFonts w:ascii="Times" w:hAnsi="Times" w:cs="Times"/>
      <w:sz w:val="20"/>
      <w:szCs w:val="20"/>
    </w:rPr>
  </w:style>
  <w:style w:type="paragraph" w:styleId="LucaCash" w:customStyle="1">
    <w:name w:val="Luca&amp;Cash"/>
    <w:basedOn w:val="Normal"/>
    <w:qFormat/>
    <w:pPr>
      <w:spacing w:lineRule="auto" w:line="360"/>
    </w:pPr>
    <w:rPr>
      <w:rFonts w:ascii="Arial Narrow" w:hAnsi="Arial Narrow" w:cs="Arial Narrow"/>
      <w:szCs w:val="20"/>
    </w:rPr>
  </w:style>
  <w:style w:type="paragraph" w:styleId="WWTekstpodstawowy3" w:customStyle="1">
    <w:name w:val="WW-Tekst podstawowy 3"/>
    <w:basedOn w:val="Normal"/>
    <w:qFormat/>
    <w:pPr>
      <w:widowControl w:val="false"/>
      <w:spacing w:before="20" w:after="0"/>
    </w:pPr>
    <w:rPr>
      <w:rFonts w:ascii="Arial" w:hAnsi="Arial" w:eastAsia="Lucida Sans Unicode" w:cs="Arial"/>
      <w:color w:val="FF0000"/>
      <w:sz w:val="18"/>
      <w:lang w:val="en-US"/>
    </w:rPr>
  </w:style>
  <w:style w:type="paragraph" w:styleId="Tekstdokumentu" w:customStyle="1">
    <w:name w:val="tekst dokumentu"/>
    <w:basedOn w:val="Normal"/>
    <w:qFormat/>
    <w:pPr>
      <w:spacing w:before="120" w:after="120"/>
      <w:ind w:left="567" w:hanging="567"/>
      <w:jc w:val="both"/>
    </w:pPr>
    <w:rPr>
      <w:szCs w:val="20"/>
    </w:rPr>
  </w:style>
  <w:style w:type="paragraph" w:styleId="Index1">
    <w:name w:val="index 1"/>
    <w:basedOn w:val="Normal"/>
    <w:next w:val="Normal"/>
    <w:qFormat/>
    <w:pPr>
      <w:ind w:left="240" w:hanging="240"/>
    </w:pPr>
    <w:rPr>
      <w:rFonts w:ascii="Garamond" w:hAnsi="Garamond" w:cs="Garamond"/>
      <w:szCs w:val="20"/>
    </w:rPr>
  </w:style>
  <w:style w:type="paragraph" w:styleId="Luca" w:customStyle="1">
    <w:name w:val="Luca"/>
    <w:basedOn w:val="Normal"/>
    <w:qFormat/>
    <w:pPr>
      <w:spacing w:lineRule="auto" w:line="360"/>
    </w:pPr>
    <w:rPr>
      <w:rFonts w:ascii="Arial Narrow" w:hAnsi="Arial Narrow" w:cs="Arial Narrow"/>
      <w:szCs w:val="20"/>
    </w:rPr>
  </w:style>
  <w:style w:type="paragraph" w:styleId="Sygnatura">
    <w:name w:val="Signature"/>
    <w:basedOn w:val="Normal"/>
    <w:next w:val="Normal"/>
    <w:pPr>
      <w:keepNext w:val="true"/>
      <w:spacing w:lineRule="atLeast" w:line="220" w:before="880" w:after="0"/>
    </w:pPr>
    <w:rPr>
      <w:rFonts w:ascii="Arial" w:hAnsi="Arial" w:cs="Arial"/>
      <w:spacing w:val="-5"/>
      <w:sz w:val="20"/>
      <w:szCs w:val="20"/>
    </w:rPr>
  </w:style>
  <w:style w:type="paragraph" w:styleId="WWTekstpodstawowywcity2" w:customStyle="1">
    <w:name w:val="WW-Tekst podstawowy wcięty 2"/>
    <w:basedOn w:val="Normal"/>
    <w:qFormat/>
    <w:pPr>
      <w:ind w:left="284" w:firstLine="1"/>
      <w:jc w:val="both"/>
    </w:pPr>
    <w:rPr>
      <w:rFonts w:ascii="Arial Narrow" w:hAnsi="Arial Narrow" w:cs="Arial Narrow"/>
      <w:szCs w:val="20"/>
    </w:rPr>
  </w:style>
  <w:style w:type="paragraph" w:styleId="Wwtekstpodstawowywcity21" w:customStyle="1">
    <w:name w:val="ww-tekstpodstawowywcity2"/>
    <w:basedOn w:val="Normal"/>
    <w:qFormat/>
    <w:pPr>
      <w:ind w:left="284" w:firstLine="1"/>
      <w:jc w:val="both"/>
    </w:pPr>
    <w:rPr>
      <w:rFonts w:ascii="Arial Narrow" w:hAnsi="Arial Narrow" w:cs="Arial Narrow"/>
    </w:rPr>
  </w:style>
  <w:style w:type="paragraph" w:styleId="Przypisdolny">
    <w:name w:val="Footnote Text"/>
    <w:basedOn w:val="Normal"/>
    <w:pPr>
      <w:spacing w:before="60" w:after="60"/>
    </w:pPr>
    <w:rPr>
      <w:sz w:val="20"/>
      <w:szCs w:val="20"/>
      <w:lang w:val="hu-HU"/>
    </w:rPr>
  </w:style>
  <w:style w:type="paragraph" w:styleId="Kolorowalistaakcent11" w:customStyle="1">
    <w:name w:val="Kolorowa lista — akcent 11"/>
    <w:basedOn w:val="Normal"/>
    <w:qFormat/>
    <w:pPr>
      <w:ind w:left="720" w:hanging="0"/>
    </w:pPr>
    <w:rPr>
      <w:rFonts w:ascii="Calibri" w:hAnsi="Calibri" w:eastAsia="Calibri" w:cs="Calibri"/>
      <w:sz w:val="22"/>
      <w:szCs w:val="22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Myriad Pro Light" w:hAnsi="Myriad Pro Light" w:eastAsia="Arial" w:cs="Myriad Pro Light"/>
      <w:color w:val="000000"/>
      <w:kern w:val="0"/>
      <w:sz w:val="24"/>
      <w:szCs w:val="24"/>
      <w:lang w:eastAsia="zh-CN" w:val="pl-PL" w:bidi="ar-SA"/>
    </w:rPr>
  </w:style>
  <w:style w:type="paragraph" w:styleId="Pa3" w:customStyle="1">
    <w:name w:val="Pa3"/>
    <w:basedOn w:val="Default"/>
    <w:next w:val="Default"/>
    <w:qFormat/>
    <w:pPr>
      <w:spacing w:lineRule="atLeast" w:line="241"/>
    </w:pPr>
    <w:rPr>
      <w:rFonts w:cs="Times New Roman"/>
    </w:rPr>
  </w:style>
  <w:style w:type="paragraph" w:styleId="2poziomELO" w:customStyle="1">
    <w:name w:val="2_poziom_ELO"/>
    <w:basedOn w:val="Nagwek1"/>
    <w:qFormat/>
    <w:pPr>
      <w:numPr>
        <w:ilvl w:val="0"/>
        <w:numId w:val="2"/>
      </w:numPr>
      <w:spacing w:lineRule="auto" w:line="360"/>
      <w:outlineLvl w:val="9"/>
    </w:pPr>
    <w:rPr>
      <w:rFonts w:ascii="Verdana" w:hAnsi="Verdana" w:cs="Arial"/>
      <w:kern w:val="2"/>
      <w:sz w:val="20"/>
      <w:szCs w:val="20"/>
    </w:rPr>
  </w:style>
  <w:style w:type="paragraph" w:styleId="3poziomELO" w:customStyle="1">
    <w:name w:val="3_poziom_ELO"/>
    <w:basedOn w:val="Nagwek1"/>
    <w:qFormat/>
    <w:pPr>
      <w:numPr>
        <w:ilvl w:val="0"/>
        <w:numId w:val="3"/>
      </w:numPr>
      <w:spacing w:lineRule="auto" w:line="360"/>
      <w:outlineLvl w:val="9"/>
    </w:pPr>
    <w:rPr>
      <w:rFonts w:ascii="Verdana" w:hAnsi="Verdana" w:cs="Arial"/>
      <w:kern w:val="2"/>
      <w:sz w:val="20"/>
      <w:szCs w:val="20"/>
    </w:rPr>
  </w:style>
  <w:style w:type="paragraph" w:styleId="Zwykytekst1" w:customStyle="1">
    <w:name w:val="Zwykły tekst1"/>
    <w:basedOn w:val="Normal"/>
    <w:qFormat/>
    <w:pPr/>
    <w:rPr>
      <w:rFonts w:ascii="Calibri" w:hAnsi="Calibri" w:eastAsia="Calibri" w:cs="Calibri"/>
      <w:sz w:val="22"/>
      <w:szCs w:val="21"/>
    </w:rPr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Zawartoramki" w:customStyle="1">
    <w:name w:val="Zawartość ramki"/>
    <w:basedOn w:val="Tretekstu"/>
    <w:qFormat/>
    <w:pPr/>
    <w:rPr/>
  </w:style>
  <w:style w:type="paragraph" w:styleId="Tekstpodstawowy23" w:customStyle="1">
    <w:name w:val="Tekst podstawowy 23"/>
    <w:basedOn w:val="Normal"/>
    <w:qFormat/>
    <w:pPr>
      <w:spacing w:lineRule="auto" w:line="480" w:before="0" w:after="120"/>
    </w:pPr>
    <w:rPr/>
  </w:style>
  <w:style w:type="paragraph" w:styleId="Tekstpodstawowy32" w:customStyle="1">
    <w:name w:val="Tekst podstawowy 32"/>
    <w:basedOn w:val="Normal"/>
    <w:qFormat/>
    <w:pPr>
      <w:spacing w:before="0" w:after="120"/>
    </w:pPr>
    <w:rPr>
      <w:sz w:val="16"/>
      <w:szCs w:val="16"/>
    </w:rPr>
  </w:style>
  <w:style w:type="paragraph" w:styleId="Styl1" w:customStyle="1">
    <w:name w:val="styl1"/>
    <w:basedOn w:val="Normal"/>
    <w:qFormat/>
    <w:pPr>
      <w:suppressAutoHyphens w:val="false"/>
      <w:spacing w:before="280" w:after="280"/>
    </w:pPr>
    <w:rPr/>
  </w:style>
  <w:style w:type="paragraph" w:styleId="Holdingpodstawowy" w:customStyle="1">
    <w:name w:val="Holding podstawowy"/>
    <w:basedOn w:val="Normal"/>
    <w:qFormat/>
    <w:pPr>
      <w:suppressAutoHyphens w:val="false"/>
      <w:jc w:val="both"/>
    </w:pPr>
    <w:rPr>
      <w:rFonts w:ascii="Arial" w:hAnsi="Arial" w:cs="Arial"/>
      <w:sz w:val="22"/>
      <w:szCs w:val="20"/>
    </w:rPr>
  </w:style>
  <w:style w:type="paragraph" w:styleId="Tekstpodstawowywcity32" w:customStyle="1">
    <w:name w:val="Tekst podstawowy wcięty 32"/>
    <w:basedOn w:val="Normal"/>
    <w:qFormat/>
    <w:pPr>
      <w:spacing w:before="0" w:after="120"/>
      <w:ind w:left="283" w:hanging="0"/>
    </w:pPr>
    <w:rPr>
      <w:sz w:val="16"/>
      <w:szCs w:val="16"/>
      <w:lang w:val="x-none"/>
    </w:rPr>
  </w:style>
  <w:style w:type="paragraph" w:styleId="Tekstpodstawowywcity22" w:customStyle="1">
    <w:name w:val="Tekst podstawowy wcięty 22"/>
    <w:basedOn w:val="Normal"/>
    <w:qFormat/>
    <w:pPr>
      <w:spacing w:lineRule="auto" w:line="480" w:before="0" w:after="120"/>
      <w:ind w:left="283" w:hanging="0"/>
    </w:pPr>
    <w:rPr>
      <w:lang w:val="x-none"/>
    </w:rPr>
  </w:style>
  <w:style w:type="paragraph" w:styleId="Adresodbiorcy" w:customStyle="1">
    <w:name w:val="Adres odbiorcy"/>
    <w:basedOn w:val="Normal"/>
    <w:qFormat/>
    <w:pPr>
      <w:suppressAutoHyphens w:val="false"/>
      <w:spacing w:lineRule="atLeast" w:line="220" w:before="0" w:after="120"/>
      <w:jc w:val="both"/>
    </w:pPr>
    <w:rPr>
      <w:rFonts w:ascii="Arial" w:hAnsi="Arial" w:cs="Arial"/>
      <w:spacing w:val="-5"/>
      <w:sz w:val="20"/>
      <w:szCs w:val="20"/>
      <w:lang w:bidi="en-US"/>
    </w:rPr>
  </w:style>
  <w:style w:type="paragraph" w:styleId="PodpisStanowisko" w:customStyle="1">
    <w:name w:val="Podpis - Stanowisko"/>
    <w:basedOn w:val="Sygnatura"/>
    <w:next w:val="Normal"/>
    <w:qFormat/>
    <w:pPr>
      <w:suppressAutoHyphens w:val="false"/>
      <w:spacing w:before="0" w:after="0"/>
    </w:pPr>
    <w:rPr/>
  </w:style>
  <w:style w:type="paragraph" w:styleId="NoSpacing">
    <w:name w:val="No Spacing"/>
    <w:basedOn w:val="Normal"/>
    <w:qFormat/>
    <w:pPr>
      <w:suppressAutoHyphens w:val="false"/>
    </w:pPr>
    <w:rPr>
      <w:rFonts w:ascii="Verdana" w:hAnsi="Verdana" w:cs="Verdana"/>
      <w:sz w:val="20"/>
      <w:szCs w:val="22"/>
      <w:lang w:val="x-none" w:bidi="en-US"/>
    </w:rPr>
  </w:style>
  <w:style w:type="paragraph" w:styleId="ListParagraph">
    <w:name w:val="List Paragraph"/>
    <w:basedOn w:val="Normal"/>
    <w:qFormat/>
    <w:pPr>
      <w:suppressAutoHyphens w:val="false"/>
      <w:spacing w:before="0" w:after="0"/>
      <w:ind w:left="720" w:hanging="0"/>
      <w:contextualSpacing/>
    </w:pPr>
    <w:rPr>
      <w:rFonts w:ascii="Cambria" w:hAnsi="Cambria" w:eastAsia="MS Mincho" w:cs="Cambria"/>
      <w:lang w:val="cs-CZ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  <w:lang w:val="x-none"/>
    </w:rPr>
  </w:style>
  <w:style w:type="paragraph" w:styleId="Bodytext51" w:customStyle="1">
    <w:name w:val="Body text (5)1"/>
    <w:basedOn w:val="Normal"/>
    <w:qFormat/>
    <w:pPr>
      <w:widowControl w:val="false"/>
      <w:shd w:val="clear" w:color="auto" w:fill="FFFFFF"/>
      <w:suppressAutoHyphens w:val="false"/>
      <w:spacing w:lineRule="exact" w:line="346"/>
      <w:ind w:hanging="1140"/>
    </w:pPr>
    <w:rPr>
      <w:rFonts w:ascii="Arial" w:hAnsi="Arial" w:cs="Arial"/>
      <w:sz w:val="19"/>
      <w:szCs w:val="19"/>
      <w:lang w:val="x-none"/>
    </w:rPr>
  </w:style>
  <w:style w:type="paragraph" w:styleId="Tekstkomentarza1" w:customStyle="1">
    <w:name w:val="Tekst komentarza1"/>
    <w:basedOn w:val="Normal"/>
    <w:qFormat/>
    <w:pPr/>
    <w:rPr>
      <w:sz w:val="20"/>
      <w:szCs w:val="20"/>
      <w:lang w:val="x-none"/>
    </w:rPr>
  </w:style>
  <w:style w:type="paragraph" w:styleId="Annotationsubject">
    <w:name w:val="annotation subject"/>
    <w:basedOn w:val="Tekstkomentarza1"/>
    <w:next w:val="Tekstkomentarza1"/>
    <w:qFormat/>
    <w:pPr/>
    <w:rPr>
      <w:b/>
      <w:bCs/>
    </w:rPr>
  </w:style>
  <w:style w:type="paragraph" w:styleId="Podstawowyakapitowy" w:customStyle="1">
    <w:name w:val="[Podstawowy akapitowy]"/>
    <w:basedOn w:val="Normal"/>
    <w:qFormat/>
    <w:pPr>
      <w:suppressAutoHyphens w:val="false"/>
      <w:spacing w:lineRule="auto" w:line="288"/>
      <w:textAlignment w:val="center"/>
    </w:pPr>
    <w:rPr>
      <w:rFonts w:eastAsia="Calibri"/>
      <w:color w:val="000000"/>
    </w:rPr>
  </w:style>
  <w:style w:type="paragraph" w:styleId="Data1" w:customStyle="1">
    <w:name w:val="Data1"/>
    <w:basedOn w:val="Normal"/>
    <w:next w:val="Normal"/>
    <w:qFormat/>
    <w:pPr>
      <w:suppressAutoHyphens w:val="false"/>
      <w:spacing w:lineRule="atLeast" w:line="220" w:before="0" w:after="220"/>
      <w:jc w:val="both"/>
    </w:pPr>
    <w:rPr>
      <w:rFonts w:ascii="Arial" w:hAnsi="Arial" w:cs="Arial"/>
      <w:spacing w:val="-5"/>
      <w:sz w:val="20"/>
      <w:szCs w:val="20"/>
    </w:rPr>
  </w:style>
  <w:style w:type="paragraph" w:styleId="Bodytext1" w:customStyle="1">
    <w:name w:val="Body text1"/>
    <w:basedOn w:val="Normal"/>
    <w:qFormat/>
    <w:pPr>
      <w:widowControl w:val="false"/>
      <w:shd w:val="clear" w:color="auto" w:fill="FFFFFF"/>
      <w:suppressAutoHyphens w:val="false"/>
      <w:spacing w:lineRule="exact" w:line="288"/>
      <w:ind w:hanging="1080"/>
    </w:pPr>
    <w:rPr>
      <w:rFonts w:ascii="Lucida Sans Unicode" w:hAnsi="Lucida Sans Unicode" w:cs="Lucida Sans Unicode"/>
      <w:sz w:val="16"/>
      <w:szCs w:val="16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eastAsia="zh-CN" w:bidi="hi-IN" w:val="pl-PL"/>
    </w:rPr>
  </w:style>
  <w:style w:type="paragraph" w:styleId="Revision">
    <w:name w:val="Revision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LibreOffice/7.3.4.2$Windows_X86_64 LibreOffice_project/728fec16bd5f605073805c3c9e7c4212a0120dc5</Application>
  <AppVersion>15.0000</AppVersion>
  <Pages>12</Pages>
  <Words>2395</Words>
  <Characters>16944</Characters>
  <CharactersWithSpaces>19251</CharactersWithSpaces>
  <Paragraphs>206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2024-09-18T16:06:00Z</dcterms:created>
  <dc:creator>user</dc:creator>
  <dc:description/>
  <dc:language>pl-PL</dc:language>
  <cp:lastModifiedBy/>
  <cp:lastPrinted>2022-10-26T06:54:00Z</cp:lastPrinted>
  <dcterms:modified xsi:type="dcterms:W3CDTF">2024-10-04T10:06:48Z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