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78E25BCE" w14:textId="56911539" w:rsidR="00422917" w:rsidRPr="00422995" w:rsidRDefault="00422917" w:rsidP="00422917">
      <w:pPr>
        <w:pStyle w:val="Normlnywebov"/>
        <w:spacing w:before="0" w:beforeAutospacing="0" w:after="0" w:afterAutospacing="0"/>
        <w:jc w:val="center"/>
        <w:rPr>
          <w:rFonts w:ascii="Arial" w:hAnsi="Arial" w:cs="Arial"/>
          <w:i/>
          <w:iCs/>
          <w:color w:val="000000"/>
          <w:sz w:val="20"/>
          <w:szCs w:val="20"/>
        </w:rPr>
      </w:pPr>
      <w:r w:rsidRPr="00422995">
        <w:rPr>
          <w:rFonts w:ascii="Arial" w:hAnsi="Arial" w:cs="Arial"/>
          <w:i/>
          <w:sz w:val="20"/>
          <w:szCs w:val="20"/>
        </w:rPr>
        <w:t xml:space="preserve">uzavretá podľa </w:t>
      </w:r>
      <w:r w:rsidRPr="00422995">
        <w:rPr>
          <w:rFonts w:ascii="Arial" w:hAnsi="Arial" w:cs="Arial"/>
          <w:i/>
          <w:iCs/>
          <w:color w:val="000000"/>
          <w:sz w:val="20"/>
          <w:szCs w:val="20"/>
        </w:rPr>
        <w:t>§ 3 zákona č. 116/1990 Zb. o nájme a podnájme nebytových priestorov v znení neskorších predpisov</w:t>
      </w:r>
      <w:r w:rsidRPr="00422995">
        <w:rPr>
          <w:rFonts w:ascii="Arial" w:hAnsi="Arial" w:cs="Arial"/>
          <w:i/>
          <w:sz w:val="20"/>
          <w:szCs w:val="20"/>
        </w:rPr>
        <w:t xml:space="preserve"> a </w:t>
      </w:r>
      <w:r w:rsidRPr="00422995">
        <w:rPr>
          <w:rFonts w:ascii="Arial" w:hAnsi="Arial" w:cs="Arial"/>
          <w:i/>
          <w:iCs/>
          <w:color w:val="000000"/>
          <w:sz w:val="20"/>
          <w:szCs w:val="20"/>
        </w:rPr>
        <w:t>§ 663 a </w:t>
      </w:r>
      <w:proofErr w:type="spellStart"/>
      <w:r w:rsidRPr="00422995">
        <w:rPr>
          <w:rFonts w:ascii="Arial" w:hAnsi="Arial" w:cs="Arial"/>
          <w:i/>
          <w:iCs/>
          <w:color w:val="000000"/>
          <w:sz w:val="20"/>
          <w:szCs w:val="20"/>
        </w:rPr>
        <w:t>nasl</w:t>
      </w:r>
      <w:proofErr w:type="spellEnd"/>
      <w:r w:rsidRPr="00422995">
        <w:rPr>
          <w:rFonts w:ascii="Arial" w:hAnsi="Arial" w:cs="Arial"/>
          <w:i/>
          <w:iCs/>
          <w:color w:val="000000"/>
          <w:sz w:val="20"/>
          <w:szCs w:val="20"/>
        </w:rPr>
        <w:t>. zákona č. 40/1964 Zb. Občiansky zákonník v znení neskorších</w:t>
      </w:r>
      <w:r w:rsidR="008D28F7" w:rsidRPr="00422995">
        <w:rPr>
          <w:rFonts w:ascii="Arial" w:hAnsi="Arial" w:cs="Arial"/>
          <w:i/>
          <w:iCs/>
          <w:color w:val="000000"/>
          <w:sz w:val="20"/>
          <w:szCs w:val="20"/>
        </w:rPr>
        <w:t xml:space="preserve"> </w:t>
      </w:r>
      <w:r w:rsidRPr="00422995">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422995">
        <w:rPr>
          <w:rFonts w:ascii="Arial" w:hAnsi="Arial" w:cs="Arial"/>
          <w:i/>
          <w:iCs/>
          <w:color w:val="000000" w:themeColor="text1"/>
          <w:sz w:val="20"/>
          <w:szCs w:val="20"/>
        </w:rPr>
        <w:t>(ďalej len „</w:t>
      </w:r>
      <w:r w:rsidRPr="00422995">
        <w:rPr>
          <w:rFonts w:ascii="Arial" w:hAnsi="Arial" w:cs="Arial"/>
          <w:b/>
          <w:i/>
          <w:iCs/>
          <w:color w:val="000000" w:themeColor="text1"/>
          <w:sz w:val="20"/>
          <w:szCs w:val="20"/>
        </w:rPr>
        <w:t>Zmluva</w:t>
      </w:r>
      <w:r w:rsidRPr="00422995">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Pr="005E77A9" w:rsidRDefault="00DA406B" w:rsidP="00A66343">
      <w:pPr>
        <w:pStyle w:val="Normlny1"/>
        <w:spacing w:line="240" w:lineRule="auto"/>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3F9532A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8D28F7" w:rsidRPr="00FC1648">
        <w:rPr>
          <w:rFonts w:ascii="Arial" w:hAnsi="Arial" w:cs="Arial"/>
          <w:sz w:val="20"/>
          <w:szCs w:val="20"/>
        </w:rPr>
        <w:t>Prenajímateľ je podielovým vlastníkom stavby – prevádzková budova so súpisným číslom 776 (ďalej len „</w:t>
      </w:r>
      <w:r w:rsidR="008D28F7" w:rsidRPr="008D28F7">
        <w:rPr>
          <w:rFonts w:ascii="Arial" w:hAnsi="Arial" w:cs="Arial"/>
          <w:b/>
          <w:bCs/>
          <w:sz w:val="20"/>
          <w:szCs w:val="20"/>
        </w:rPr>
        <w:t>Stavba</w:t>
      </w:r>
      <w:r w:rsidR="008D28F7" w:rsidRPr="00FC1648">
        <w:rPr>
          <w:rFonts w:ascii="Arial" w:hAnsi="Arial" w:cs="Arial"/>
          <w:sz w:val="20"/>
          <w:szCs w:val="20"/>
        </w:rPr>
        <w:t>“),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3CF73AF4"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008D28F7" w:rsidRPr="005E77A9">
        <w:rPr>
          <w:color w:val="auto"/>
          <w:sz w:val="20"/>
        </w:rPr>
        <w:t xml:space="preserve">Nájomca prejavil záujem o dočasné užívanie nebytového priestoru – </w:t>
      </w:r>
      <w:r w:rsidR="00422995">
        <w:rPr>
          <w:color w:val="auto"/>
          <w:sz w:val="20"/>
        </w:rPr>
        <w:t>garáže</w:t>
      </w:r>
      <w:r w:rsidR="008D28F7" w:rsidRPr="005E77A9">
        <w:rPr>
          <w:color w:val="auto"/>
          <w:sz w:val="20"/>
        </w:rPr>
        <w:t xml:space="preserve"> </w:t>
      </w:r>
      <w:r w:rsidR="008D28F7" w:rsidRPr="008D28F7">
        <w:rPr>
          <w:b/>
          <w:bCs/>
          <w:color w:val="auto"/>
          <w:sz w:val="20"/>
        </w:rPr>
        <w:t>č</w:t>
      </w:r>
      <w:r w:rsidR="008D28F7" w:rsidRPr="005E77A9">
        <w:rPr>
          <w:color w:val="auto"/>
          <w:sz w:val="20"/>
        </w:rPr>
        <w:t xml:space="preserve">. </w:t>
      </w:r>
      <w:r w:rsidR="00422995">
        <w:rPr>
          <w:b/>
          <w:bCs/>
          <w:color w:val="auto"/>
          <w:sz w:val="20"/>
        </w:rPr>
        <w:t>015</w:t>
      </w:r>
      <w:r w:rsidR="008D28F7" w:rsidRPr="005E77A9">
        <w:rPr>
          <w:color w:val="auto"/>
          <w:sz w:val="20"/>
        </w:rPr>
        <w:t>,</w:t>
      </w:r>
      <w:r w:rsidR="008D28F7" w:rsidRPr="005E77A9">
        <w:rPr>
          <w:b/>
          <w:bCs/>
          <w:color w:val="auto"/>
          <w:sz w:val="20"/>
        </w:rPr>
        <w:t xml:space="preserve"> </w:t>
      </w:r>
      <w:r w:rsidR="008D28F7" w:rsidRPr="005E77A9">
        <w:rPr>
          <w:color w:val="auto"/>
          <w:sz w:val="20"/>
        </w:rPr>
        <w:t xml:space="preserve">o výmere </w:t>
      </w:r>
      <w:r w:rsidR="00422995">
        <w:rPr>
          <w:b/>
          <w:bCs/>
          <w:color w:val="auto"/>
          <w:sz w:val="20"/>
        </w:rPr>
        <w:t>19,03</w:t>
      </w:r>
      <w:r w:rsidR="008D28F7" w:rsidRPr="008D28F7">
        <w:rPr>
          <w:b/>
          <w:bCs/>
          <w:color w:val="auto"/>
          <w:sz w:val="20"/>
        </w:rPr>
        <w:t xml:space="preserve"> m</w:t>
      </w:r>
      <w:r w:rsidR="008D28F7" w:rsidRPr="008D28F7">
        <w:rPr>
          <w:b/>
          <w:bCs/>
          <w:color w:val="auto"/>
          <w:sz w:val="20"/>
          <w:vertAlign w:val="superscript"/>
        </w:rPr>
        <w:t>2</w:t>
      </w:r>
      <w:r w:rsidR="008D28F7" w:rsidRPr="005E77A9">
        <w:rPr>
          <w:color w:val="auto"/>
          <w:sz w:val="20"/>
        </w:rPr>
        <w:t>, nachádzajúceho sa v</w:t>
      </w:r>
      <w:r w:rsidR="00422995">
        <w:rPr>
          <w:color w:val="auto"/>
          <w:sz w:val="20"/>
        </w:rPr>
        <w:t xml:space="preserve"> suteréne </w:t>
      </w:r>
      <w:r w:rsidR="008D28F7" w:rsidRPr="005E77A9">
        <w:rPr>
          <w:color w:val="auto"/>
          <w:sz w:val="20"/>
        </w:rPr>
        <w:t>Stavb</w:t>
      </w:r>
      <w:r w:rsidR="00422995">
        <w:rPr>
          <w:color w:val="auto"/>
          <w:sz w:val="20"/>
        </w:rPr>
        <w:t>y</w:t>
      </w:r>
      <w:r w:rsidR="008D28F7" w:rsidRPr="005E77A9">
        <w:rPr>
          <w:color w:val="auto"/>
          <w:sz w:val="20"/>
        </w:rPr>
        <w:t xml:space="preserve"> (ďalej len „</w:t>
      </w:r>
      <w:r w:rsidR="008D28F7" w:rsidRPr="005E77A9">
        <w:rPr>
          <w:b/>
          <w:bCs/>
          <w:color w:val="auto"/>
          <w:sz w:val="20"/>
        </w:rPr>
        <w:t>Predmet nájmu</w:t>
      </w:r>
      <w:r w:rsidR="008D28F7" w:rsidRPr="005E77A9">
        <w:rPr>
          <w:color w:val="auto"/>
          <w:sz w:val="20"/>
        </w:rPr>
        <w:t>“), za podmienok uvedených v ďalších ustanoveniach tejto Zmluvy. Umiestnenie Predmetu nájmu je znázornené farebne v grafickom znázornení, ktoré tvorí Prílohu tejto Zmluvy.</w:t>
      </w:r>
    </w:p>
    <w:p w14:paraId="461B7E9A" w14:textId="77777777" w:rsidR="008D28F7" w:rsidRPr="005E77A9" w:rsidRDefault="008D28F7"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56B6C1A0"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8D28F7">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sidRPr="008D28F7">
        <w:rPr>
          <w:b/>
          <w:bCs/>
          <w:color w:val="auto"/>
          <w:sz w:val="20"/>
        </w:rPr>
        <w:t xml:space="preserve"> </w:t>
      </w:r>
      <w:r w:rsidRPr="008D28F7">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360E9645" w14:textId="77777777" w:rsidR="008D28F7" w:rsidRPr="005E77A9" w:rsidRDefault="008D28F7"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0D54A4CA" w:rsidR="00CE5038" w:rsidRPr="005E77A9" w:rsidRDefault="000C7887" w:rsidP="00A66343">
      <w:pPr>
        <w:spacing w:line="240" w:lineRule="auto"/>
        <w:ind w:left="690" w:hanging="720"/>
        <w:jc w:val="both"/>
        <w:rPr>
          <w:sz w:val="20"/>
        </w:rPr>
      </w:pPr>
      <w:r w:rsidRPr="005E77A9">
        <w:rPr>
          <w:b/>
          <w:sz w:val="20"/>
        </w:rPr>
        <w:t>4.1</w:t>
      </w:r>
      <w:r w:rsidRPr="005E77A9">
        <w:rPr>
          <w:b/>
          <w:sz w:val="20"/>
        </w:rPr>
        <w:tab/>
      </w:r>
      <w:r w:rsidR="008D28F7" w:rsidRPr="005E77A9">
        <w:rPr>
          <w:sz w:val="20"/>
        </w:rPr>
        <w:t xml:space="preserve">Zmluvné strany sa dohodli, že táto Zmluva sa uzatvára na dobu určitú, a to na obdobie </w:t>
      </w:r>
      <w:r w:rsidR="008D28F7" w:rsidRPr="008D28F7">
        <w:rPr>
          <w:b/>
          <w:bCs/>
          <w:sz w:val="20"/>
        </w:rPr>
        <w:t>do 31.12.2026</w:t>
      </w:r>
      <w:r w:rsidR="008D28F7" w:rsidRPr="007F24CA">
        <w:rPr>
          <w:sz w:val="20"/>
        </w:rPr>
        <w:t xml:space="preserve"> odo dňa účinnosti nájomnej zmluvy </w:t>
      </w:r>
      <w:r w:rsidR="008D28F7" w:rsidRPr="005E77A9">
        <w:rPr>
          <w:sz w:val="20"/>
        </w:rPr>
        <w:t>podľa článku 1</w:t>
      </w:r>
      <w:r w:rsidR="008D28F7">
        <w:rPr>
          <w:sz w:val="20"/>
        </w:rPr>
        <w:t>3</w:t>
      </w:r>
      <w:r w:rsidR="008D28F7" w:rsidRPr="005E77A9">
        <w:rPr>
          <w:sz w:val="20"/>
        </w:rPr>
        <w:t xml:space="preserve"> bod </w:t>
      </w:r>
      <w:r w:rsidR="008D28F7" w:rsidRPr="00FC1648">
        <w:rPr>
          <w:sz w:val="20"/>
        </w:rPr>
        <w:t>13.5</w:t>
      </w:r>
      <w:r w:rsidR="008D28F7">
        <w:rPr>
          <w:sz w:val="20"/>
        </w:rPr>
        <w:t>.1</w:t>
      </w:r>
      <w:r w:rsidR="008D28F7" w:rsidRPr="007F24CA">
        <w:rPr>
          <w:sz w:val="20"/>
        </w:rPr>
        <w:t xml:space="preserve">, nie však skôr ako od </w:t>
      </w:r>
      <w:r w:rsidR="00422995">
        <w:rPr>
          <w:sz w:val="20"/>
        </w:rPr>
        <w:t>5</w:t>
      </w:r>
      <w:r w:rsidR="008D28F7" w:rsidRPr="007F24CA">
        <w:rPr>
          <w:sz w:val="20"/>
        </w:rPr>
        <w:t>.</w:t>
      </w:r>
      <w:r w:rsidR="00422995">
        <w:rPr>
          <w:sz w:val="20"/>
        </w:rPr>
        <w:t>2</w:t>
      </w:r>
      <w:r w:rsidR="008D28F7" w:rsidRPr="007F24CA">
        <w:rPr>
          <w:sz w:val="20"/>
        </w:rPr>
        <w:t>.202</w:t>
      </w:r>
      <w:r w:rsidR="00422995">
        <w:rPr>
          <w:sz w:val="20"/>
        </w:rPr>
        <w:t>5</w:t>
      </w:r>
      <w:r w:rsidR="008D28F7" w:rsidRPr="00FC1648">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lastRenderedPageBreak/>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Pr="00F254C4" w:rsidRDefault="008568A5" w:rsidP="00A66343">
      <w:pPr>
        <w:tabs>
          <w:tab w:val="left" w:pos="567"/>
          <w:tab w:val="left" w:pos="709"/>
        </w:tabs>
        <w:spacing w:line="240" w:lineRule="auto"/>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8D28F7">
        <w:rPr>
          <w:b/>
          <w:color w:val="000000" w:themeColor="text1"/>
          <w:sz w:val="20"/>
        </w:rPr>
        <w:t>4.1</w:t>
      </w:r>
      <w:r w:rsidR="00E25626" w:rsidRPr="008D28F7">
        <w:rPr>
          <w:b/>
          <w:color w:val="000000" w:themeColor="text1"/>
          <w:sz w:val="20"/>
        </w:rPr>
        <w:t>0</w:t>
      </w:r>
      <w:r w:rsidRPr="008D28F7">
        <w:rPr>
          <w:b/>
          <w:color w:val="000000" w:themeColor="text1"/>
          <w:sz w:val="20"/>
        </w:rPr>
        <w:tab/>
      </w:r>
      <w:r w:rsidRPr="008D28F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702CBE04"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422995">
        <w:rPr>
          <w:rFonts w:eastAsia="Times New Roman"/>
          <w:b/>
          <w:bCs/>
          <w:sz w:val="20"/>
        </w:rPr>
        <w:t>mesiac</w:t>
      </w:r>
      <w:r w:rsidRPr="00520961">
        <w:rPr>
          <w:rFonts w:eastAsia="Times New Roman"/>
          <w:b/>
          <w:bCs/>
          <w:sz w:val="20"/>
        </w:rPr>
        <w:t xml:space="preserve"> x </w:t>
      </w:r>
      <w:r w:rsidR="00422995">
        <w:rPr>
          <w:rFonts w:eastAsia="Times New Roman"/>
          <w:b/>
          <w:bCs/>
          <w:sz w:val="20"/>
        </w:rPr>
        <w:t>19,03</w:t>
      </w:r>
      <w:r w:rsidRPr="00520961">
        <w:rPr>
          <w:rFonts w:eastAsia="Times New Roman"/>
          <w:b/>
          <w:bCs/>
          <w:sz w:val="20"/>
        </w:rPr>
        <w:t xml:space="preserve"> m</w:t>
      </w:r>
      <w:r w:rsidRPr="00520961">
        <w:rPr>
          <w:rFonts w:eastAsia="Times New Roman"/>
          <w:b/>
          <w:bCs/>
          <w:sz w:val="20"/>
          <w:vertAlign w:val="superscript"/>
        </w:rPr>
        <w:t xml:space="preserve">2 </w:t>
      </w:r>
      <w:bookmarkStart w:id="2" w:name="_Hlk178176148"/>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422995">
        <w:rPr>
          <w:rFonts w:eastAsia="Times New Roman"/>
          <w:b/>
          <w:bCs/>
          <w:sz w:val="20"/>
        </w:rPr>
        <w:t>mesiac</w:t>
      </w:r>
      <w:r w:rsidRPr="005E77A9">
        <w:rPr>
          <w:rFonts w:eastAsia="Times New Roman"/>
          <w:b/>
          <w:bCs/>
          <w:sz w:val="20"/>
        </w:rPr>
        <w:t xml:space="preserve"> </w:t>
      </w:r>
      <w:r w:rsidRPr="00A66343">
        <w:rPr>
          <w:rFonts w:eastAsia="Times New Roman"/>
          <w:b/>
          <w:bCs/>
          <w:sz w:val="20"/>
        </w:rPr>
        <w:t>+ DPH</w:t>
      </w:r>
      <w:bookmarkEnd w:id="2"/>
      <w:r w:rsidR="00422995" w:rsidRPr="00520961">
        <w:rPr>
          <w:rFonts w:eastAsia="Times New Roman"/>
          <w:b/>
          <w:bCs/>
          <w:sz w:val="20"/>
        </w:rPr>
        <w:t xml:space="preserve">= </w:t>
      </w:r>
      <w:r w:rsidR="00422995" w:rsidRPr="00520961">
        <w:rPr>
          <w:rFonts w:eastAsia="Arial Unicode MS"/>
          <w:b/>
          <w:bCs/>
          <w:sz w:val="20"/>
          <w:highlight w:val="yellow"/>
        </w:rPr>
        <w:t>[•]</w:t>
      </w:r>
      <w:r w:rsidR="00422995" w:rsidRPr="00520961">
        <w:rPr>
          <w:rFonts w:eastAsia="Times New Roman"/>
          <w:b/>
          <w:bCs/>
          <w:sz w:val="20"/>
        </w:rPr>
        <w:t>,- EUR/</w:t>
      </w:r>
      <w:r w:rsidR="00422995">
        <w:rPr>
          <w:rFonts w:eastAsia="Times New Roman"/>
          <w:b/>
          <w:bCs/>
          <w:sz w:val="20"/>
        </w:rPr>
        <w:t>rok</w:t>
      </w:r>
      <w:r w:rsidR="00422995" w:rsidRPr="005E77A9">
        <w:rPr>
          <w:rFonts w:eastAsia="Times New Roman"/>
          <w:b/>
          <w:bCs/>
          <w:sz w:val="20"/>
        </w:rPr>
        <w:t xml:space="preserve"> </w:t>
      </w:r>
      <w:r w:rsidR="00422995" w:rsidRPr="00A66343">
        <w:rPr>
          <w:rFonts w:eastAsia="Times New Roman"/>
          <w:b/>
          <w:bCs/>
          <w:sz w:val="20"/>
        </w:rPr>
        <w:t>+ DPH</w:t>
      </w:r>
      <w:r w:rsidR="00422995">
        <w:rPr>
          <w:rFonts w:eastAsia="Times New Roman"/>
          <w:b/>
          <w:bCs/>
          <w:sz w:val="20"/>
        </w:rPr>
        <w:t xml:space="preserve"> </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5CF41973" w14:textId="3909D0E5" w:rsidR="008D28F7" w:rsidRPr="005E77A9" w:rsidRDefault="00BD4D11" w:rsidP="008D28F7">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008D28F7" w:rsidRPr="005E77A9">
        <w:rPr>
          <w:sz w:val="20"/>
        </w:rPr>
        <w:t xml:space="preserve">Nájomné bude Nájomcom uhrádzané </w:t>
      </w:r>
      <w:r w:rsidR="00422995">
        <w:rPr>
          <w:sz w:val="20"/>
        </w:rPr>
        <w:t>polročne</w:t>
      </w:r>
      <w:r w:rsidR="008D28F7" w:rsidRPr="005E77A9">
        <w:rPr>
          <w:sz w:val="20"/>
        </w:rPr>
        <w:t xml:space="preserve"> vopred za každý kalendárny </w:t>
      </w:r>
      <w:r w:rsidR="00E9394D">
        <w:rPr>
          <w:sz w:val="20"/>
        </w:rPr>
        <w:t>polrok</w:t>
      </w:r>
      <w:r w:rsidR="008D28F7"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8D28F7">
        <w:rPr>
          <w:sz w:val="20"/>
        </w:rPr>
        <w:t>na</w:t>
      </w:r>
      <w:r w:rsidR="008D28F7" w:rsidRPr="005E77A9">
        <w:rPr>
          <w:sz w:val="20"/>
        </w:rPr>
        <w:t xml:space="preserve"> faktúre. </w:t>
      </w:r>
      <w:bookmarkEnd w:id="3"/>
      <w:r w:rsidR="00E9394D" w:rsidRPr="00E9394D">
        <w:rPr>
          <w:sz w:val="20"/>
        </w:rPr>
        <w:t>Deň splatnosti Nájomného je vždy pätnásty (15.) deň prvého kalendárneho mesiaca príslušného kalendárneho polroka, za ktorý sa Nájomné podľa tejto Zmluvy platí, a to aj v prípade omeškania Prenajímateľa s vystavením faktúry.</w:t>
      </w:r>
    </w:p>
    <w:p w14:paraId="1B812945" w14:textId="77777777" w:rsidR="008D28F7" w:rsidRPr="005E77A9" w:rsidRDefault="008D28F7" w:rsidP="008D28F7">
      <w:pPr>
        <w:spacing w:line="240" w:lineRule="auto"/>
        <w:ind w:left="690" w:hanging="720"/>
        <w:jc w:val="both"/>
        <w:rPr>
          <w:rFonts w:eastAsia="Times New Roman"/>
          <w:color w:val="000000" w:themeColor="text1"/>
          <w:sz w:val="20"/>
        </w:rPr>
      </w:pPr>
    </w:p>
    <w:p w14:paraId="45190366" w14:textId="7537232C" w:rsidR="008D28F7" w:rsidRPr="005E77A9" w:rsidRDefault="008D28F7" w:rsidP="008D28F7">
      <w:pPr>
        <w:spacing w:line="240" w:lineRule="auto"/>
        <w:ind w:left="690" w:hanging="720"/>
        <w:jc w:val="both"/>
        <w:rPr>
          <w:rFonts w:eastAsia="Times New Roman"/>
          <w:sz w:val="20"/>
        </w:rPr>
      </w:pPr>
      <w:r w:rsidRPr="005E77A9">
        <w:rPr>
          <w:rFonts w:eastAsia="Times New Roman"/>
          <w:color w:val="000000" w:themeColor="text1"/>
          <w:sz w:val="20"/>
        </w:rPr>
        <w:lastRenderedPageBreak/>
        <w:tab/>
      </w:r>
      <w:r w:rsidR="00E9394D" w:rsidRPr="00E9394D">
        <w:rPr>
          <w:rFonts w:eastAsia="Times New Roman"/>
          <w:sz w:val="20"/>
        </w:rPr>
        <w:t>Nájomné za užívanie Predmetu nájmu za obdobie kratšie než kalendárny polrok v zmysle tejto Zmluvy, bude Prenajímateľom vyčíslené a Nájomcom uhradené v alikvotnej výške vypočítanej nasledovne: ročné Nájomné podľa bodu 5.1 /365 x počet dní užívania Predmetu nájmu v príslušnom kalendárnom polroku + DPH. Alikvotnú časť Nájomného za prvý kalendárny polrok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664F0AC9" w14:textId="6BA436E5" w:rsidR="004B2C68" w:rsidRPr="005E77A9" w:rsidRDefault="004B2C68" w:rsidP="008D28F7">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417909DA" w14:textId="4DA5AF79" w:rsidR="00D618BC" w:rsidRPr="001D2A93" w:rsidRDefault="00D618BC" w:rsidP="00A66343">
      <w:pPr>
        <w:spacing w:line="240" w:lineRule="auto"/>
        <w:ind w:left="690" w:hanging="720"/>
        <w:jc w:val="both"/>
        <w:rPr>
          <w:rFonts w:eastAsia="Times New Roman"/>
          <w:sz w:val="20"/>
        </w:rPr>
      </w:pPr>
      <w:r w:rsidRPr="001D2A93">
        <w:rPr>
          <w:b/>
          <w:sz w:val="20"/>
        </w:rPr>
        <w:t>5.4</w:t>
      </w:r>
      <w:r w:rsidRPr="001D2A93">
        <w:rPr>
          <w:sz w:val="20"/>
        </w:rPr>
        <w:t xml:space="preserve">       </w:t>
      </w:r>
      <w:r w:rsidRPr="001D2A93">
        <w:rPr>
          <w:sz w:val="20"/>
        </w:rPr>
        <w:tab/>
      </w:r>
      <w:r w:rsidR="00E9394D" w:rsidRPr="00E9394D">
        <w:rPr>
          <w:rFonts w:eastAsia="Times New Roman"/>
          <w:sz w:val="20"/>
        </w:rPr>
        <w:t>Nájomné nezahŕňa vodné, stočné, dodávku elektrickej energie, dodávku tepla, ani žiadnych iných médií a ostatných služieb spojených s užívaním Predmetu nájmu (ďalej aj ako „Médiá“). Zmluvné strany berú na vedomie a súhlasia s tým, že dodávky Médií nie je Prenajímateľ povinný Nájomcovi zabezpečiť a nie je povinný na takýto účel vybudovať žiadne inžinierske siete, ani znášať akékoľvek náklady.</w:t>
      </w:r>
      <w:r w:rsidRPr="001D2A93">
        <w:rPr>
          <w:rFonts w:eastAsia="Times New Roman"/>
          <w:sz w:val="20"/>
        </w:rPr>
        <w:t xml:space="preserve"> </w:t>
      </w:r>
    </w:p>
    <w:p w14:paraId="5B7BD473" w14:textId="77777777" w:rsidR="00D618BC" w:rsidRPr="001D2A93" w:rsidRDefault="00D618BC" w:rsidP="00A66343">
      <w:pPr>
        <w:spacing w:line="240" w:lineRule="auto"/>
        <w:ind w:left="690" w:hanging="720"/>
        <w:jc w:val="both"/>
        <w:rPr>
          <w:rFonts w:eastAsia="Times New Roman"/>
          <w:sz w:val="20"/>
        </w:rPr>
      </w:pPr>
    </w:p>
    <w:p w14:paraId="3F52CA7A" w14:textId="7A51D4B7" w:rsidR="00054C65" w:rsidRPr="005E77A9" w:rsidRDefault="00D618BC" w:rsidP="00A66343">
      <w:pPr>
        <w:spacing w:line="240" w:lineRule="auto"/>
        <w:ind w:left="690" w:hanging="720"/>
        <w:jc w:val="both"/>
        <w:rPr>
          <w:sz w:val="20"/>
        </w:rPr>
      </w:pPr>
      <w:r w:rsidRPr="001D2A93">
        <w:rPr>
          <w:b/>
          <w:sz w:val="20"/>
        </w:rPr>
        <w:t>5.5</w:t>
      </w:r>
      <w:r w:rsidRPr="001D2A93">
        <w:rPr>
          <w:sz w:val="20"/>
        </w:rPr>
        <w:t xml:space="preserve">       </w:t>
      </w:r>
      <w:r w:rsidRPr="001D2A93">
        <w:rPr>
          <w:sz w:val="20"/>
        </w:rPr>
        <w:tab/>
      </w:r>
      <w:r w:rsidR="0082295C" w:rsidRPr="001D2A93">
        <w:rPr>
          <w:color w:val="000000" w:themeColor="text1"/>
          <w:sz w:val="20"/>
        </w:rPr>
        <w:t>Prenajímateľ je povinný každú faktúru doručiť Nájomcovi elektronicky prostredníctvom</w:t>
      </w:r>
      <w:r w:rsidR="0082295C" w:rsidRPr="005E77A9">
        <w:rPr>
          <w:color w:val="000000" w:themeColor="text1"/>
          <w:sz w:val="20"/>
        </w:rPr>
        <w:t xml:space="preserve">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1D2A93">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127E8202"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w:t>
      </w:r>
      <w:r w:rsidR="00DC09A4" w:rsidRPr="001D2A93">
        <w:rPr>
          <w:sz w:val="20"/>
          <w:szCs w:val="20"/>
        </w:rPr>
        <w:t xml:space="preserve">Prenajímateľovi </w:t>
      </w:r>
      <w:r w:rsidR="00FB2B17" w:rsidRPr="001D2A93">
        <w:rPr>
          <w:b/>
          <w:bCs/>
          <w:color w:val="000000" w:themeColor="text1"/>
          <w:sz w:val="20"/>
        </w:rPr>
        <w:t>kauciu vo výške troch dvanástin (3/12) ročného Nájomného podľa bodu 5.1 tohto článku</w:t>
      </w:r>
      <w:r w:rsidR="00DC09A4" w:rsidRPr="001D2A93">
        <w:rPr>
          <w:sz w:val="20"/>
          <w:szCs w:val="20"/>
        </w:rPr>
        <w:t>. Prenajímateľ je oprávnený</w:t>
      </w:r>
      <w:r w:rsidR="00DC09A4" w:rsidRPr="005E77A9">
        <w:rPr>
          <w:sz w:val="20"/>
          <w:szCs w:val="20"/>
        </w:rPr>
        <w:t xml:space="preserve">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2A93" w:rsidRDefault="00DC09A4" w:rsidP="00A66343">
      <w:pPr>
        <w:pStyle w:val="Normlny10"/>
        <w:spacing w:line="240" w:lineRule="auto"/>
        <w:ind w:left="692" w:hanging="692"/>
        <w:jc w:val="both"/>
        <w:outlineLvl w:val="2"/>
        <w:rPr>
          <w:sz w:val="20"/>
          <w:szCs w:val="20"/>
        </w:rPr>
      </w:pPr>
      <w:bookmarkStart w:id="4"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alebo znaleckou organizáciou určenou Prenajímateľom</w:t>
      </w:r>
      <w:r w:rsidR="005B6F96" w:rsidRPr="001D2A93">
        <w:rPr>
          <w:sz w:val="20"/>
          <w:szCs w:val="20"/>
        </w:rPr>
        <w:t xml:space="preserve">. Zmluvné strany sa dohodli, že v prípade </w:t>
      </w:r>
      <w:r w:rsidR="005B6F96" w:rsidRPr="001D2A93">
        <w:rPr>
          <w:sz w:val="20"/>
          <w:szCs w:val="20"/>
        </w:rPr>
        <w:br/>
        <w:t xml:space="preserve">ak všeobecná hodnota Nájmu za Predmet nájmu určená znaleckým posudkom bude vyššia </w:t>
      </w:r>
      <w:r w:rsidR="005B6F96" w:rsidRPr="001D2A93">
        <w:rPr>
          <w:sz w:val="20"/>
          <w:szCs w:val="20"/>
        </w:rPr>
        <w:br/>
        <w:t xml:space="preserve">než Nájomné platené za príslušný kalendárny rok zvýšené podľa bodu </w:t>
      </w:r>
      <w:r w:rsidRPr="001D2A93">
        <w:rPr>
          <w:sz w:val="20"/>
          <w:szCs w:val="20"/>
        </w:rPr>
        <w:t>5.8</w:t>
      </w:r>
      <w:r w:rsidR="005B6F96" w:rsidRPr="001D2A9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2A93">
        <w:rPr>
          <w:sz w:val="20"/>
          <w:szCs w:val="20"/>
        </w:rPr>
        <w:t>5.10</w:t>
      </w:r>
      <w:r w:rsidR="005B6F96" w:rsidRPr="001D2A93">
        <w:rPr>
          <w:sz w:val="20"/>
          <w:szCs w:val="20"/>
        </w:rPr>
        <w:t xml:space="preserve"> a v prípade, ak Nájomca neuplatnil svoje právo vypovedať túto Zmluvu podľa bodu </w:t>
      </w:r>
      <w:r w:rsidRPr="001D2A93">
        <w:rPr>
          <w:sz w:val="20"/>
          <w:szCs w:val="20"/>
        </w:rPr>
        <w:t>5.10</w:t>
      </w:r>
      <w:bookmarkEnd w:id="4"/>
      <w:r w:rsidR="00E00C86" w:rsidRPr="001D2A93">
        <w:rPr>
          <w:sz w:val="20"/>
          <w:szCs w:val="20"/>
        </w:rPr>
        <w:t>.</w:t>
      </w:r>
    </w:p>
    <w:p w14:paraId="1E157530" w14:textId="77777777" w:rsidR="00822D57" w:rsidRPr="001D2A93" w:rsidRDefault="00822D57" w:rsidP="00A66343">
      <w:pPr>
        <w:pStyle w:val="Normlny10"/>
        <w:spacing w:line="240" w:lineRule="auto"/>
        <w:ind w:left="692"/>
        <w:jc w:val="both"/>
        <w:outlineLvl w:val="2"/>
        <w:rPr>
          <w:sz w:val="20"/>
          <w:szCs w:val="20"/>
        </w:rPr>
      </w:pPr>
    </w:p>
    <w:p w14:paraId="12E6D5DA" w14:textId="6A6C937C" w:rsidR="005B6F96" w:rsidRPr="001D2A93" w:rsidRDefault="00DC09A4" w:rsidP="00A66343">
      <w:pPr>
        <w:pStyle w:val="Normlny10"/>
        <w:spacing w:line="240" w:lineRule="auto"/>
        <w:ind w:left="692" w:hanging="692"/>
        <w:jc w:val="both"/>
        <w:outlineLvl w:val="2"/>
        <w:rPr>
          <w:sz w:val="20"/>
          <w:szCs w:val="20"/>
        </w:rPr>
      </w:pPr>
      <w:bookmarkStart w:id="5" w:name="_Ref512354267"/>
      <w:r w:rsidRPr="001D2A93">
        <w:rPr>
          <w:b/>
          <w:bCs/>
          <w:sz w:val="20"/>
          <w:szCs w:val="20"/>
        </w:rPr>
        <w:lastRenderedPageBreak/>
        <w:t>5.10</w:t>
      </w:r>
      <w:r w:rsidRPr="001D2A93">
        <w:rPr>
          <w:b/>
          <w:bCs/>
          <w:sz w:val="20"/>
          <w:szCs w:val="20"/>
        </w:rPr>
        <w:tab/>
      </w:r>
      <w:r w:rsidR="005B6F96" w:rsidRPr="001D2A93">
        <w:rPr>
          <w:sz w:val="20"/>
          <w:szCs w:val="20"/>
        </w:rPr>
        <w:t xml:space="preserve">O úprave Nájomného podľa bodu </w:t>
      </w:r>
      <w:r w:rsidR="00326CE5" w:rsidRPr="001D2A93">
        <w:rPr>
          <w:sz w:val="20"/>
          <w:szCs w:val="20"/>
        </w:rPr>
        <w:t>5.9</w:t>
      </w:r>
      <w:r w:rsidR="005B6F96" w:rsidRPr="001D2A9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2A93">
        <w:rPr>
          <w:sz w:val="20"/>
          <w:szCs w:val="20"/>
        </w:rPr>
        <w:t>5.9</w:t>
      </w:r>
      <w:r w:rsidR="005B6F96" w:rsidRPr="001D2A93">
        <w:rPr>
          <w:sz w:val="20"/>
          <w:szCs w:val="20"/>
        </w:rPr>
        <w:t xml:space="preserve">, prípadne zvýšeného podľa bodu </w:t>
      </w:r>
      <w:r w:rsidR="00326CE5" w:rsidRPr="001D2A93">
        <w:rPr>
          <w:sz w:val="20"/>
          <w:szCs w:val="20"/>
        </w:rPr>
        <w:t>5.8</w:t>
      </w:r>
      <w:bookmarkEnd w:id="5"/>
      <w:r w:rsidR="00E00C86" w:rsidRPr="001D2A93">
        <w:rPr>
          <w:sz w:val="20"/>
          <w:szCs w:val="20"/>
        </w:rPr>
        <w:t>.</w:t>
      </w:r>
    </w:p>
    <w:p w14:paraId="78F8649F" w14:textId="77777777" w:rsidR="00EB03E6" w:rsidRPr="001D2A93" w:rsidRDefault="00EB03E6" w:rsidP="00A66343">
      <w:pPr>
        <w:pStyle w:val="Normlny10"/>
        <w:spacing w:line="240" w:lineRule="auto"/>
        <w:ind w:left="692" w:hanging="692"/>
        <w:jc w:val="both"/>
        <w:outlineLvl w:val="2"/>
        <w:rPr>
          <w:sz w:val="20"/>
          <w:szCs w:val="20"/>
        </w:rPr>
      </w:pPr>
    </w:p>
    <w:p w14:paraId="3A42377E" w14:textId="1A0ED6A0" w:rsidR="002B2F3C" w:rsidRDefault="00664A83" w:rsidP="00A66343">
      <w:pPr>
        <w:pStyle w:val="Normlny10"/>
        <w:spacing w:line="240" w:lineRule="auto"/>
        <w:ind w:left="690" w:hanging="690"/>
        <w:jc w:val="both"/>
        <w:outlineLvl w:val="2"/>
        <w:rPr>
          <w:sz w:val="20"/>
          <w:szCs w:val="20"/>
        </w:rPr>
      </w:pPr>
      <w:r w:rsidRPr="001D2A93">
        <w:rPr>
          <w:b/>
          <w:bCs/>
          <w:sz w:val="20"/>
          <w:szCs w:val="20"/>
        </w:rPr>
        <w:t>5.11</w:t>
      </w:r>
      <w:r w:rsidRPr="001D2A93">
        <w:rPr>
          <w:sz w:val="20"/>
          <w:szCs w:val="20"/>
        </w:rPr>
        <w:t xml:space="preserve"> </w:t>
      </w:r>
      <w:r w:rsidRPr="001D2A93">
        <w:rPr>
          <w:sz w:val="20"/>
          <w:szCs w:val="20"/>
        </w:rPr>
        <w:tab/>
      </w:r>
      <w:r w:rsidR="00D043BE" w:rsidRPr="001D2A93">
        <w:rPr>
          <w:sz w:val="20"/>
          <w:szCs w:val="20"/>
        </w:rPr>
        <w:t>Zmluvné strany sa dohodli, že Nájomné bude v alikvotnej výške upravené o výšku dane z</w:t>
      </w:r>
      <w:r w:rsidR="00D043BE" w:rsidRPr="00D043BE">
        <w:rPr>
          <w:sz w:val="20"/>
          <w:szCs w:val="20"/>
        </w:rPr>
        <w:t xml:space="preserve">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5E77A9"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lastRenderedPageBreak/>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lastRenderedPageBreak/>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7C7DAB9"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lastRenderedPageBreak/>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Default="003A1045" w:rsidP="00A66343">
      <w:pPr>
        <w:spacing w:line="240" w:lineRule="auto"/>
        <w:ind w:left="1395" w:hanging="705"/>
        <w:jc w:val="both"/>
        <w:rPr>
          <w:sz w:val="20"/>
        </w:rPr>
      </w:pPr>
    </w:p>
    <w:p w14:paraId="6157C996" w14:textId="77777777" w:rsidR="001D2A93" w:rsidRPr="005E77A9" w:rsidRDefault="001D2A93"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40ECC495" w:rsidR="007F4454" w:rsidRPr="001D2A93" w:rsidRDefault="007F4454" w:rsidP="00A66343">
      <w:pPr>
        <w:spacing w:line="240" w:lineRule="auto"/>
        <w:ind w:left="709" w:hanging="709"/>
        <w:jc w:val="both"/>
        <w:rPr>
          <w:bCs/>
          <w:color w:val="000000" w:themeColor="text1"/>
          <w:sz w:val="20"/>
        </w:rPr>
      </w:pPr>
      <w:r w:rsidRPr="003B224F">
        <w:rPr>
          <w:b/>
          <w:color w:val="000000" w:themeColor="text1"/>
          <w:sz w:val="20"/>
        </w:rPr>
        <w:lastRenderedPageBreak/>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w:t>
      </w:r>
      <w:r w:rsidRPr="001D2A93">
        <w:rPr>
          <w:bCs/>
          <w:color w:val="000000" w:themeColor="text1"/>
          <w:sz w:val="20"/>
        </w:rPr>
        <w:t>Zmluvné strany vy</w:t>
      </w:r>
      <w:r w:rsidR="00EB03E6" w:rsidRPr="001D2A93">
        <w:rPr>
          <w:bCs/>
          <w:color w:val="000000" w:themeColor="text1"/>
          <w:sz w:val="20"/>
        </w:rPr>
        <w:t>s</w:t>
      </w:r>
      <w:r w:rsidRPr="001D2A93">
        <w:rPr>
          <w:bCs/>
          <w:color w:val="000000" w:themeColor="text1"/>
          <w:sz w:val="20"/>
        </w:rPr>
        <w:t>poriadajú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sidRPr="001D2A93">
        <w:rPr>
          <w:bCs/>
          <w:color w:val="000000" w:themeColor="text1"/>
          <w:sz w:val="20"/>
        </w:rPr>
        <w:t>s</w:t>
      </w:r>
      <w:r w:rsidRPr="001D2A93">
        <w:rPr>
          <w:bCs/>
          <w:color w:val="000000" w:themeColor="text1"/>
          <w:sz w:val="20"/>
        </w:rPr>
        <w:t>poriadania Zmluvných strán bude pre Prenajímateľa a Nájomcu záväzná a určujúca v článku 5. tejto Zmluvy dohodnutá výška Nájomného a Prevádzkových nákladov, a to za celú skutočnú dobu užívania Predmetu nájmu Nájomcom.</w:t>
      </w:r>
    </w:p>
    <w:p w14:paraId="5BAED29C" w14:textId="2D0E8F60" w:rsidR="007F4454" w:rsidRPr="00323E01" w:rsidRDefault="007F4454" w:rsidP="00A66343">
      <w:pPr>
        <w:spacing w:line="240" w:lineRule="auto"/>
        <w:ind w:left="709" w:hanging="709"/>
        <w:jc w:val="both"/>
        <w:rPr>
          <w:bCs/>
          <w:color w:val="000000" w:themeColor="text1"/>
          <w:sz w:val="20"/>
        </w:rPr>
      </w:pPr>
      <w:r w:rsidRPr="001D2A93">
        <w:rPr>
          <w:b/>
          <w:color w:val="000000" w:themeColor="text1"/>
          <w:sz w:val="20"/>
        </w:rPr>
        <w:tab/>
      </w:r>
      <w:r w:rsidRPr="001D2A93">
        <w:rPr>
          <w:bCs/>
          <w:color w:val="000000" w:themeColor="text1"/>
          <w:sz w:val="20"/>
        </w:rPr>
        <w:t>Zmluvné strany sa ďalej osobitne dohodli na tom, že v prípade ak Nájomca z akéhokoľvek dôvodu bude neoprávnene užívať Predmet nájmu po skončení platnosti a účinnosti tejto Zmluvy</w:t>
      </w:r>
      <w:r w:rsidRPr="001D2A93">
        <w:rPr>
          <w:sz w:val="20"/>
        </w:rPr>
        <w:t xml:space="preserve"> resp. po márnom uplynutí lehoty určenej Prenajímateľom pre vypratanie Predmetu nájmu podľa bodu 4.5 druhá veta</w:t>
      </w:r>
      <w:r w:rsidRPr="001D2A93">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sidRPr="001D2A93">
        <w:rPr>
          <w:bCs/>
          <w:color w:val="000000" w:themeColor="text1"/>
          <w:sz w:val="20"/>
        </w:rPr>
        <w:t>.</w:t>
      </w:r>
      <w:r w:rsidRPr="001D2A93">
        <w:rPr>
          <w:bCs/>
          <w:color w:val="000000" w:themeColor="text1"/>
          <w:sz w:val="20"/>
        </w:rPr>
        <w:t xml:space="preserve">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1D2A93">
        <w:rPr>
          <w:bCs/>
          <w:color w:val="000000" w:themeColor="text1"/>
          <w:sz w:val="20"/>
        </w:rPr>
        <w:t xml:space="preserve"> </w:t>
      </w:r>
      <w:r w:rsidR="00950FCD" w:rsidRPr="001D2A93">
        <w:rPr>
          <w:bCs/>
          <w:color w:val="auto"/>
          <w:sz w:val="20"/>
        </w:rPr>
        <w:t xml:space="preserve">vystavenú v súlade s touto Zmluvou a zákonom č. 222/2004 Z. z.  o dani z pridanej hodnoty v znení neskorších predpisov. </w:t>
      </w:r>
      <w:r w:rsidRPr="001D2A93">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1D2A93">
        <w:rPr>
          <w:sz w:val="20"/>
        </w:rPr>
        <w:t xml:space="preserve"> Pre vylúčenie akýchkoľvek pochybností platí, že </w:t>
      </w:r>
      <w:r w:rsidRPr="001D2A93">
        <w:rPr>
          <w:bCs/>
          <w:color w:val="000000" w:themeColor="text1"/>
          <w:sz w:val="20"/>
        </w:rPr>
        <w:t xml:space="preserve">inflačné navýšenie podľa bodu </w:t>
      </w:r>
      <w:r w:rsidR="00EB03E6" w:rsidRPr="001D2A93">
        <w:rPr>
          <w:b/>
          <w:color w:val="000000" w:themeColor="text1"/>
          <w:sz w:val="20"/>
        </w:rPr>
        <w:t>5</w:t>
      </w:r>
      <w:r w:rsidR="00EB03E6" w:rsidRPr="001D2A93">
        <w:rPr>
          <w:rFonts w:eastAsia="Arial Unicode MS"/>
          <w:b/>
          <w:sz w:val="20"/>
        </w:rPr>
        <w:t>.8</w:t>
      </w:r>
      <w:r w:rsidRPr="001D2A93">
        <w:rPr>
          <w:bCs/>
          <w:color w:val="000000" w:themeColor="text1"/>
          <w:sz w:val="20"/>
        </w:rPr>
        <w:t>, čl. 5 tejto Zmluvy</w:t>
      </w:r>
      <w:r w:rsidRPr="003B224F">
        <w:rPr>
          <w:bCs/>
          <w:color w:val="000000" w:themeColor="text1"/>
          <w:sz w:val="20"/>
        </w:rPr>
        <w:t xml:space="preserve"> sa uplatní aj pre výpočet mesačnej odplaty za neoprávnené užívanie Predmetu nájmu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2A93" w:rsidRDefault="007F4454" w:rsidP="00A66343">
      <w:pPr>
        <w:spacing w:line="240" w:lineRule="auto"/>
        <w:ind w:left="690" w:hanging="720"/>
        <w:jc w:val="both"/>
        <w:rPr>
          <w:sz w:val="20"/>
        </w:rPr>
      </w:pPr>
      <w:r w:rsidRPr="001D2A93">
        <w:rPr>
          <w:b/>
          <w:sz w:val="20"/>
        </w:rPr>
        <w:t>10.6</w:t>
      </w:r>
      <w:r w:rsidRPr="001D2A93">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2A93">
        <w:rPr>
          <w:bCs/>
          <w:color w:val="000000" w:themeColor="text1"/>
          <w:sz w:val="20"/>
        </w:rPr>
        <w:t>za každý aj len začatý kalendárny mesiac omeškania Nájomcu</w:t>
      </w:r>
      <w:r w:rsidRPr="001D2A93">
        <w:rPr>
          <w:sz w:val="20"/>
        </w:rPr>
        <w:t xml:space="preserve"> s vyprataním Predmetu nájmu a jeho vrátením Prenajímateľovi. </w:t>
      </w:r>
    </w:p>
    <w:p w14:paraId="1882FACD" w14:textId="77777777" w:rsidR="007F4454" w:rsidRPr="001D2A93" w:rsidRDefault="007F4454" w:rsidP="00A66343">
      <w:pPr>
        <w:spacing w:line="240" w:lineRule="auto"/>
        <w:ind w:left="690" w:hanging="720"/>
        <w:jc w:val="both"/>
        <w:rPr>
          <w:sz w:val="20"/>
        </w:rPr>
      </w:pPr>
    </w:p>
    <w:bookmarkEnd w:id="6"/>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2D6F5F5A" w14:textId="77777777" w:rsidR="001D2A93" w:rsidRDefault="001D2A93"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lastRenderedPageBreak/>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Default="00EB03E6" w:rsidP="00EB03E6">
      <w:pPr>
        <w:pStyle w:val="Normlny10"/>
        <w:spacing w:line="240" w:lineRule="auto"/>
        <w:ind w:left="709"/>
        <w:jc w:val="both"/>
        <w:rPr>
          <w:sz w:val="20"/>
          <w:szCs w:val="20"/>
        </w:rPr>
      </w:pPr>
    </w:p>
    <w:p w14:paraId="2CB6DA8A" w14:textId="77777777" w:rsidR="001D2A93" w:rsidRPr="0047527E" w:rsidRDefault="001D2A93"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1F95D647" w14:textId="77777777" w:rsidR="001D2A93" w:rsidRPr="005E77A9" w:rsidRDefault="001D2A93"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60685F13"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w:t>
      </w:r>
      <w:r w:rsidR="001D2A93">
        <w:rPr>
          <w:sz w:val="20"/>
        </w:rPr>
        <w:t xml:space="preserve"> </w:t>
      </w:r>
      <w:r w:rsidR="005926CE">
        <w:rPr>
          <w:sz w:val="20"/>
        </w:rPr>
        <w:t>podnikania</w:t>
      </w:r>
      <w:r w:rsidR="005926CE" w:rsidRPr="00760951">
        <w:rPr>
          <w:sz w:val="20"/>
        </w:rPr>
        <w:t xml:space="preserve"> Zmluvnej strany uvedenú 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D3DA63D" w14:textId="77777777" w:rsidR="001D2A93" w:rsidRPr="005E77A9" w:rsidRDefault="001D2A93" w:rsidP="00A66343">
      <w:pPr>
        <w:spacing w:line="240" w:lineRule="auto"/>
        <w:ind w:left="1530" w:hanging="840"/>
        <w:jc w:val="both"/>
        <w:rPr>
          <w:sz w:val="20"/>
        </w:rPr>
      </w:pP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C8A687A" w14:textId="620D05CB" w:rsidR="008A65AF" w:rsidRPr="00211227" w:rsidRDefault="00EB03E6" w:rsidP="00EB03E6">
      <w:pPr>
        <w:spacing w:line="240" w:lineRule="auto"/>
        <w:jc w:val="both"/>
        <w:rPr>
          <w:sz w:val="20"/>
        </w:rPr>
      </w:pPr>
      <w:r>
        <w:rPr>
          <w:sz w:val="20"/>
        </w:rPr>
        <w:tab/>
      </w:r>
      <w:r>
        <w:rPr>
          <w:sz w:val="20"/>
        </w:rPr>
        <w:tab/>
      </w:r>
      <w:r w:rsidR="008A65AF" w:rsidRPr="005E77A9">
        <w:rPr>
          <w:sz w:val="20"/>
        </w:rPr>
        <w:tab/>
      </w:r>
      <w:r w:rsidR="008A65AF" w:rsidRPr="00211227">
        <w:rPr>
          <w:sz w:val="20"/>
        </w:rPr>
        <w:t>meno a priezvisko:</w:t>
      </w:r>
      <w:r w:rsidR="008A65AF" w:rsidRPr="00211227">
        <w:rPr>
          <w:sz w:val="20"/>
        </w:rPr>
        <w:tab/>
        <w:t xml:space="preserve">Ing. </w:t>
      </w:r>
      <w:r w:rsidR="008A65AF">
        <w:rPr>
          <w:rFonts w:eastAsia="Arial Unicode MS"/>
          <w:sz w:val="20"/>
        </w:rPr>
        <w:t>Emil Kosiba</w:t>
      </w:r>
    </w:p>
    <w:p w14:paraId="14D6FD01" w14:textId="77777777" w:rsidR="008A65AF" w:rsidRPr="00211227" w:rsidRDefault="008A65AF" w:rsidP="00EB03E6">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EB03E6">
      <w:pPr>
        <w:spacing w:line="240"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EB03E6">
      <w:pPr>
        <w:spacing w:line="240" w:lineRule="auto"/>
        <w:ind w:left="2127" w:hanging="1437"/>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lastRenderedPageBreak/>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06E1C2A0" w14:textId="77777777" w:rsidR="001D2A93" w:rsidRDefault="001D2A93" w:rsidP="00A66343">
      <w:pPr>
        <w:spacing w:line="240" w:lineRule="auto"/>
        <w:ind w:left="1418" w:hanging="726"/>
        <w:jc w:val="both"/>
        <w:rPr>
          <w:sz w:val="20"/>
        </w:rPr>
      </w:pPr>
    </w:p>
    <w:p w14:paraId="3CDEF6C1" w14:textId="77777777" w:rsidR="001D2A93" w:rsidRDefault="001D2A93" w:rsidP="00A66343">
      <w:pPr>
        <w:spacing w:line="240" w:lineRule="auto"/>
        <w:ind w:left="1418" w:hanging="726"/>
        <w:jc w:val="both"/>
        <w:rPr>
          <w:sz w:val="20"/>
        </w:rPr>
      </w:pPr>
    </w:p>
    <w:p w14:paraId="1A6EFA2A" w14:textId="77777777" w:rsidR="001D2A93" w:rsidRDefault="001D2A93" w:rsidP="00A66343">
      <w:pPr>
        <w:spacing w:line="240" w:lineRule="auto"/>
        <w:ind w:left="1418" w:hanging="726"/>
        <w:jc w:val="both"/>
        <w:rPr>
          <w:sz w:val="20"/>
        </w:rPr>
      </w:pPr>
    </w:p>
    <w:p w14:paraId="7A09FBDC" w14:textId="77777777" w:rsidR="001D2A93" w:rsidRDefault="001D2A93" w:rsidP="00A66343">
      <w:pPr>
        <w:spacing w:line="240" w:lineRule="auto"/>
        <w:ind w:left="1418" w:hanging="726"/>
        <w:jc w:val="both"/>
        <w:rPr>
          <w:sz w:val="20"/>
        </w:rPr>
      </w:pPr>
    </w:p>
    <w:p w14:paraId="426F0BBC" w14:textId="77777777" w:rsidR="001D2A93" w:rsidRDefault="001D2A93" w:rsidP="00A66343">
      <w:pPr>
        <w:spacing w:line="240" w:lineRule="auto"/>
        <w:ind w:left="1418" w:hanging="726"/>
        <w:jc w:val="both"/>
        <w:rPr>
          <w:sz w:val="20"/>
        </w:rPr>
      </w:pPr>
    </w:p>
    <w:p w14:paraId="68F823B6" w14:textId="77777777" w:rsidR="001D2A93" w:rsidRPr="005E77A9" w:rsidRDefault="001D2A93" w:rsidP="00A66343">
      <w:pPr>
        <w:spacing w:line="240" w:lineRule="auto"/>
        <w:ind w:left="1418" w:hanging="726"/>
        <w:jc w:val="both"/>
        <w:rPr>
          <w:sz w:val="20"/>
        </w:rPr>
      </w:pP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2C5609A3" w14:textId="77777777" w:rsidR="001D2A93" w:rsidRDefault="001D2A93" w:rsidP="00A66343">
      <w:pPr>
        <w:pStyle w:val="Normlnywebov"/>
        <w:spacing w:before="0" w:beforeAutospacing="0" w:after="0" w:afterAutospacing="0"/>
        <w:ind w:left="1280" w:hanging="700"/>
        <w:rPr>
          <w:rFonts w:ascii="Arial" w:hAnsi="Arial" w:cs="Arial"/>
          <w:color w:val="000000" w:themeColor="text1"/>
          <w:sz w:val="20"/>
          <w:szCs w:val="20"/>
        </w:rPr>
      </w:pPr>
    </w:p>
    <w:p w14:paraId="0739B618" w14:textId="77777777" w:rsidR="001D2A93" w:rsidRPr="00741CD8" w:rsidRDefault="001D2A93"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A66343">
      <w:footerReference w:type="default" r:id="rId12"/>
      <w:pgSz w:w="12240" w:h="15840"/>
      <w:pgMar w:top="1440" w:right="616" w:bottom="1276"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A77FC" w14:textId="77777777" w:rsidR="00DD6925" w:rsidRDefault="00DD6925">
      <w:pPr>
        <w:spacing w:line="240" w:lineRule="auto"/>
      </w:pPr>
      <w:r>
        <w:separator/>
      </w:r>
    </w:p>
  </w:endnote>
  <w:endnote w:type="continuationSeparator" w:id="0">
    <w:p w14:paraId="14A260EF" w14:textId="77777777" w:rsidR="00DD6925" w:rsidRDefault="00DD6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12091" w14:textId="77777777" w:rsidR="00DD6925" w:rsidRDefault="00DD6925">
      <w:pPr>
        <w:spacing w:line="240" w:lineRule="auto"/>
      </w:pPr>
      <w:r>
        <w:separator/>
      </w:r>
    </w:p>
  </w:footnote>
  <w:footnote w:type="continuationSeparator" w:id="0">
    <w:p w14:paraId="48F182BE" w14:textId="77777777" w:rsidR="00DD6925" w:rsidRDefault="00DD69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24D4E"/>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466E"/>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2161"/>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2A93"/>
    <w:rsid w:val="001D3364"/>
    <w:rsid w:val="001E1EC5"/>
    <w:rsid w:val="001E553B"/>
    <w:rsid w:val="001F1D20"/>
    <w:rsid w:val="001F31CE"/>
    <w:rsid w:val="00201CB5"/>
    <w:rsid w:val="002032B3"/>
    <w:rsid w:val="00205115"/>
    <w:rsid w:val="00205672"/>
    <w:rsid w:val="0021122C"/>
    <w:rsid w:val="00212815"/>
    <w:rsid w:val="00212EBB"/>
    <w:rsid w:val="00214E4C"/>
    <w:rsid w:val="00215744"/>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15F5"/>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524C"/>
    <w:rsid w:val="0037779E"/>
    <w:rsid w:val="00380932"/>
    <w:rsid w:val="00380C5F"/>
    <w:rsid w:val="00380FA9"/>
    <w:rsid w:val="003822B8"/>
    <w:rsid w:val="00382747"/>
    <w:rsid w:val="00383C99"/>
    <w:rsid w:val="00392865"/>
    <w:rsid w:val="00392C96"/>
    <w:rsid w:val="0039315A"/>
    <w:rsid w:val="00395397"/>
    <w:rsid w:val="00397D36"/>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2995"/>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13CC"/>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1BBE"/>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8F7"/>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18ED"/>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4BE2"/>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925"/>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394D"/>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B17"/>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5838</Words>
  <Characters>33279</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2024-09-25T15:17:00Z</dcterms:created>
  <dcterms:modified xsi:type="dcterms:W3CDTF">2024-09-25T15:17:00Z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