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6E11" w14:textId="7D342CBE" w:rsidR="000920E1" w:rsidRDefault="000920E1" w:rsidP="000920E1">
      <w:pPr>
        <w:pBdr>
          <w:bottom w:val="single" w:sz="4" w:space="1" w:color="auto"/>
        </w:pBdr>
      </w:pPr>
      <w:r>
        <w:t>Gymnázium Milana Rúfusa, Ul. J. Kollára 2, 965 01 Žiar nad Hronom</w:t>
      </w:r>
    </w:p>
    <w:p w14:paraId="0D798449" w14:textId="1E4B70D7" w:rsidR="000920E1" w:rsidRPr="00583043" w:rsidRDefault="00583043" w:rsidP="00583043">
      <w:pPr>
        <w:jc w:val="right"/>
        <w:rPr>
          <w:b/>
          <w:bCs/>
          <w:sz w:val="28"/>
          <w:szCs w:val="28"/>
        </w:rPr>
      </w:pPr>
      <w:r w:rsidRPr="00583043">
        <w:rPr>
          <w:b/>
          <w:bCs/>
          <w:sz w:val="28"/>
          <w:szCs w:val="28"/>
        </w:rPr>
        <w:t>Príloha č. 1 k projektovej dokumentácii</w:t>
      </w:r>
    </w:p>
    <w:p w14:paraId="55834CC0" w14:textId="6C2B1766" w:rsidR="000920E1" w:rsidRPr="000920E1" w:rsidRDefault="00FD3B94" w:rsidP="00583043">
      <w:pPr>
        <w:spacing w:before="240"/>
        <w:jc w:val="center"/>
        <w:rPr>
          <w:b/>
          <w:bCs/>
          <w:sz w:val="32"/>
          <w:szCs w:val="32"/>
        </w:rPr>
      </w:pPr>
      <w:r w:rsidRPr="000920E1">
        <w:rPr>
          <w:b/>
          <w:bCs/>
          <w:sz w:val="32"/>
          <w:szCs w:val="32"/>
        </w:rPr>
        <w:t xml:space="preserve">Doplnenie </w:t>
      </w:r>
      <w:r w:rsidR="000920E1" w:rsidRPr="000920E1">
        <w:rPr>
          <w:b/>
          <w:bCs/>
          <w:sz w:val="32"/>
          <w:szCs w:val="32"/>
        </w:rPr>
        <w:t xml:space="preserve">podstatných </w:t>
      </w:r>
      <w:r w:rsidRPr="000920E1">
        <w:rPr>
          <w:b/>
          <w:bCs/>
          <w:sz w:val="32"/>
          <w:szCs w:val="32"/>
        </w:rPr>
        <w:t>informácií k </w:t>
      </w:r>
      <w:r w:rsidR="000920E1" w:rsidRPr="000920E1">
        <w:rPr>
          <w:b/>
          <w:bCs/>
          <w:sz w:val="32"/>
          <w:szCs w:val="32"/>
        </w:rPr>
        <w:t>p</w:t>
      </w:r>
      <w:r w:rsidRPr="000920E1">
        <w:rPr>
          <w:b/>
          <w:bCs/>
          <w:sz w:val="32"/>
          <w:szCs w:val="32"/>
        </w:rPr>
        <w:t xml:space="preserve">rojektovej </w:t>
      </w:r>
      <w:r w:rsidR="000920E1" w:rsidRPr="000920E1">
        <w:rPr>
          <w:b/>
          <w:bCs/>
          <w:sz w:val="32"/>
          <w:szCs w:val="32"/>
        </w:rPr>
        <w:t>dokumentácii</w:t>
      </w:r>
    </w:p>
    <w:p w14:paraId="66DA4F11" w14:textId="7660EE3A" w:rsidR="000920E1" w:rsidRPr="000920E1" w:rsidRDefault="000920E1" w:rsidP="000920E1">
      <w:pPr>
        <w:jc w:val="center"/>
        <w:rPr>
          <w:b/>
          <w:bCs/>
        </w:rPr>
      </w:pPr>
      <w:r>
        <w:rPr>
          <w:b/>
          <w:bCs/>
        </w:rPr>
        <w:t>pre projekt</w:t>
      </w:r>
      <w:r>
        <w:t xml:space="preserve"> </w:t>
      </w:r>
      <w:r w:rsidRPr="000920E1">
        <w:rPr>
          <w:b/>
          <w:bCs/>
        </w:rPr>
        <w:t>Debarierizácia Gymnázia Milana Rúfusa v Žiari nad Hronom</w:t>
      </w:r>
    </w:p>
    <w:p w14:paraId="4C65BCE1" w14:textId="62BA29E0" w:rsidR="000920E1" w:rsidRPr="00583043" w:rsidRDefault="000920E1" w:rsidP="000920E1">
      <w:pPr>
        <w:jc w:val="center"/>
        <w:rPr>
          <w:i/>
          <w:iCs/>
        </w:rPr>
      </w:pPr>
      <w:r w:rsidRPr="00583043">
        <w:rPr>
          <w:i/>
          <w:iCs/>
        </w:rPr>
        <w:t>z dôvodu nesúladu opisu projektu v podaniu Žiadosti o poskytnutie prostriedkov mechanizmu v oblasti debarierizácie stredných škôl s Manuálom debarierizácie škôl a školských zariadení a odporúčaných opatrení na jeho odstránenie</w:t>
      </w:r>
    </w:p>
    <w:p w14:paraId="4F760BC0" w14:textId="0CC063B6" w:rsidR="000920E1" w:rsidRDefault="000920E1" w:rsidP="008C30B8">
      <w:pPr>
        <w:jc w:val="both"/>
      </w:pPr>
      <w:r w:rsidRPr="000920E1">
        <w:t>K jednotlivým navrhovaným oblastiam debarierizácie školy uvádzame nasledovné vysvetlenie, doplnenie a bližšie informácie</w:t>
      </w:r>
      <w:r>
        <w:t>:</w:t>
      </w:r>
    </w:p>
    <w:p w14:paraId="5F27A605" w14:textId="3BEBEE11" w:rsidR="000920E1" w:rsidRDefault="000920E1" w:rsidP="00D15AA5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rPr>
          <w:b/>
          <w:bCs/>
        </w:rPr>
      </w:pPr>
      <w:r w:rsidRPr="00D15AA5">
        <w:rPr>
          <w:b/>
          <w:bCs/>
        </w:rPr>
        <w:t>Parkovisko a</w:t>
      </w:r>
      <w:r w:rsidR="00D15AA5">
        <w:rPr>
          <w:b/>
          <w:bCs/>
        </w:rPr>
        <w:t> </w:t>
      </w:r>
      <w:r w:rsidRPr="00D15AA5">
        <w:rPr>
          <w:b/>
          <w:bCs/>
        </w:rPr>
        <w:t>chodníky</w:t>
      </w:r>
    </w:p>
    <w:p w14:paraId="793B92AB" w14:textId="595324A6" w:rsidR="00D15AA5" w:rsidRPr="00D15AA5" w:rsidRDefault="00D15AA5" w:rsidP="00D15AA5">
      <w:pPr>
        <w:pStyle w:val="Odsekzoznamu"/>
        <w:spacing w:before="120" w:after="0"/>
        <w:ind w:left="0"/>
        <w:contextualSpacing w:val="0"/>
        <w:jc w:val="both"/>
      </w:pPr>
      <w:r w:rsidRPr="00D15AA5">
        <w:t>Stavebné práce úprav okolia riešia nový prístupový pochôdzny chodník k</w:t>
      </w:r>
      <w:r>
        <w:t xml:space="preserve"> dverám do </w:t>
      </w:r>
      <w:r w:rsidRPr="00D15AA5">
        <w:t>novému výťahu</w:t>
      </w:r>
      <w:r>
        <w:t xml:space="preserve">. </w:t>
      </w:r>
      <w:r w:rsidRPr="00D15AA5">
        <w:t xml:space="preserve">Pôvodný chodník prepája verejnú komunikáciu s bočným vstupom do školy, bez výškových rozdielov. V existujúcich dverách bude pôvodný prah zamenený </w:t>
      </w:r>
      <w:r>
        <w:t>za</w:t>
      </w:r>
      <w:r w:rsidRPr="00D15AA5">
        <w:t xml:space="preserve"> prechodovú lištu s malým sklonom (do 5 %). </w:t>
      </w:r>
    </w:p>
    <w:p w14:paraId="7D76A41A" w14:textId="0DB9C35B" w:rsidR="00D15AA5" w:rsidRDefault="00D15AA5" w:rsidP="00D15AA5">
      <w:pPr>
        <w:pStyle w:val="Odsekzoznamu"/>
        <w:spacing w:before="120" w:after="0"/>
        <w:ind w:left="0"/>
        <w:contextualSpacing w:val="0"/>
        <w:jc w:val="both"/>
      </w:pPr>
      <w:r w:rsidRPr="00D15AA5">
        <w:t>Novonavrhovaný chodník je čiastočne rozšírením pôvodného chodníka a bude pokračovať popri budove školy (na mieste pôvodného okapového chodníka) až po novovybudovanú výťahovú šachtu. Dvere výťahu budú dostupné cez automaticky otvárateľné</w:t>
      </w:r>
      <w:r>
        <w:t xml:space="preserve"> bezpečnostné</w:t>
      </w:r>
      <w:r w:rsidRPr="00D15AA5">
        <w:t xml:space="preserve"> jednokrídlové dvere. Horná vrstva novonavrhovaného chodníka so šírkou 2 000 mm i zámková dlažba pôvodného chodníka vedúceho ku bočnému vchodu do budovy budú vytvárať jednu rovinu, nevzniknú teda žiadne rozdiely vo výškach. Vznikne súvislá vrstva - plocha, bez prechodových stupňov a výškových rozdielov. Od trávnatej plochy bude novovybudovaný chodník oddelený záhradným obrubníkom</w:t>
      </w:r>
      <w:r w:rsidR="008C30B8">
        <w:t xml:space="preserve"> so šírkou 50 mm</w:t>
      </w:r>
      <w:r w:rsidRPr="00D15AA5">
        <w:t>.</w:t>
      </w:r>
    </w:p>
    <w:p w14:paraId="324211AD" w14:textId="5465E591" w:rsidR="00C548D0" w:rsidRDefault="00C548D0" w:rsidP="00D15AA5">
      <w:pPr>
        <w:pStyle w:val="Odsekzoznamu"/>
        <w:spacing w:before="120" w:after="0"/>
        <w:ind w:left="0"/>
        <w:contextualSpacing w:val="0"/>
        <w:jc w:val="both"/>
      </w:pPr>
      <w:r>
        <w:t>Bola upravená aj skladba chodníka - zloženie vrstiev tvoriacich chodník, a to nasledovne:</w:t>
      </w:r>
    </w:p>
    <w:p w14:paraId="65396B3A" w14:textId="4691B206" w:rsidR="00C548D0" w:rsidRDefault="00C548D0" w:rsidP="00C548D0">
      <w:pPr>
        <w:pStyle w:val="Odsekzoznamu"/>
        <w:numPr>
          <w:ilvl w:val="0"/>
          <w:numId w:val="2"/>
        </w:numPr>
        <w:spacing w:before="120" w:after="0"/>
        <w:jc w:val="both"/>
      </w:pPr>
      <w:r>
        <w:t xml:space="preserve">Zámková dlažba hr. </w:t>
      </w:r>
      <w:r>
        <w:t>6</w:t>
      </w:r>
      <w:r>
        <w:t>0</w:t>
      </w:r>
      <w:r>
        <w:t xml:space="preserve"> </w:t>
      </w:r>
      <w:r>
        <w:t>mm</w:t>
      </w:r>
    </w:p>
    <w:p w14:paraId="66D38BC6" w14:textId="7D4C683D" w:rsidR="00C548D0" w:rsidRDefault="00C548D0" w:rsidP="00C548D0">
      <w:pPr>
        <w:pStyle w:val="Odsekzoznamu"/>
        <w:numPr>
          <w:ilvl w:val="0"/>
          <w:numId w:val="2"/>
        </w:numPr>
        <w:spacing w:before="120" w:after="0"/>
        <w:jc w:val="both"/>
      </w:pPr>
      <w:r>
        <w:t>Lôžko z drveného kameniva fr. 4-8mm hr. 30</w:t>
      </w:r>
      <w:r>
        <w:t xml:space="preserve"> </w:t>
      </w:r>
      <w:r>
        <w:t>mm</w:t>
      </w:r>
    </w:p>
    <w:p w14:paraId="5CA626DC" w14:textId="319FC416" w:rsidR="00C548D0" w:rsidRDefault="00C548D0" w:rsidP="00C548D0">
      <w:pPr>
        <w:pStyle w:val="Odsekzoznamu"/>
        <w:numPr>
          <w:ilvl w:val="0"/>
          <w:numId w:val="2"/>
        </w:numPr>
        <w:spacing w:before="120" w:after="0"/>
        <w:jc w:val="both"/>
      </w:pPr>
      <w:r>
        <w:t xml:space="preserve">Drvené kamenivo fr. 8-16mm hr. </w:t>
      </w:r>
      <w:r>
        <w:t xml:space="preserve">300 </w:t>
      </w:r>
      <w:r>
        <w:t>mm</w:t>
      </w:r>
    </w:p>
    <w:p w14:paraId="6D2DB064" w14:textId="47D93E43" w:rsidR="00C548D0" w:rsidRDefault="00C548D0" w:rsidP="00C548D0">
      <w:pPr>
        <w:pStyle w:val="Odsekzoznamu"/>
        <w:numPr>
          <w:ilvl w:val="0"/>
          <w:numId w:val="2"/>
        </w:numPr>
        <w:spacing w:before="120" w:after="0"/>
        <w:jc w:val="both"/>
      </w:pPr>
      <w:r>
        <w:t xml:space="preserve">Drvené kamenivo fr. 0-63mm hr. </w:t>
      </w:r>
      <w:r>
        <w:t xml:space="preserve">500 </w:t>
      </w:r>
      <w:r>
        <w:t>mm</w:t>
      </w:r>
    </w:p>
    <w:p w14:paraId="0CD4F0CE" w14:textId="54969FE1" w:rsidR="00C548D0" w:rsidRDefault="00C548D0" w:rsidP="00C548D0">
      <w:pPr>
        <w:pStyle w:val="Odsekzoznamu"/>
        <w:numPr>
          <w:ilvl w:val="0"/>
          <w:numId w:val="2"/>
        </w:numPr>
        <w:spacing w:before="120" w:after="0"/>
        <w:jc w:val="both"/>
      </w:pPr>
      <w:r>
        <w:t>Z</w:t>
      </w:r>
      <w:r>
        <w:t>emná pláň zhutnená 30-45 MPa</w:t>
      </w:r>
    </w:p>
    <w:p w14:paraId="293FF0C3" w14:textId="44BB4970" w:rsidR="00583043" w:rsidRDefault="00583043" w:rsidP="00D15AA5">
      <w:pPr>
        <w:pStyle w:val="Odsekzoznamu"/>
        <w:spacing w:before="120" w:after="0"/>
        <w:ind w:left="0"/>
        <w:contextualSpacing w:val="0"/>
        <w:jc w:val="both"/>
      </w:pPr>
    </w:p>
    <w:p w14:paraId="46EF25C9" w14:textId="1B0AD7CE" w:rsidR="00583043" w:rsidRPr="008C30B8" w:rsidRDefault="00503C94" w:rsidP="008C30B8">
      <w:pPr>
        <w:pStyle w:val="Odsekzoznamu"/>
        <w:numPr>
          <w:ilvl w:val="0"/>
          <w:numId w:val="1"/>
        </w:numPr>
        <w:spacing w:after="120"/>
        <w:ind w:left="425" w:hanging="425"/>
        <w:contextualSpacing w:val="0"/>
        <w:rPr>
          <w:b/>
          <w:bCs/>
        </w:rPr>
      </w:pPr>
      <w:r w:rsidRPr="008C30B8">
        <w:rPr>
          <w:b/>
          <w:bCs/>
        </w:rPr>
        <w:t>Vstupné dvere</w:t>
      </w:r>
    </w:p>
    <w:p w14:paraId="2BA9929B" w14:textId="7F27BCC4" w:rsidR="008C30B8" w:rsidRDefault="00C548D0" w:rsidP="008C30B8">
      <w:pPr>
        <w:spacing w:before="120" w:after="0"/>
        <w:jc w:val="both"/>
      </w:pPr>
      <w:r w:rsidRPr="009429E6">
        <w:rPr>
          <w:noProof/>
        </w:rPr>
        <w:drawing>
          <wp:anchor distT="0" distB="0" distL="114300" distR="114300" simplePos="0" relativeHeight="251658240" behindDoc="0" locked="0" layoutInCell="1" allowOverlap="1" wp14:anchorId="45967D8F" wp14:editId="6C3C9B48">
            <wp:simplePos x="0" y="0"/>
            <wp:positionH relativeFrom="column">
              <wp:posOffset>2990850</wp:posOffset>
            </wp:positionH>
            <wp:positionV relativeFrom="paragraph">
              <wp:posOffset>3810</wp:posOffset>
            </wp:positionV>
            <wp:extent cx="2993390" cy="2531110"/>
            <wp:effectExtent l="0" t="0" r="0" b="2540"/>
            <wp:wrapThrough wrapText="bothSides">
              <wp:wrapPolygon edited="0">
                <wp:start x="0" y="0"/>
                <wp:lineTo x="0" y="21459"/>
                <wp:lineTo x="21444" y="21459"/>
                <wp:lineTo x="21444" y="0"/>
                <wp:lineTo x="0" y="0"/>
              </wp:wrapPolygon>
            </wp:wrapThrough>
            <wp:docPr id="1" name="Obrázok 1" descr="Obrázok, na ktorom je diagram, rad, rovnobežný, štvorec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diagram, rad, rovnobežný, štvorec&#10;&#10;Automaticky generovaný popi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390" cy="2531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3C94" w:rsidRPr="00503C94">
        <w:t>Hlavné vstupné dvere do budovy školy budú automatické, dvojkrídlové, posuvné s hliníkovým</w:t>
      </w:r>
      <w:r w:rsidR="00503C94" w:rsidRPr="00503C94">
        <w:br/>
        <w:t xml:space="preserve">rámom a nadsvetlíkom s min. </w:t>
      </w:r>
      <w:r w:rsidR="008C30B8" w:rsidRPr="00503C94">
        <w:t>dvojitým</w:t>
      </w:r>
      <w:r w:rsidR="00503C94" w:rsidRPr="00503C94">
        <w:t xml:space="preserve"> tepelnoizolačným zasklením. Spodná časť dverí a aj bočných</w:t>
      </w:r>
      <w:r w:rsidR="00503C94" w:rsidRPr="00503C94">
        <w:br/>
        <w:t>svetlíkov do výšky 400</w:t>
      </w:r>
      <w:r w:rsidR="008C30B8">
        <w:t xml:space="preserve"> </w:t>
      </w:r>
      <w:r w:rsidR="00503C94" w:rsidRPr="00503C94">
        <w:t>mm budú chránené systémovým výplňovým panelom. Presklená časť dverí a</w:t>
      </w:r>
      <w:r>
        <w:t xml:space="preserve"> </w:t>
      </w:r>
      <w:r w:rsidR="00503C94" w:rsidRPr="00503C94">
        <w:t>aj presklenie po ich bokoch sú označené kontrastnými grafickými značkami po celej dĺžke vo výške</w:t>
      </w:r>
      <w:r w:rsidR="00503C94" w:rsidRPr="00503C94">
        <w:br/>
        <w:t xml:space="preserve">900 a 1400 mm od </w:t>
      </w:r>
      <w:r w:rsidR="008C30B8" w:rsidRPr="00503C94">
        <w:t>nášľapnej</w:t>
      </w:r>
      <w:r w:rsidR="00503C94" w:rsidRPr="00503C94">
        <w:t xml:space="preserve"> vrstvy. Dvere budú taktiež opatrené systémom na mechanické</w:t>
      </w:r>
      <w:r w:rsidR="00503C94" w:rsidRPr="00503C94">
        <w:br/>
        <w:t>otvorenie v prípade výpadku el. Prúdu alebo požiaru.</w:t>
      </w:r>
    </w:p>
    <w:p w14:paraId="5EB43CF0" w14:textId="0B3A6BB3" w:rsidR="00503C94" w:rsidRDefault="00503C94" w:rsidP="008C30B8">
      <w:pPr>
        <w:spacing w:before="120" w:after="0"/>
        <w:jc w:val="both"/>
      </w:pPr>
      <w:r w:rsidRPr="00503C94">
        <w:t xml:space="preserve">Vstupné dvere </w:t>
      </w:r>
      <w:r w:rsidR="008C30B8">
        <w:t xml:space="preserve">v prístavbe pre </w:t>
      </w:r>
      <w:r w:rsidRPr="00503C94">
        <w:t>výťah budú plné, protipožiarne, automatické, jednokrídlové, otváravé do</w:t>
      </w:r>
      <w:r w:rsidRPr="00503C94">
        <w:br/>
        <w:t xml:space="preserve">vonku s funkciou mechanického otvorenia v prípade výpadku el. </w:t>
      </w:r>
      <w:r w:rsidR="008C30B8">
        <w:t>p</w:t>
      </w:r>
      <w:r w:rsidRPr="00503C94">
        <w:t>rúdu alebo požiaru.</w:t>
      </w:r>
      <w:r w:rsidRPr="00503C94">
        <w:br/>
        <w:t>Všetky dvere musia byť bezpečnostné</w:t>
      </w:r>
      <w:r w:rsidR="008C30B8">
        <w:t>,</w:t>
      </w:r>
      <w:r w:rsidRPr="00503C94">
        <w:t xml:space="preserve"> aby sa zabránilo vstupu nežiadúcich osôb.</w:t>
      </w:r>
    </w:p>
    <w:p w14:paraId="53C4E5CB" w14:textId="423CBBD1" w:rsidR="009429E6" w:rsidRDefault="009429E6" w:rsidP="009429E6">
      <w:pPr>
        <w:spacing w:before="120" w:after="0"/>
        <w:jc w:val="both"/>
      </w:pPr>
    </w:p>
    <w:p w14:paraId="28D6B834" w14:textId="6D3DD2AD" w:rsidR="0093541C" w:rsidRPr="009429E6" w:rsidRDefault="0093541C" w:rsidP="009429E6">
      <w:pPr>
        <w:pStyle w:val="Odsekzoznamu"/>
        <w:numPr>
          <w:ilvl w:val="0"/>
          <w:numId w:val="1"/>
        </w:numPr>
        <w:spacing w:before="120" w:after="0"/>
        <w:ind w:left="426"/>
        <w:jc w:val="both"/>
        <w:rPr>
          <w:b/>
          <w:bCs/>
        </w:rPr>
      </w:pPr>
      <w:r w:rsidRPr="009429E6">
        <w:rPr>
          <w:b/>
          <w:bCs/>
        </w:rPr>
        <w:lastRenderedPageBreak/>
        <w:t>Sociálne zariadenia</w:t>
      </w:r>
    </w:p>
    <w:p w14:paraId="53DD2748" w14:textId="77777777" w:rsidR="0093541C" w:rsidRDefault="0093541C" w:rsidP="0093541C">
      <w:pPr>
        <w:pStyle w:val="Odsekzoznamu"/>
        <w:spacing w:before="120" w:after="0"/>
        <w:jc w:val="both"/>
      </w:pPr>
    </w:p>
    <w:p w14:paraId="72B04581" w14:textId="74E3493B" w:rsidR="009429E6" w:rsidRDefault="009429E6" w:rsidP="009429E6">
      <w:pPr>
        <w:pStyle w:val="Odsekzoznamu"/>
        <w:spacing w:before="120" w:after="0"/>
        <w:ind w:left="426" w:hanging="284"/>
        <w:jc w:val="both"/>
      </w:pPr>
      <w:r>
        <w:t>Boli upresnené zdravotechni</w:t>
      </w:r>
      <w:r w:rsidR="0050735B">
        <w:t>c</w:t>
      </w:r>
      <w:r>
        <w:t>ké inštalácie a prvky, a to nasledovne:</w:t>
      </w:r>
    </w:p>
    <w:p w14:paraId="19389533" w14:textId="77777777" w:rsidR="009429E6" w:rsidRDefault="009429E6" w:rsidP="009429E6">
      <w:pPr>
        <w:pStyle w:val="Odsekzoznamu"/>
        <w:spacing w:before="120" w:after="0"/>
        <w:ind w:left="426" w:hanging="284"/>
        <w:jc w:val="both"/>
      </w:pPr>
    </w:p>
    <w:p w14:paraId="2B9C9FCE" w14:textId="52400ED8" w:rsidR="0093541C" w:rsidRPr="009429E6" w:rsidRDefault="0093541C" w:rsidP="009429E6">
      <w:pPr>
        <w:pStyle w:val="Odsekzoznamu"/>
        <w:spacing w:before="120" w:after="0"/>
        <w:ind w:left="426" w:hanging="284"/>
        <w:jc w:val="both"/>
        <w:rPr>
          <w:i/>
          <w:iCs/>
          <w:u w:val="single"/>
        </w:rPr>
      </w:pPr>
      <w:r w:rsidRPr="009429E6">
        <w:rPr>
          <w:i/>
          <w:iCs/>
          <w:u w:val="single"/>
        </w:rPr>
        <w:t>8.2.12 Zdravotechnické inštalácie</w:t>
      </w:r>
    </w:p>
    <w:p w14:paraId="753C09F8" w14:textId="75B93537" w:rsidR="0093541C" w:rsidRDefault="0093541C" w:rsidP="009429E6">
      <w:pPr>
        <w:pStyle w:val="Odsekzoznamu"/>
        <w:spacing w:before="120" w:after="0"/>
        <w:ind w:left="142"/>
        <w:jc w:val="both"/>
      </w:pPr>
      <w:r>
        <w:t>Pri užívaní školskej budovy bude potreba vody pre pitné, hygienické a požiarn</w:t>
      </w:r>
      <w:r w:rsidR="009429E6">
        <w:t>e</w:t>
      </w:r>
      <w:r>
        <w:t xml:space="preserve"> účely.</w:t>
      </w:r>
      <w:r w:rsidR="009429E6">
        <w:t xml:space="preserve"> </w:t>
      </w:r>
      <w:r>
        <w:t>Potreba požiarnej vody je zabezpečená zo samostatného prívodu vody.</w:t>
      </w:r>
    </w:p>
    <w:p w14:paraId="67EB6AA4" w14:textId="0C8E8A40" w:rsidR="0093541C" w:rsidRDefault="0093541C" w:rsidP="009429E6">
      <w:pPr>
        <w:pStyle w:val="Odsekzoznamu"/>
        <w:spacing w:before="120" w:after="0"/>
        <w:ind w:left="142"/>
        <w:jc w:val="both"/>
      </w:pPr>
      <w:r>
        <w:t>Nakoľko sa jedná o rekonštrukciu existujúcej školskej budovy bez zmeny charakteru stavby</w:t>
      </w:r>
      <w:r w:rsidR="009429E6">
        <w:t xml:space="preserve"> </w:t>
      </w:r>
      <w:r>
        <w:t>menia sa len sanitárne prvy, s približne rovnakým počtom zariaďovacích predmetov a</w:t>
      </w:r>
      <w:r w:rsidR="009429E6">
        <w:t> </w:t>
      </w:r>
      <w:r>
        <w:t>rov</w:t>
      </w:r>
      <w:r w:rsidR="009429E6">
        <w:t>na</w:t>
      </w:r>
      <w:r>
        <w:t>kým</w:t>
      </w:r>
      <w:r w:rsidR="009429E6">
        <w:t xml:space="preserve"> </w:t>
      </w:r>
      <w:r>
        <w:t>počtom</w:t>
      </w:r>
      <w:r w:rsidR="009429E6">
        <w:t xml:space="preserve"> </w:t>
      </w:r>
      <w:r>
        <w:t>hadicových zariadení, predpokladáme, že existujúce vodovodné prípojky a prípojky splaškovej</w:t>
      </w:r>
      <w:r w:rsidR="009429E6">
        <w:t xml:space="preserve"> </w:t>
      </w:r>
      <w:r>
        <w:t>kanalizácie sú postačujúce.</w:t>
      </w:r>
    </w:p>
    <w:p w14:paraId="4D66F15D" w14:textId="1CE7FCE0" w:rsidR="0093541C" w:rsidRDefault="0093541C" w:rsidP="009429E6">
      <w:pPr>
        <w:pStyle w:val="Odsekzoznamu"/>
        <w:spacing w:before="120" w:after="0"/>
        <w:ind w:left="142"/>
        <w:jc w:val="both"/>
      </w:pPr>
      <w:r>
        <w:t>Nové sanitárne prvky</w:t>
      </w:r>
      <w:r w:rsidR="009429E6">
        <w:t>, ktoré budú</w:t>
      </w:r>
      <w:r>
        <w:t xml:space="preserve"> umiestnené v miestnostiach č.</w:t>
      </w:r>
      <w:r w:rsidR="009429E6">
        <w:t xml:space="preserve"> </w:t>
      </w:r>
      <w:r>
        <w:t>214, a č.</w:t>
      </w:r>
      <w:r w:rsidR="009429E6">
        <w:t xml:space="preserve"> </w:t>
      </w:r>
      <w:r>
        <w:t>315 ( WC pre imobilných) sú:</w:t>
      </w:r>
    </w:p>
    <w:p w14:paraId="0564480C" w14:textId="77777777" w:rsidR="0093541C" w:rsidRDefault="0093541C" w:rsidP="009429E6">
      <w:pPr>
        <w:pStyle w:val="Odsekzoznamu"/>
        <w:spacing w:before="120" w:after="0"/>
        <w:ind w:left="426" w:hanging="284"/>
        <w:jc w:val="both"/>
      </w:pPr>
      <w:r>
        <w:t>• Otvorený sprchový kút typu „walk-in“</w:t>
      </w:r>
    </w:p>
    <w:p w14:paraId="732CA5F6" w14:textId="77777777" w:rsidR="0093541C" w:rsidRDefault="0093541C" w:rsidP="009429E6">
      <w:pPr>
        <w:pStyle w:val="Odsekzoznamu"/>
        <w:spacing w:before="120" w:after="0"/>
        <w:ind w:left="426" w:hanging="284"/>
        <w:jc w:val="both"/>
      </w:pPr>
      <w:r>
        <w:t>• Sprchový stĺp s pákovou batériou</w:t>
      </w:r>
    </w:p>
    <w:p w14:paraId="12E7BD26" w14:textId="77777777" w:rsidR="0093541C" w:rsidRDefault="0093541C" w:rsidP="009429E6">
      <w:pPr>
        <w:pStyle w:val="Odsekzoznamu"/>
        <w:spacing w:before="120" w:after="0"/>
        <w:ind w:left="426" w:hanging="284"/>
        <w:jc w:val="both"/>
      </w:pPr>
      <w:r>
        <w:t>• Pevné držadlá pre telesne postihnutých</w:t>
      </w:r>
    </w:p>
    <w:p w14:paraId="5F5008E2" w14:textId="42B4317B" w:rsidR="0093541C" w:rsidRDefault="0093541C" w:rsidP="009429E6">
      <w:pPr>
        <w:pStyle w:val="Odsekzoznamu"/>
        <w:spacing w:before="120" w:after="0"/>
        <w:ind w:left="426" w:hanging="284"/>
        <w:jc w:val="both"/>
      </w:pPr>
      <w:r>
        <w:t>• DISABLED umývadlo pre telesne postihnutých</w:t>
      </w:r>
    </w:p>
    <w:p w14:paraId="1C71BB24" w14:textId="77777777" w:rsidR="0093541C" w:rsidRDefault="0093541C" w:rsidP="009429E6">
      <w:pPr>
        <w:pStyle w:val="Odsekzoznamu"/>
        <w:spacing w:before="120" w:after="0"/>
        <w:ind w:left="426" w:hanging="284"/>
        <w:jc w:val="both"/>
      </w:pPr>
      <w:r>
        <w:t>• Kúpeľňová polička</w:t>
      </w:r>
    </w:p>
    <w:p w14:paraId="52252347" w14:textId="77777777" w:rsidR="0093541C" w:rsidRDefault="0093541C" w:rsidP="009429E6">
      <w:pPr>
        <w:pStyle w:val="Odsekzoznamu"/>
        <w:spacing w:before="120" w:after="0"/>
        <w:ind w:left="426" w:hanging="284"/>
        <w:jc w:val="both"/>
      </w:pPr>
      <w:r>
        <w:t>• Sklopné držadlá pre telesne postihnutých</w:t>
      </w:r>
    </w:p>
    <w:p w14:paraId="75C73467" w14:textId="77777777" w:rsidR="0093541C" w:rsidRDefault="0093541C" w:rsidP="009429E6">
      <w:pPr>
        <w:pStyle w:val="Odsekzoznamu"/>
        <w:spacing w:before="120" w:after="0"/>
        <w:ind w:left="426" w:hanging="284"/>
        <w:jc w:val="both"/>
      </w:pPr>
      <w:r>
        <w:t>• WC kombi pre telesne postihnutých</w:t>
      </w:r>
    </w:p>
    <w:p w14:paraId="75CEE0A9" w14:textId="20AA44DE" w:rsidR="0093541C" w:rsidRDefault="0093541C" w:rsidP="009429E6">
      <w:pPr>
        <w:pStyle w:val="Odsekzoznamu"/>
        <w:spacing w:before="120" w:after="0"/>
        <w:ind w:left="426" w:hanging="284"/>
        <w:jc w:val="both"/>
      </w:pPr>
      <w:r>
        <w:t>• Sklopná lavička na prezliekanie</w:t>
      </w:r>
    </w:p>
    <w:p w14:paraId="3F20A9E0" w14:textId="3AEEBB63" w:rsidR="009429E6" w:rsidRDefault="009429E6" w:rsidP="009429E6">
      <w:pPr>
        <w:pStyle w:val="Odsekzoznamu"/>
        <w:spacing w:before="120" w:after="0"/>
        <w:ind w:left="426" w:hanging="284"/>
        <w:jc w:val="both"/>
      </w:pPr>
    </w:p>
    <w:p w14:paraId="73979E0D" w14:textId="5A099585" w:rsidR="00F13C26" w:rsidRDefault="00F13C26" w:rsidP="00F13C26">
      <w:pPr>
        <w:pStyle w:val="Odsekzoznamu"/>
        <w:spacing w:before="120" w:after="0"/>
        <w:ind w:left="142"/>
        <w:jc w:val="both"/>
      </w:pPr>
      <w:r>
        <w:t>Po výzve boli do projektovej dokumentácie doplnené nákresy možného osadenia jednotlivých zariadení. Je potrebné dodržať platný Manuál debarierizácie. Zároveň bola upresnená aj výška obkladu stien – na 2 000 mm. Veľkosť zrkadla postačuje min. 60 x 40 cm.</w:t>
      </w:r>
    </w:p>
    <w:p w14:paraId="3CB9F3F2" w14:textId="44D06295" w:rsidR="00F13C26" w:rsidRPr="00F13C26" w:rsidRDefault="00F13C26" w:rsidP="00F13C26">
      <w:pPr>
        <w:pStyle w:val="Odsekzoznamu"/>
        <w:spacing w:before="120" w:after="0"/>
        <w:ind w:left="426"/>
        <w:jc w:val="both"/>
        <w:rPr>
          <w:b/>
          <w:bCs/>
        </w:rPr>
      </w:pPr>
    </w:p>
    <w:p w14:paraId="31EA985B" w14:textId="421054FB" w:rsidR="0093541C" w:rsidRPr="00F13C26" w:rsidRDefault="0093541C" w:rsidP="00F13C26">
      <w:pPr>
        <w:pStyle w:val="Odsekzoznamu"/>
        <w:numPr>
          <w:ilvl w:val="0"/>
          <w:numId w:val="1"/>
        </w:numPr>
        <w:spacing w:before="120" w:after="0"/>
        <w:ind w:left="426"/>
        <w:jc w:val="both"/>
        <w:rPr>
          <w:b/>
          <w:bCs/>
        </w:rPr>
      </w:pPr>
      <w:r w:rsidRPr="00F13C26">
        <w:rPr>
          <w:b/>
          <w:bCs/>
        </w:rPr>
        <w:t>Schodisko</w:t>
      </w:r>
    </w:p>
    <w:p w14:paraId="2B5D1EC4" w14:textId="41B16E07" w:rsidR="00F13C26" w:rsidRDefault="0093541C" w:rsidP="00F13C26">
      <w:pPr>
        <w:spacing w:before="120" w:after="0"/>
        <w:jc w:val="both"/>
      </w:pPr>
      <w:r w:rsidRPr="0093541C">
        <w:t>Na existujúcom schodisku v interiéri ako aj v exteriéri budú osadené šikmé schodiskové</w:t>
      </w:r>
      <w:r w:rsidRPr="0093541C">
        <w:br/>
        <w:t>plošiny v celkovom počte 3 kusy. Rozmery a nosnosť budú mať všetky rovnaké, rozdiel medzi nimi</w:t>
      </w:r>
      <w:r w:rsidRPr="0093541C">
        <w:br/>
        <w:t>bude len</w:t>
      </w:r>
      <w:r w:rsidR="00F13C26">
        <w:t xml:space="preserve"> v dĺžke vodiacej konštrukcie, sklone, spôsobe osadenia a</w:t>
      </w:r>
      <w:r w:rsidRPr="0093541C">
        <w:t xml:space="preserve"> v použitých materiáloch v in</w:t>
      </w:r>
      <w:r w:rsidR="00F13C26">
        <w:t>t</w:t>
      </w:r>
      <w:r w:rsidRPr="0093541C">
        <w:t>eriéri a</w:t>
      </w:r>
      <w:r w:rsidR="00F13C26">
        <w:t> </w:t>
      </w:r>
      <w:r w:rsidRPr="0093541C">
        <w:t xml:space="preserve">exteriéri. </w:t>
      </w:r>
    </w:p>
    <w:p w14:paraId="3F74047B" w14:textId="13CAE68E" w:rsidR="00124090" w:rsidRDefault="0093541C" w:rsidP="00F13C26">
      <w:pPr>
        <w:spacing w:before="120" w:after="0"/>
        <w:jc w:val="both"/>
      </w:pPr>
      <w:r w:rsidRPr="0093541C">
        <w:t>Navrhované plošiny budú mať rozmer</w:t>
      </w:r>
      <w:r w:rsidR="00124090">
        <w:t xml:space="preserve"> </w:t>
      </w:r>
      <w:r w:rsidR="00F13C26">
        <w:t>min. 8</w:t>
      </w:r>
      <w:r w:rsidR="00124090">
        <w:t>00</w:t>
      </w:r>
      <w:r w:rsidR="00F13C26">
        <w:t xml:space="preserve"> mm x 1000 mm, pričom optimálne </w:t>
      </w:r>
      <w:r w:rsidR="00124090">
        <w:t>riešenie by bolo 850 x 1250 mm) s min. nosnosťou 250 kg (optim. 300 kg). Exteriérová plošina by mala mať vodiace lišty uchytené na stĺpiky, pre interiérové budú upevnené na bočnú stenu.</w:t>
      </w:r>
    </w:p>
    <w:p w14:paraId="38664844" w14:textId="5E6E1154" w:rsidR="00124090" w:rsidRDefault="00124090" w:rsidP="00F13C26">
      <w:pPr>
        <w:spacing w:before="120" w:after="0"/>
        <w:jc w:val="both"/>
      </w:pPr>
      <w:r>
        <w:t>Je nevyhnutné zameranie priestoru, aby boli navrhnuté optimálne riešenia a parametre, čo najviac spĺňajúce požiadavky v manuáli debarierizácie. Podrobné špecifikácie sa nachádzajú v návrhu Výkazu výmer</w:t>
      </w:r>
      <w:r w:rsidR="00922771">
        <w:t>.</w:t>
      </w:r>
    </w:p>
    <w:p w14:paraId="6089FAA4" w14:textId="77777777" w:rsidR="00124090" w:rsidRPr="000920E1" w:rsidRDefault="00124090" w:rsidP="00F13C26">
      <w:pPr>
        <w:spacing w:before="120" w:after="0"/>
        <w:jc w:val="both"/>
      </w:pPr>
    </w:p>
    <w:sectPr w:rsidR="00124090" w:rsidRPr="000920E1" w:rsidSect="00583043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976CA"/>
    <w:multiLevelType w:val="hybridMultilevel"/>
    <w:tmpl w:val="F3024A7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319EA"/>
    <w:multiLevelType w:val="hybridMultilevel"/>
    <w:tmpl w:val="99608204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B94"/>
    <w:rsid w:val="0008446E"/>
    <w:rsid w:val="000920E1"/>
    <w:rsid w:val="000A7AB5"/>
    <w:rsid w:val="00124090"/>
    <w:rsid w:val="002F2BC0"/>
    <w:rsid w:val="00503C94"/>
    <w:rsid w:val="0050735B"/>
    <w:rsid w:val="00583043"/>
    <w:rsid w:val="0064264D"/>
    <w:rsid w:val="006D6F26"/>
    <w:rsid w:val="006F4A42"/>
    <w:rsid w:val="00745BE9"/>
    <w:rsid w:val="00813F82"/>
    <w:rsid w:val="008C30B8"/>
    <w:rsid w:val="00922771"/>
    <w:rsid w:val="0093541C"/>
    <w:rsid w:val="009429E6"/>
    <w:rsid w:val="00AF2D4D"/>
    <w:rsid w:val="00C548D0"/>
    <w:rsid w:val="00D15AA5"/>
    <w:rsid w:val="00F13C26"/>
    <w:rsid w:val="00FD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6389"/>
  <w15:chartTrackingRefBased/>
  <w15:docId w15:val="{838CB65A-CA52-4276-9911-84A5744F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D3B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3B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3B9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3B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D3B9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D3B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D3B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D3B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D3B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D3B9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3B9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3B94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D3B94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D3B9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D3B9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D3B9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D3B9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D3B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D3B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D3B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D3B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D3B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D3B9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D3B9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D3B94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D3B9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D3B94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D3B94"/>
    <w:rPr>
      <w:b/>
      <w:bCs/>
      <w:smallCaps/>
      <w:color w:val="2E74B5" w:themeColor="accent1" w:themeShade="BF"/>
      <w:spacing w:val="5"/>
    </w:rPr>
  </w:style>
  <w:style w:type="paragraph" w:styleId="Pta">
    <w:name w:val="footer"/>
    <w:basedOn w:val="Normlny"/>
    <w:link w:val="PtaChar"/>
    <w:uiPriority w:val="99"/>
    <w:rsid w:val="00D15A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character" w:customStyle="1" w:styleId="PtaChar">
    <w:name w:val="Päta Char"/>
    <w:basedOn w:val="Predvolenpsmoodseku"/>
    <w:link w:val="Pta"/>
    <w:uiPriority w:val="99"/>
    <w:rsid w:val="00D15AA5"/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Wagnerová</dc:creator>
  <cp:keywords/>
  <dc:description/>
  <cp:lastModifiedBy>Mária Wagnerová</cp:lastModifiedBy>
  <cp:revision>4</cp:revision>
  <dcterms:created xsi:type="dcterms:W3CDTF">2024-11-05T20:29:00Z</dcterms:created>
  <dcterms:modified xsi:type="dcterms:W3CDTF">2024-11-05T20:36:00Z</dcterms:modified>
</cp:coreProperties>
</file>