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5B36FCFB"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D6527A" w:rsidRPr="00D6527A">
        <w:rPr>
          <w:b/>
          <w:sz w:val="24"/>
          <w:szCs w:val="24"/>
        </w:rPr>
        <w:t xml:space="preserve">Silnice III/28714 </w:t>
      </w:r>
      <w:proofErr w:type="spellStart"/>
      <w:r w:rsidR="00D6527A" w:rsidRPr="00D6527A">
        <w:rPr>
          <w:b/>
          <w:sz w:val="24"/>
          <w:szCs w:val="24"/>
        </w:rPr>
        <w:t>Pelíkovice</w:t>
      </w:r>
      <w:proofErr w:type="spellEnd"/>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377AE9DD"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0413CB" w:rsidRPr="000413CB">
        <w:rPr>
          <w:b/>
          <w:sz w:val="24"/>
          <w:szCs w:val="24"/>
        </w:rPr>
        <w:t xml:space="preserve">Silnice III/28714 </w:t>
      </w:r>
      <w:proofErr w:type="spellStart"/>
      <w:r w:rsidR="000413CB" w:rsidRPr="000413CB">
        <w:rPr>
          <w:b/>
          <w:sz w:val="24"/>
          <w:szCs w:val="24"/>
        </w:rPr>
        <w:t>Pelíkovice</w:t>
      </w:r>
      <w:proofErr w:type="spellEnd"/>
      <w:r w:rsidR="000413CB" w:rsidRPr="000413CB">
        <w:rPr>
          <w:b/>
          <w:sz w:val="24"/>
          <w:szCs w:val="24"/>
        </w:rPr>
        <w:t xml:space="preserve"> (II)</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3A396F1A"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0413CB" w:rsidRPr="000413CB">
        <w:rPr>
          <w:sz w:val="24"/>
          <w:szCs w:val="24"/>
        </w:rPr>
        <w:t xml:space="preserve">Silnice III/28714 </w:t>
      </w:r>
      <w:proofErr w:type="spellStart"/>
      <w:r w:rsidR="000413CB" w:rsidRPr="000413CB">
        <w:rPr>
          <w:sz w:val="24"/>
          <w:szCs w:val="24"/>
        </w:rPr>
        <w:t>Pelíkovice</w:t>
      </w:r>
      <w:proofErr w:type="spellEnd"/>
      <w:r w:rsidR="00871FC1" w:rsidRPr="00871FC1">
        <w:rPr>
          <w:sz w:val="24"/>
          <w:szCs w:val="24"/>
        </w:rPr>
        <w:t xml:space="preserve"> </w:t>
      </w:r>
    </w:p>
    <w:p w14:paraId="188A003F" w14:textId="48681AE7"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0413CB" w:rsidRPr="000413CB">
        <w:rPr>
          <w:sz w:val="24"/>
          <w:szCs w:val="24"/>
        </w:rPr>
        <w:t xml:space="preserve">Silnice III/28714 </w:t>
      </w:r>
      <w:proofErr w:type="spellStart"/>
      <w:r w:rsidR="000413CB" w:rsidRPr="000413CB">
        <w:rPr>
          <w:sz w:val="24"/>
          <w:szCs w:val="24"/>
        </w:rPr>
        <w:t>Pelíkovice</w:t>
      </w:r>
      <w:proofErr w:type="spellEnd"/>
      <w:r w:rsidR="000413CB">
        <w:rPr>
          <w:sz w:val="24"/>
          <w:szCs w:val="24"/>
        </w:rPr>
        <w:t>,</w:t>
      </w:r>
      <w:r w:rsidR="00DA53BC">
        <w:rPr>
          <w:sz w:val="24"/>
          <w:szCs w:val="24"/>
        </w:rPr>
        <w:t xml:space="preserve"> </w:t>
      </w:r>
      <w:r w:rsidR="0018170C" w:rsidRPr="00793E4E">
        <w:rPr>
          <w:sz w:val="24"/>
          <w:szCs w:val="24"/>
        </w:rPr>
        <w:t xml:space="preserve">okres </w:t>
      </w:r>
      <w:r w:rsidR="000413CB">
        <w:rPr>
          <w:sz w:val="24"/>
          <w:szCs w:val="24"/>
        </w:rPr>
        <w:t>Jablonec nad Nisou</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51A404B9"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2F17DB">
        <w:rPr>
          <w:b/>
        </w:rPr>
        <w:t>8</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1C561FC7"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w:t>
      </w:r>
      <w:r w:rsidR="002F17DB">
        <w:rPr>
          <w:b/>
          <w:color w:val="000000"/>
        </w:rPr>
        <w:t>5</w:t>
      </w:r>
      <w:r w:rsidR="00EA2D58">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77111E2E"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2F17DB">
        <w:rPr>
          <w:b/>
        </w:rPr>
        <w:t>180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3739A5FB"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5A4A50" w:rsidRPr="001D503D">
          <w:rPr>
            <w:rStyle w:val="Hypertextovodkaz"/>
            <w:szCs w:val="24"/>
            <w:lang w:val="cs-CZ"/>
          </w:rPr>
          <w:t>jan.capek@ksslk.cz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w:t>
      </w:r>
      <w:r>
        <w:lastRenderedPageBreak/>
        <w:t>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lastRenderedPageBreak/>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w:t>
      </w:r>
      <w:r>
        <w:rPr>
          <w:sz w:val="24"/>
          <w:szCs w:val="24"/>
        </w:rPr>
        <w:lastRenderedPageBreak/>
        <w:t>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w:t>
      </w:r>
      <w:r w:rsidR="00B2620B" w:rsidRPr="002320FD">
        <w:rPr>
          <w:sz w:val="24"/>
        </w:rPr>
        <w:lastRenderedPageBreak/>
        <w:t>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53B462EF" w:rsidR="003B7FC8" w:rsidRPr="001F40A9" w:rsidRDefault="005A4A50"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xml:space="preserve">, specialista na přípravu projektů KSSLK, tel: </w:t>
      </w:r>
      <w:r>
        <w:rPr>
          <w:color w:val="000000"/>
          <w:sz w:val="24"/>
          <w:szCs w:val="24"/>
        </w:rPr>
        <w:t xml:space="preserve">774 388 </w:t>
      </w:r>
      <w:proofErr w:type="gramStart"/>
      <w:r>
        <w:rPr>
          <w:color w:val="000000"/>
          <w:sz w:val="24"/>
          <w:szCs w:val="24"/>
        </w:rPr>
        <w:t>252</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Pr="001D503D">
          <w:rPr>
            <w:rStyle w:val="Hypertextovodkaz"/>
            <w:sz w:val="24"/>
            <w:szCs w:val="24"/>
          </w:rPr>
          <w:t>jan.capek@ksslk.cz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lastRenderedPageBreak/>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62D1C75C" w14:textId="77777777" w:rsidR="00400316" w:rsidRDefault="00400316" w:rsidP="00A21688">
      <w:pPr>
        <w:widowControl w:val="0"/>
        <w:tabs>
          <w:tab w:val="left" w:pos="6660"/>
        </w:tabs>
        <w:spacing w:before="120" w:after="0"/>
        <w:rPr>
          <w:sz w:val="24"/>
        </w:rPr>
      </w:pPr>
    </w:p>
    <w:p w14:paraId="1279ED0C" w14:textId="77777777" w:rsidR="00400316" w:rsidRDefault="00400316"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6FDA4B00" w14:textId="77777777" w:rsidR="007E31EF" w:rsidRDefault="007E31EF" w:rsidP="007E31EF">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016DC1F1" w14:textId="5CEBF9E0" w:rsidR="00B10F4E" w:rsidRPr="00E03DB6" w:rsidRDefault="00B10F4E" w:rsidP="00B10F4E">
      <w:pPr>
        <w:tabs>
          <w:tab w:val="left" w:pos="6096"/>
        </w:tabs>
        <w:spacing w:before="120" w:after="0"/>
        <w:rPr>
          <w:rStyle w:val="Odkaznakoment"/>
          <w:color w:val="000000"/>
          <w:sz w:val="24"/>
          <w:szCs w:val="24"/>
        </w:rPr>
      </w:pPr>
      <w:r w:rsidRPr="0088557F">
        <w:rPr>
          <w:rStyle w:val="Odkaznakoment"/>
          <w:color w:val="000000"/>
          <w:sz w:val="24"/>
          <w:szCs w:val="24"/>
        </w:rPr>
        <w:t>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w:t>
      </w:r>
      <w:r w:rsidR="001476FA" w:rsidRPr="001476FA">
        <w:rPr>
          <w:bCs/>
          <w:sz w:val="22"/>
          <w:szCs w:val="22"/>
          <w:lang w:val="x-none" w:eastAsia="x-none"/>
        </w:rPr>
        <w:lastRenderedPageBreak/>
        <w:t>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325"/>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3CB"/>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147"/>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C0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57CE4"/>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17DB"/>
    <w:rsid w:val="002F2EDE"/>
    <w:rsid w:val="002F392B"/>
    <w:rsid w:val="002F3BE8"/>
    <w:rsid w:val="002F40BD"/>
    <w:rsid w:val="002F440E"/>
    <w:rsid w:val="002F463F"/>
    <w:rsid w:val="002F4CDF"/>
    <w:rsid w:val="002F6705"/>
    <w:rsid w:val="002F6E69"/>
    <w:rsid w:val="002F7183"/>
    <w:rsid w:val="002F7A63"/>
    <w:rsid w:val="0030023F"/>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316"/>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A50"/>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9AC"/>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2C9"/>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1EF"/>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4316"/>
    <w:rsid w:val="00B96BC8"/>
    <w:rsid w:val="00B977B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1F2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527A"/>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17BD"/>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25</Pages>
  <Words>7693</Words>
  <Characters>45989</Characters>
  <Application>Microsoft Office Word</Application>
  <DocSecurity>0</DocSecurity>
  <Lines>383</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53575</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13</cp:revision>
  <cp:lastPrinted>2024-04-08T09:37:00Z</cp:lastPrinted>
  <dcterms:created xsi:type="dcterms:W3CDTF">2024-09-04T06:26:00Z</dcterms:created>
  <dcterms:modified xsi:type="dcterms:W3CDTF">2025-02-14T09:34:00Z</dcterms:modified>
</cp:coreProperties>
</file>