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D4405" w14:textId="77777777" w:rsidR="00693AC6" w:rsidRPr="00EB0C2E" w:rsidRDefault="00693AC6" w:rsidP="00EB0C2E">
      <w:pPr>
        <w:pStyle w:val="Zkladntext2"/>
        <w:jc w:val="right"/>
        <w:rPr>
          <w:smallCaps/>
          <w:sz w:val="22"/>
          <w:szCs w:val="22"/>
        </w:rPr>
      </w:pPr>
    </w:p>
    <w:p w14:paraId="20673ED2" w14:textId="77777777" w:rsidR="00CB3851" w:rsidRPr="00DB6D4A" w:rsidRDefault="00CB3851" w:rsidP="00CB3851">
      <w:pPr>
        <w:pStyle w:val="Zkladntext2"/>
        <w:jc w:val="center"/>
        <w:rPr>
          <w:b/>
          <w:sz w:val="24"/>
        </w:rPr>
      </w:pPr>
      <w:r w:rsidRPr="00DB6D4A">
        <w:rPr>
          <w:b/>
          <w:sz w:val="24"/>
        </w:rPr>
        <w:t xml:space="preserve">Parametry předávaných </w:t>
      </w:r>
      <w:r w:rsidR="00F12986">
        <w:rPr>
          <w:b/>
          <w:sz w:val="24"/>
        </w:rPr>
        <w:t xml:space="preserve">movitých archeologických </w:t>
      </w:r>
      <w:r w:rsidRPr="00DB6D4A">
        <w:rPr>
          <w:b/>
          <w:sz w:val="24"/>
        </w:rPr>
        <w:t>nálezů a dokumentace</w:t>
      </w:r>
      <w:r w:rsidR="003C651F">
        <w:rPr>
          <w:b/>
          <w:sz w:val="24"/>
        </w:rPr>
        <w:t xml:space="preserve"> (MAN)</w:t>
      </w:r>
    </w:p>
    <w:p w14:paraId="33E1D150" w14:textId="77777777" w:rsidR="00807E33" w:rsidRPr="00DB6D4A" w:rsidRDefault="00807E33" w:rsidP="00CB3851">
      <w:pPr>
        <w:pStyle w:val="Zkladntext2"/>
        <w:jc w:val="center"/>
        <w:rPr>
          <w:sz w:val="24"/>
        </w:rPr>
      </w:pPr>
    </w:p>
    <w:p w14:paraId="7927A76D" w14:textId="77777777" w:rsidR="00CB3851" w:rsidRPr="00DB6D4A" w:rsidRDefault="00807E33" w:rsidP="00A525BF">
      <w:pPr>
        <w:pStyle w:val="Zkladntext2"/>
        <w:spacing w:line="360" w:lineRule="auto"/>
        <w:jc w:val="center"/>
        <w:rPr>
          <w:sz w:val="24"/>
        </w:rPr>
      </w:pPr>
      <w:r w:rsidRPr="00DB6D4A">
        <w:rPr>
          <w:sz w:val="24"/>
        </w:rPr>
        <w:t>I.</w:t>
      </w:r>
    </w:p>
    <w:p w14:paraId="014EF7BD" w14:textId="77777777" w:rsidR="00807E33" w:rsidRPr="00DB6D4A" w:rsidRDefault="00693AC6" w:rsidP="00E77A23">
      <w:pPr>
        <w:pStyle w:val="Zkladntext2"/>
        <w:rPr>
          <w:sz w:val="24"/>
        </w:rPr>
      </w:pPr>
      <w:r w:rsidRPr="00DB6D4A">
        <w:rPr>
          <w:sz w:val="24"/>
        </w:rPr>
        <w:t>Příslušné muzeum může s ohledem na vlastní metodiku nakládání se sbírkovými předměty a jejich evidenci stanovit v rozsahu této přílohy konkrétní požadavky na strukturu a podrobnost dat, závazné slovníky, formát zápisu, kritéria třídění, charakter a popis obalového materiálu. Veškeré součásti doprovodné dokumentace obdrží příslušné muzeum vždy v tištěné i digitální verzi ve vzájemně odsouhlasených datových formátech</w:t>
      </w:r>
      <w:r w:rsidR="00807E33" w:rsidRPr="00DB6D4A">
        <w:rPr>
          <w:sz w:val="24"/>
        </w:rPr>
        <w:t xml:space="preserve">. Předměty lze případně zapsat do muzejní evidence, až po fyzickém předání souboru. </w:t>
      </w:r>
      <w:r w:rsidR="00F456D7" w:rsidRPr="00DB6D4A">
        <w:rPr>
          <w:sz w:val="24"/>
        </w:rPr>
        <w:t>Zapsání vybraných předmětů</w:t>
      </w:r>
      <w:r w:rsidR="00A50EB0" w:rsidRPr="00DB6D4A">
        <w:rPr>
          <w:sz w:val="24"/>
        </w:rPr>
        <w:t xml:space="preserve"> do muzejní evidence</w:t>
      </w:r>
      <w:r w:rsidR="00F456D7" w:rsidRPr="00DB6D4A">
        <w:rPr>
          <w:sz w:val="24"/>
        </w:rPr>
        <w:t xml:space="preserve"> musí být uskutečněno nejpozději do 2 let od fyzického předání souboru, pokud</w:t>
      </w:r>
      <w:r w:rsidR="003C651F">
        <w:rPr>
          <w:sz w:val="24"/>
        </w:rPr>
        <w:t xml:space="preserve"> se má</w:t>
      </w:r>
      <w:r w:rsidR="00F456D7" w:rsidRPr="00DB6D4A">
        <w:rPr>
          <w:sz w:val="24"/>
        </w:rPr>
        <w:t xml:space="preserve"> stanovená lhůta prodloužit, lze poslat žádost na odbor kultury a památkové péče Krajského úřadu </w:t>
      </w:r>
      <w:r w:rsidR="003C651F">
        <w:rPr>
          <w:sz w:val="24"/>
        </w:rPr>
        <w:t>Jihomoravského</w:t>
      </w:r>
      <w:r w:rsidR="00F456D7" w:rsidRPr="00DB6D4A">
        <w:rPr>
          <w:sz w:val="24"/>
        </w:rPr>
        <w:t xml:space="preserve"> kraje, který může stanovenou lhůtu prodloužit.</w:t>
      </w:r>
    </w:p>
    <w:p w14:paraId="4D82B9F1" w14:textId="77777777" w:rsidR="00807E33" w:rsidRPr="00A525BF" w:rsidRDefault="00807E33" w:rsidP="00E77A23">
      <w:pPr>
        <w:pStyle w:val="Zkladntext2"/>
        <w:rPr>
          <w:sz w:val="22"/>
          <w:szCs w:val="22"/>
        </w:rPr>
      </w:pPr>
    </w:p>
    <w:p w14:paraId="2B2439CE" w14:textId="77777777" w:rsidR="00807E33" w:rsidRPr="00DB6D4A" w:rsidRDefault="00807E33" w:rsidP="00E50239">
      <w:pPr>
        <w:pStyle w:val="Zkladntext2"/>
        <w:jc w:val="center"/>
        <w:rPr>
          <w:sz w:val="24"/>
        </w:rPr>
      </w:pPr>
      <w:r w:rsidRPr="00DB6D4A">
        <w:rPr>
          <w:sz w:val="24"/>
        </w:rPr>
        <w:t>II.</w:t>
      </w:r>
    </w:p>
    <w:p w14:paraId="27CA5E51" w14:textId="77777777" w:rsidR="00693AC6" w:rsidRPr="00DB6D4A" w:rsidRDefault="00807E33" w:rsidP="00E77A23">
      <w:pPr>
        <w:pStyle w:val="Zkladntext2"/>
        <w:rPr>
          <w:sz w:val="24"/>
        </w:rPr>
      </w:pPr>
      <w:r w:rsidRPr="00DB6D4A">
        <w:rPr>
          <w:sz w:val="24"/>
        </w:rPr>
        <w:t>Pokud muzeum, příslušné k převzetí nálezů, nebude schopno nálezy převzít z důvodů nedostatečné kapacity prostor</w:t>
      </w:r>
      <w:r w:rsidR="009B75AE" w:rsidRPr="00DB6D4A">
        <w:rPr>
          <w:sz w:val="24"/>
        </w:rPr>
        <w:t>u</w:t>
      </w:r>
      <w:r w:rsidRPr="00DB6D4A">
        <w:rPr>
          <w:sz w:val="24"/>
        </w:rPr>
        <w:t xml:space="preserve"> s vhodnými podmínkami </w:t>
      </w:r>
      <w:r w:rsidR="005F16BD" w:rsidRPr="00DB6D4A">
        <w:rPr>
          <w:sz w:val="24"/>
        </w:rPr>
        <w:t xml:space="preserve">pro uložení sbírek muzejní povahy podle zákona č. 122/2000 Sb., o ochraně sbírek muzejní povahy, v platném znění, nálezy nepřevezme. Dotčené muzeum to oznámí bez zbytečného odkladu odboru kultury a památkové péče Krajského úřadu </w:t>
      </w:r>
      <w:r w:rsidR="003C651F">
        <w:rPr>
          <w:sz w:val="24"/>
        </w:rPr>
        <w:t>Jihomoravského</w:t>
      </w:r>
      <w:r w:rsidR="005F16BD" w:rsidRPr="00DB6D4A">
        <w:rPr>
          <w:sz w:val="24"/>
        </w:rPr>
        <w:t xml:space="preserve"> kraje</w:t>
      </w:r>
      <w:r w:rsidR="009B75AE" w:rsidRPr="00DB6D4A">
        <w:rPr>
          <w:sz w:val="24"/>
        </w:rPr>
        <w:t>, který rozhodne o novém místě uložení MAN</w:t>
      </w:r>
      <w:r w:rsidR="005F16BD" w:rsidRPr="00DB6D4A">
        <w:rPr>
          <w:sz w:val="24"/>
        </w:rPr>
        <w:t>.</w:t>
      </w:r>
    </w:p>
    <w:p w14:paraId="19911209" w14:textId="77777777" w:rsidR="005F16BD" w:rsidRPr="00DB6D4A" w:rsidRDefault="005F16BD" w:rsidP="00DB6D4A">
      <w:pPr>
        <w:pStyle w:val="Zkladntext2"/>
        <w:rPr>
          <w:sz w:val="24"/>
        </w:rPr>
      </w:pPr>
    </w:p>
    <w:p w14:paraId="6D6D971E" w14:textId="77777777" w:rsidR="00693AC6" w:rsidRPr="00DB6D4A" w:rsidRDefault="001A7AF5" w:rsidP="00DB6D4A">
      <w:pPr>
        <w:pStyle w:val="Nadpis1"/>
        <w:jc w:val="both"/>
        <w:rPr>
          <w:sz w:val="24"/>
          <w:szCs w:val="24"/>
        </w:rPr>
      </w:pPr>
      <w:r w:rsidRPr="00DB6D4A">
        <w:rPr>
          <w:bCs w:val="0"/>
          <w:sz w:val="24"/>
          <w:szCs w:val="24"/>
        </w:rPr>
        <w:t>1.</w:t>
      </w:r>
      <w:r w:rsidRPr="00DB6D4A">
        <w:rPr>
          <w:sz w:val="24"/>
          <w:szCs w:val="24"/>
        </w:rPr>
        <w:t xml:space="preserve"> </w:t>
      </w:r>
      <w:r w:rsidR="009B75AE" w:rsidRPr="00DB6D4A">
        <w:rPr>
          <w:sz w:val="24"/>
          <w:szCs w:val="24"/>
        </w:rPr>
        <w:t>Seznam MAN</w:t>
      </w:r>
    </w:p>
    <w:p w14:paraId="204B4E6A" w14:textId="77777777" w:rsidR="002E4DDD" w:rsidRDefault="002E4DDD" w:rsidP="00DB6D4A">
      <w:pPr>
        <w:numPr>
          <w:ilvl w:val="0"/>
          <w:numId w:val="14"/>
        </w:numPr>
        <w:jc w:val="both"/>
      </w:pPr>
      <w:r w:rsidRPr="00DB6D4A">
        <w:t>Forma popisky sáčku: číslo sáčku, katastrální území, okolnosti výzkumu, rok, identifikace autora, datum získání, označení logických celků, hloubka, kontext a materiál.</w:t>
      </w:r>
    </w:p>
    <w:p w14:paraId="040BFD5F" w14:textId="77777777" w:rsidR="00DB6D4A" w:rsidRPr="00DB6D4A" w:rsidRDefault="00DB6D4A" w:rsidP="00DB6D4A">
      <w:pPr>
        <w:ind w:left="360"/>
        <w:jc w:val="both"/>
      </w:pPr>
    </w:p>
    <w:p w14:paraId="5B03D637" w14:textId="77777777" w:rsidR="002E4DDD" w:rsidRPr="00DB6D4A" w:rsidRDefault="002E4DDD" w:rsidP="00DB6D4A">
      <w:pPr>
        <w:numPr>
          <w:ilvl w:val="0"/>
          <w:numId w:val="14"/>
        </w:numPr>
        <w:jc w:val="both"/>
      </w:pPr>
      <w:r w:rsidRPr="00DB6D4A">
        <w:t>Forma štítku bedny se uvádí: název akce, katastrální území, rok, seznam objektů, seznam sáčků a materiál.</w:t>
      </w:r>
    </w:p>
    <w:p w14:paraId="3D3DD85E" w14:textId="77777777" w:rsidR="002E4DDD" w:rsidRPr="00DB6D4A" w:rsidRDefault="002E4DDD" w:rsidP="00DB6D4A">
      <w:pPr>
        <w:ind w:left="720"/>
        <w:jc w:val="both"/>
      </w:pPr>
    </w:p>
    <w:p w14:paraId="08A26691" w14:textId="77777777" w:rsidR="00693AC6" w:rsidRPr="00DB6D4A" w:rsidRDefault="002E4DDD" w:rsidP="00DB6D4A">
      <w:pPr>
        <w:keepNext/>
        <w:spacing w:before="60" w:after="60"/>
        <w:jc w:val="both"/>
        <w:outlineLvl w:val="0"/>
        <w:rPr>
          <w:b/>
          <w:sz w:val="22"/>
          <w:szCs w:val="22"/>
          <w:u w:val="single"/>
        </w:rPr>
      </w:pPr>
      <w:r w:rsidRPr="00DB6D4A">
        <w:rPr>
          <w:b/>
          <w:sz w:val="22"/>
          <w:szCs w:val="22"/>
          <w:u w:val="single"/>
        </w:rPr>
        <w:t>S</w:t>
      </w:r>
      <w:r w:rsidR="00693AC6" w:rsidRPr="00DB6D4A">
        <w:rPr>
          <w:b/>
          <w:sz w:val="22"/>
          <w:szCs w:val="22"/>
          <w:u w:val="single"/>
        </w:rPr>
        <w:t>truk</w:t>
      </w:r>
      <w:r w:rsidRPr="00DB6D4A">
        <w:rPr>
          <w:b/>
          <w:sz w:val="22"/>
          <w:szCs w:val="22"/>
          <w:u w:val="single"/>
        </w:rPr>
        <w:t>tur</w:t>
      </w:r>
      <w:r w:rsidR="00081AA4" w:rsidRPr="00DB6D4A">
        <w:rPr>
          <w:b/>
          <w:sz w:val="22"/>
          <w:szCs w:val="22"/>
          <w:u w:val="single"/>
        </w:rPr>
        <w:t>a údajů v seznamu nálezů</w:t>
      </w:r>
      <w:r w:rsidR="009B75AE" w:rsidRPr="00DB6D4A">
        <w:rPr>
          <w:b/>
          <w:sz w:val="22"/>
          <w:szCs w:val="22"/>
          <w:u w:val="single"/>
        </w:rPr>
        <w:t>:</w:t>
      </w:r>
    </w:p>
    <w:p w14:paraId="5945890A" w14:textId="77777777" w:rsidR="002E4DDD" w:rsidRPr="00DB6D4A" w:rsidRDefault="009B75AE" w:rsidP="00DB6D4A">
      <w:pPr>
        <w:numPr>
          <w:ilvl w:val="0"/>
          <w:numId w:val="5"/>
        </w:numPr>
        <w:tabs>
          <w:tab w:val="num" w:pos="720"/>
        </w:tabs>
        <w:ind w:left="1068" w:hanging="708"/>
        <w:jc w:val="both"/>
      </w:pPr>
      <w:r w:rsidRPr="00DB6D4A">
        <w:t>číslo sáčku</w:t>
      </w:r>
      <w:r w:rsidR="000F32DF" w:rsidRPr="00DB6D4A">
        <w:t xml:space="preserve"> </w:t>
      </w:r>
    </w:p>
    <w:p w14:paraId="5BA71F98" w14:textId="77777777" w:rsidR="002E4DDD" w:rsidRPr="00DB6D4A" w:rsidRDefault="009B75AE" w:rsidP="00DB6D4A">
      <w:pPr>
        <w:numPr>
          <w:ilvl w:val="0"/>
          <w:numId w:val="5"/>
        </w:numPr>
        <w:tabs>
          <w:tab w:val="num" w:pos="720"/>
        </w:tabs>
        <w:ind w:left="1068" w:hanging="708"/>
        <w:jc w:val="both"/>
      </w:pPr>
      <w:r w:rsidRPr="00DB6D4A">
        <w:t>číslo bedny</w:t>
      </w:r>
      <w:r w:rsidR="000F32DF" w:rsidRPr="00DB6D4A">
        <w:t xml:space="preserve"> </w:t>
      </w:r>
      <w:r w:rsidRPr="00DB6D4A">
        <w:t xml:space="preserve"> </w:t>
      </w:r>
    </w:p>
    <w:p w14:paraId="3573F7B1" w14:textId="77777777" w:rsidR="009B75AE" w:rsidRPr="00DB6D4A" w:rsidRDefault="009B75AE" w:rsidP="00DB6D4A">
      <w:pPr>
        <w:numPr>
          <w:ilvl w:val="0"/>
          <w:numId w:val="5"/>
        </w:numPr>
        <w:tabs>
          <w:tab w:val="num" w:pos="720"/>
        </w:tabs>
        <w:ind w:left="1068" w:hanging="708"/>
        <w:jc w:val="both"/>
      </w:pPr>
      <w:r w:rsidRPr="00DB6D4A">
        <w:t xml:space="preserve">katastrální území </w:t>
      </w:r>
    </w:p>
    <w:p w14:paraId="3CF2033D" w14:textId="77777777" w:rsidR="009B75AE" w:rsidRPr="00DB6D4A" w:rsidRDefault="009B75AE" w:rsidP="00DB6D4A">
      <w:pPr>
        <w:numPr>
          <w:ilvl w:val="0"/>
          <w:numId w:val="5"/>
        </w:numPr>
        <w:tabs>
          <w:tab w:val="num" w:pos="720"/>
        </w:tabs>
        <w:ind w:left="1068" w:hanging="708"/>
        <w:jc w:val="both"/>
      </w:pPr>
      <w:r w:rsidRPr="00DB6D4A">
        <w:t xml:space="preserve">okolnosti výzkumu (přesná identifikace aktivity, která příslušný výzkum vyvolala), </w:t>
      </w:r>
    </w:p>
    <w:p w14:paraId="2B730F02" w14:textId="77777777" w:rsidR="009B75AE" w:rsidRPr="00DB6D4A" w:rsidRDefault="009B75AE" w:rsidP="00DB6D4A">
      <w:pPr>
        <w:numPr>
          <w:ilvl w:val="0"/>
          <w:numId w:val="5"/>
        </w:numPr>
        <w:tabs>
          <w:tab w:val="num" w:pos="720"/>
        </w:tabs>
        <w:ind w:left="1068" w:hanging="708"/>
        <w:jc w:val="both"/>
      </w:pPr>
      <w:r w:rsidRPr="00DB6D4A">
        <w:t xml:space="preserve">rok </w:t>
      </w:r>
    </w:p>
    <w:p w14:paraId="78137D04" w14:textId="77777777" w:rsidR="009B75AE" w:rsidRPr="00DB6D4A" w:rsidRDefault="009B75AE" w:rsidP="00DB6D4A">
      <w:pPr>
        <w:numPr>
          <w:ilvl w:val="0"/>
          <w:numId w:val="5"/>
        </w:numPr>
        <w:tabs>
          <w:tab w:val="num" w:pos="720"/>
        </w:tabs>
        <w:ind w:left="1068" w:hanging="708"/>
        <w:jc w:val="both"/>
      </w:pPr>
      <w:r w:rsidRPr="00DB6D4A">
        <w:t xml:space="preserve">identifikace autora výzkumu </w:t>
      </w:r>
    </w:p>
    <w:p w14:paraId="1EAFF2A0" w14:textId="77777777" w:rsidR="00693AC6" w:rsidRPr="00DB6D4A" w:rsidRDefault="00693AC6" w:rsidP="00DB6D4A">
      <w:pPr>
        <w:numPr>
          <w:ilvl w:val="0"/>
          <w:numId w:val="5"/>
        </w:numPr>
        <w:tabs>
          <w:tab w:val="num" w:pos="720"/>
        </w:tabs>
        <w:ind w:left="1080" w:hanging="708"/>
        <w:jc w:val="both"/>
      </w:pPr>
      <w:r w:rsidRPr="00DB6D4A">
        <w:t>datum získání</w:t>
      </w:r>
    </w:p>
    <w:p w14:paraId="5EFB9474" w14:textId="77777777" w:rsidR="00693AC6" w:rsidRPr="00DB6D4A" w:rsidRDefault="00693AC6" w:rsidP="00DB6D4A">
      <w:pPr>
        <w:numPr>
          <w:ilvl w:val="0"/>
          <w:numId w:val="5"/>
        </w:numPr>
        <w:tabs>
          <w:tab w:val="num" w:pos="720"/>
        </w:tabs>
        <w:ind w:left="1080" w:hanging="708"/>
        <w:jc w:val="both"/>
      </w:pPr>
      <w:r w:rsidRPr="00DB6D4A">
        <w:t>označení většího logického celku (úsek, sektor, sonda apod.)</w:t>
      </w:r>
    </w:p>
    <w:p w14:paraId="747B060C" w14:textId="77777777" w:rsidR="00693AC6" w:rsidRPr="00DB6D4A" w:rsidRDefault="00693AC6" w:rsidP="00DB6D4A">
      <w:pPr>
        <w:numPr>
          <w:ilvl w:val="0"/>
          <w:numId w:val="5"/>
        </w:numPr>
        <w:tabs>
          <w:tab w:val="num" w:pos="720"/>
        </w:tabs>
        <w:ind w:left="1080" w:hanging="708"/>
        <w:jc w:val="both"/>
      </w:pPr>
      <w:r w:rsidRPr="00DB6D4A">
        <w:t>označení menšího logického celku (objekt, hrob apod.)</w:t>
      </w:r>
    </w:p>
    <w:p w14:paraId="2EA3E762" w14:textId="77777777" w:rsidR="00693AC6" w:rsidRPr="00DB6D4A" w:rsidRDefault="00693AC6" w:rsidP="00DB6D4A">
      <w:pPr>
        <w:numPr>
          <w:ilvl w:val="0"/>
          <w:numId w:val="5"/>
        </w:numPr>
        <w:tabs>
          <w:tab w:val="num" w:pos="720"/>
        </w:tabs>
        <w:ind w:left="1080" w:hanging="708"/>
        <w:jc w:val="both"/>
      </w:pPr>
      <w:r w:rsidRPr="00DB6D4A">
        <w:t>označení části menšího logického celku (část objektu, segment</w:t>
      </w:r>
      <w:r w:rsidR="009B75AE" w:rsidRPr="00DB6D4A">
        <w:t>, vrstva</w:t>
      </w:r>
      <w:r w:rsidRPr="00DB6D4A">
        <w:t xml:space="preserve"> apod.) </w:t>
      </w:r>
    </w:p>
    <w:p w14:paraId="60F0592A" w14:textId="77777777" w:rsidR="00693AC6" w:rsidRPr="00DB6D4A" w:rsidRDefault="00693AC6" w:rsidP="00DB6D4A">
      <w:pPr>
        <w:numPr>
          <w:ilvl w:val="0"/>
          <w:numId w:val="5"/>
        </w:numPr>
        <w:tabs>
          <w:tab w:val="num" w:pos="720"/>
        </w:tabs>
        <w:ind w:left="1080" w:hanging="708"/>
        <w:jc w:val="both"/>
      </w:pPr>
      <w:r w:rsidRPr="00DB6D4A">
        <w:t>hloubka, kontext</w:t>
      </w:r>
    </w:p>
    <w:p w14:paraId="7F9993CB" w14:textId="77777777" w:rsidR="00693AC6" w:rsidRPr="00DB6D4A" w:rsidRDefault="00693AC6" w:rsidP="00DB6D4A">
      <w:pPr>
        <w:numPr>
          <w:ilvl w:val="0"/>
          <w:numId w:val="5"/>
        </w:numPr>
        <w:tabs>
          <w:tab w:val="num" w:pos="720"/>
        </w:tabs>
        <w:ind w:left="1080" w:hanging="708"/>
        <w:jc w:val="both"/>
      </w:pPr>
      <w:r w:rsidRPr="00DB6D4A">
        <w:t>označení materiálu</w:t>
      </w:r>
    </w:p>
    <w:p w14:paraId="41C7D665" w14:textId="77777777" w:rsidR="00693AC6" w:rsidRPr="00DB6D4A" w:rsidRDefault="00693AC6" w:rsidP="00DB6D4A">
      <w:pPr>
        <w:numPr>
          <w:ilvl w:val="0"/>
          <w:numId w:val="5"/>
        </w:numPr>
        <w:tabs>
          <w:tab w:val="num" w:pos="720"/>
        </w:tabs>
        <w:ind w:left="720"/>
        <w:jc w:val="both"/>
      </w:pPr>
      <w:r w:rsidRPr="00DB6D4A">
        <w:t>poznámka (nepovinné, zvláštní charakteristiky nebo okolnosti)</w:t>
      </w:r>
    </w:p>
    <w:p w14:paraId="2A78C014" w14:textId="77777777" w:rsidR="00693AC6" w:rsidRPr="00DB6D4A" w:rsidRDefault="00693AC6" w:rsidP="00DB6D4A">
      <w:pPr>
        <w:pStyle w:val="Zkladntext"/>
        <w:tabs>
          <w:tab w:val="num" w:pos="720"/>
        </w:tabs>
        <w:ind w:left="720" w:hanging="360"/>
        <w:jc w:val="both"/>
        <w:rPr>
          <w:sz w:val="24"/>
        </w:rPr>
      </w:pPr>
    </w:p>
    <w:p w14:paraId="756D7B81" w14:textId="77777777" w:rsidR="001A7AF5" w:rsidRPr="00DB6D4A" w:rsidRDefault="001A7AF5" w:rsidP="000B4142">
      <w:pPr>
        <w:pStyle w:val="Nadpis1"/>
        <w:tabs>
          <w:tab w:val="num" w:pos="360"/>
        </w:tabs>
        <w:jc w:val="both"/>
        <w:rPr>
          <w:sz w:val="24"/>
          <w:szCs w:val="24"/>
        </w:rPr>
      </w:pPr>
      <w:r w:rsidRPr="00DB6D4A">
        <w:rPr>
          <w:sz w:val="24"/>
          <w:szCs w:val="24"/>
        </w:rPr>
        <w:t>2. Technické parametry předávaných nálezů</w:t>
      </w:r>
    </w:p>
    <w:p w14:paraId="04280591" w14:textId="77777777" w:rsidR="001A7AF5" w:rsidRPr="00DB6D4A" w:rsidRDefault="001A7AF5" w:rsidP="00DB6D4A">
      <w:pPr>
        <w:keepNext/>
        <w:tabs>
          <w:tab w:val="num" w:pos="720"/>
        </w:tabs>
        <w:spacing w:before="120"/>
        <w:ind w:left="720" w:hanging="360"/>
        <w:jc w:val="both"/>
        <w:rPr>
          <w:b/>
          <w:sz w:val="22"/>
          <w:szCs w:val="22"/>
          <w:u w:val="single"/>
        </w:rPr>
      </w:pPr>
      <w:r w:rsidRPr="00DB6D4A">
        <w:rPr>
          <w:b/>
          <w:sz w:val="22"/>
          <w:szCs w:val="22"/>
          <w:u w:val="single"/>
        </w:rPr>
        <w:t>a) fyzický stav</w:t>
      </w:r>
    </w:p>
    <w:p w14:paraId="0E6A4F57" w14:textId="77777777" w:rsidR="001A7AF5" w:rsidRPr="00DB6D4A" w:rsidRDefault="001A7AF5" w:rsidP="00DB6D4A">
      <w:pPr>
        <w:numPr>
          <w:ilvl w:val="0"/>
          <w:numId w:val="7"/>
        </w:numPr>
        <w:tabs>
          <w:tab w:val="clear" w:pos="360"/>
          <w:tab w:val="num" w:pos="720"/>
        </w:tabs>
        <w:ind w:left="720"/>
        <w:jc w:val="both"/>
      </w:pPr>
      <w:r w:rsidRPr="00DB6D4A">
        <w:rPr>
          <w:b/>
        </w:rPr>
        <w:t>keramika:</w:t>
      </w:r>
      <w:r w:rsidRPr="00DB6D4A">
        <w:t xml:space="preserve"> umytí, nezaměnitelná identifikace každého jedince podle instrukcí příslušného muzea, rekonstrukce (slepení) odpovídajících částí,</w:t>
      </w:r>
      <w:r w:rsidRPr="00DB6D4A">
        <w:tab/>
      </w:r>
    </w:p>
    <w:p w14:paraId="1F7270E8" w14:textId="77777777" w:rsidR="001A7AF5" w:rsidRPr="00DB6D4A" w:rsidRDefault="001A7AF5" w:rsidP="00DB6D4A">
      <w:pPr>
        <w:numPr>
          <w:ilvl w:val="0"/>
          <w:numId w:val="7"/>
        </w:numPr>
        <w:tabs>
          <w:tab w:val="clear" w:pos="360"/>
          <w:tab w:val="num" w:pos="720"/>
        </w:tabs>
        <w:ind w:left="720"/>
        <w:jc w:val="both"/>
      </w:pPr>
      <w:r w:rsidRPr="00DB6D4A">
        <w:rPr>
          <w:b/>
        </w:rPr>
        <w:lastRenderedPageBreak/>
        <w:t>kameny</w:t>
      </w:r>
      <w:r w:rsidRPr="00DB6D4A">
        <w:t>: umytí, nezaměnitelná identifikace každého jedince podle instrukcí příslušného muzea,</w:t>
      </w:r>
    </w:p>
    <w:p w14:paraId="046245E2" w14:textId="77777777" w:rsidR="001A7AF5" w:rsidRPr="00DB6D4A" w:rsidRDefault="001A7AF5" w:rsidP="00DB6D4A">
      <w:pPr>
        <w:numPr>
          <w:ilvl w:val="0"/>
          <w:numId w:val="7"/>
        </w:numPr>
        <w:tabs>
          <w:tab w:val="clear" w:pos="360"/>
          <w:tab w:val="num" w:pos="720"/>
        </w:tabs>
        <w:ind w:left="720"/>
        <w:jc w:val="both"/>
      </w:pPr>
      <w:r w:rsidRPr="00DB6D4A">
        <w:rPr>
          <w:b/>
        </w:rPr>
        <w:t>kovy:</w:t>
      </w:r>
      <w:r w:rsidRPr="00DB6D4A">
        <w:t xml:space="preserve"> základní laboratorní ošetření (stabilizaci, tj. nález je zajištěn tak, aby nedocházelo k jeho degradaci) může provádět pouze osoba s odpovídajícím oprávněním, nezaměnitelná identifikace každého jedince podle instrukcí příslušného muzea,</w:t>
      </w:r>
    </w:p>
    <w:p w14:paraId="491F9B29" w14:textId="77777777" w:rsidR="001A7AF5" w:rsidRPr="00DB6D4A" w:rsidRDefault="001A7AF5" w:rsidP="00DB6D4A">
      <w:pPr>
        <w:numPr>
          <w:ilvl w:val="0"/>
          <w:numId w:val="7"/>
        </w:numPr>
        <w:tabs>
          <w:tab w:val="clear" w:pos="360"/>
          <w:tab w:val="num" w:pos="720"/>
        </w:tabs>
        <w:ind w:left="720"/>
        <w:jc w:val="both"/>
      </w:pPr>
      <w:r w:rsidRPr="00DB6D4A">
        <w:rPr>
          <w:b/>
        </w:rPr>
        <w:t>sklo</w:t>
      </w:r>
      <w:r w:rsidRPr="00DB6D4A">
        <w:t>: základní laboratorní ošetření (stabilizaci, tj. nález je zajištěn tak, aby nedocházelo k jeho degradaci) může provádět pouze osoba s odpovídajícím oprávněním, nezaměnitelná identifikace každého jedince podle instrukcí příslušného muzea, rekonstrukce (slepení) odpovídajících částí,</w:t>
      </w:r>
    </w:p>
    <w:p w14:paraId="5C90463D" w14:textId="77777777" w:rsidR="001A7AF5" w:rsidRPr="00DB6D4A" w:rsidRDefault="001A7AF5" w:rsidP="00DB6D4A">
      <w:pPr>
        <w:numPr>
          <w:ilvl w:val="0"/>
          <w:numId w:val="7"/>
        </w:numPr>
        <w:tabs>
          <w:tab w:val="clear" w:pos="360"/>
          <w:tab w:val="num" w:pos="720"/>
        </w:tabs>
        <w:ind w:left="720"/>
        <w:jc w:val="both"/>
      </w:pPr>
      <w:r w:rsidRPr="00DB6D4A">
        <w:rPr>
          <w:b/>
        </w:rPr>
        <w:t>organické materiály:</w:t>
      </w:r>
      <w:r w:rsidRPr="00DB6D4A">
        <w:t xml:space="preserve"> základní laboratorní ošetření (stabilizaci, tj. nález je zajištěn tak, aby nedocházelo k jeho degradaci) může provádět pouze osoba s odpovídajícím oprávněním, nezaměnitelná identifikace každého jedince podle instrukcí příslušného muzea, v případě vzorků pro analýzy a dalších přírodnin postačí označení na obal.</w:t>
      </w:r>
    </w:p>
    <w:p w14:paraId="25E383E7" w14:textId="77777777" w:rsidR="001A7AF5" w:rsidRPr="00DB6D4A" w:rsidRDefault="001A7AF5" w:rsidP="00DB6D4A">
      <w:pPr>
        <w:pStyle w:val="Zkladntext"/>
        <w:jc w:val="both"/>
        <w:rPr>
          <w:sz w:val="24"/>
        </w:rPr>
      </w:pPr>
    </w:p>
    <w:p w14:paraId="2448046B" w14:textId="77777777" w:rsidR="001A7AF5" w:rsidRPr="00DB6D4A" w:rsidRDefault="001A7AF5" w:rsidP="00DB6D4A">
      <w:pPr>
        <w:keepNext/>
        <w:spacing w:before="120"/>
        <w:ind w:left="360"/>
        <w:jc w:val="both"/>
        <w:rPr>
          <w:b/>
          <w:sz w:val="22"/>
          <w:szCs w:val="22"/>
          <w:u w:val="single"/>
        </w:rPr>
      </w:pPr>
      <w:r w:rsidRPr="00DB6D4A">
        <w:rPr>
          <w:b/>
          <w:sz w:val="22"/>
          <w:szCs w:val="22"/>
          <w:u w:val="single"/>
        </w:rPr>
        <w:t>b) obaly</w:t>
      </w:r>
    </w:p>
    <w:p w14:paraId="79DE4BFE" w14:textId="77777777" w:rsidR="001A7AF5" w:rsidRPr="00DB6D4A" w:rsidRDefault="001A7AF5" w:rsidP="00DB6D4A">
      <w:pPr>
        <w:numPr>
          <w:ilvl w:val="3"/>
          <w:numId w:val="7"/>
        </w:numPr>
        <w:tabs>
          <w:tab w:val="clear" w:pos="360"/>
          <w:tab w:val="num" w:pos="720"/>
          <w:tab w:val="left" w:pos="2668"/>
          <w:tab w:val="num" w:pos="2880"/>
        </w:tabs>
        <w:ind w:left="720"/>
        <w:jc w:val="both"/>
      </w:pPr>
      <w:r w:rsidRPr="00DB6D4A">
        <w:t>keramika: zdvojené</w:t>
      </w:r>
      <w:r w:rsidRPr="00DB6D4A">
        <w:rPr>
          <w:color w:val="FF0000"/>
        </w:rPr>
        <w:t xml:space="preserve"> </w:t>
      </w:r>
      <w:r w:rsidRPr="00DB6D4A">
        <w:t>papírové sáčky, standardizované bedny, u slepených jedinců další odpovídající ochranný obal (dřevitá vata, balicí papír, bublinová folie)</w:t>
      </w:r>
    </w:p>
    <w:p w14:paraId="60164848" w14:textId="77777777" w:rsidR="001A7AF5" w:rsidRPr="00DB6D4A" w:rsidRDefault="001A7AF5" w:rsidP="00DB6D4A">
      <w:pPr>
        <w:numPr>
          <w:ilvl w:val="3"/>
          <w:numId w:val="7"/>
        </w:numPr>
        <w:tabs>
          <w:tab w:val="clear" w:pos="360"/>
          <w:tab w:val="num" w:pos="720"/>
          <w:tab w:val="left" w:pos="2668"/>
          <w:tab w:val="num" w:pos="2880"/>
        </w:tabs>
        <w:ind w:left="720"/>
        <w:jc w:val="both"/>
      </w:pPr>
      <w:r w:rsidRPr="00DB6D4A">
        <w:t>kameny: zdvojené papírové sáčky, standardizované bedny</w:t>
      </w:r>
    </w:p>
    <w:p w14:paraId="51DFD97B" w14:textId="77777777" w:rsidR="001A7AF5" w:rsidRPr="00DB6D4A" w:rsidRDefault="001A7AF5" w:rsidP="00DB6D4A">
      <w:pPr>
        <w:numPr>
          <w:ilvl w:val="3"/>
          <w:numId w:val="7"/>
        </w:numPr>
        <w:tabs>
          <w:tab w:val="clear" w:pos="360"/>
          <w:tab w:val="num" w:pos="720"/>
          <w:tab w:val="left" w:pos="2668"/>
          <w:tab w:val="num" w:pos="2880"/>
        </w:tabs>
        <w:ind w:left="720"/>
        <w:jc w:val="both"/>
      </w:pPr>
      <w:r w:rsidRPr="00DB6D4A">
        <w:t>kovy: sáčky perforované zipové (plast), případě potřeby v samostatných ochranných obalech</w:t>
      </w:r>
    </w:p>
    <w:p w14:paraId="13A73008" w14:textId="77777777" w:rsidR="001A7AF5" w:rsidRPr="00DB6D4A" w:rsidRDefault="001A7AF5" w:rsidP="00DB6D4A">
      <w:pPr>
        <w:numPr>
          <w:ilvl w:val="3"/>
          <w:numId w:val="7"/>
        </w:numPr>
        <w:tabs>
          <w:tab w:val="clear" w:pos="360"/>
          <w:tab w:val="num" w:pos="720"/>
          <w:tab w:val="left" w:pos="2668"/>
          <w:tab w:val="num" w:pos="2880"/>
        </w:tabs>
        <w:ind w:left="720"/>
        <w:jc w:val="both"/>
      </w:pPr>
      <w:r w:rsidRPr="00DB6D4A">
        <w:t>sklo: sáčky perforované zipové  (plast), případě potřeby v samostatných ochranných obalech</w:t>
      </w:r>
    </w:p>
    <w:p w14:paraId="0FEA6F69" w14:textId="77777777" w:rsidR="001A7AF5" w:rsidRPr="00DB6D4A" w:rsidRDefault="001A7AF5" w:rsidP="00DB6D4A">
      <w:pPr>
        <w:numPr>
          <w:ilvl w:val="3"/>
          <w:numId w:val="7"/>
        </w:numPr>
        <w:tabs>
          <w:tab w:val="clear" w:pos="360"/>
          <w:tab w:val="num" w:pos="720"/>
          <w:tab w:val="left" w:pos="2668"/>
          <w:tab w:val="num" w:pos="2880"/>
        </w:tabs>
        <w:ind w:left="720"/>
        <w:jc w:val="both"/>
      </w:pPr>
      <w:r w:rsidRPr="00DB6D4A">
        <w:t>organické materiály: obal plastový, forma odpovídající nálezu</w:t>
      </w:r>
    </w:p>
    <w:p w14:paraId="2FC0D414" w14:textId="77777777" w:rsidR="00693AC6" w:rsidRPr="00DB6D4A" w:rsidRDefault="001A7AF5" w:rsidP="00DB6D4A">
      <w:pPr>
        <w:pStyle w:val="Nadpis1"/>
        <w:jc w:val="both"/>
        <w:rPr>
          <w:sz w:val="24"/>
          <w:szCs w:val="24"/>
        </w:rPr>
      </w:pPr>
      <w:r w:rsidRPr="00DB6D4A">
        <w:rPr>
          <w:sz w:val="24"/>
          <w:szCs w:val="24"/>
        </w:rPr>
        <w:t xml:space="preserve">3. </w:t>
      </w:r>
      <w:r w:rsidR="00F564D5">
        <w:rPr>
          <w:sz w:val="24"/>
          <w:szCs w:val="24"/>
        </w:rPr>
        <w:t>muzejní evidence II. stupně</w:t>
      </w:r>
    </w:p>
    <w:p w14:paraId="1394E14E" w14:textId="77777777" w:rsidR="002E4DDD" w:rsidRPr="00DB6D4A" w:rsidRDefault="002E4DDD" w:rsidP="00DB6D4A">
      <w:pPr>
        <w:keepNext/>
        <w:numPr>
          <w:ilvl w:val="0"/>
          <w:numId w:val="16"/>
        </w:numPr>
        <w:spacing w:before="60" w:after="60"/>
        <w:ind w:left="720"/>
        <w:jc w:val="both"/>
        <w:outlineLvl w:val="0"/>
        <w:rPr>
          <w:b/>
        </w:rPr>
      </w:pPr>
      <w:r w:rsidRPr="00DB6D4A">
        <w:t xml:space="preserve">Forma popisky sáčku: číslo sáčku, katastrální území, okolnosti výzkumu, rok, identifikace autora, datum získání, označení logických celků, hloubka, kontext a materiál, inventární a přírůstkové číslo, počet kusů nebo gramáž a </w:t>
      </w:r>
      <w:r w:rsidR="001A7AF5" w:rsidRPr="00DB6D4A">
        <w:t xml:space="preserve">orientační </w:t>
      </w:r>
      <w:r w:rsidRPr="00DB6D4A">
        <w:t>datace.</w:t>
      </w:r>
    </w:p>
    <w:p w14:paraId="51941F3D" w14:textId="77777777" w:rsidR="00DB6D4A" w:rsidRPr="00DB6D4A" w:rsidRDefault="00DB6D4A" w:rsidP="00DB6D4A">
      <w:pPr>
        <w:keepNext/>
        <w:spacing w:before="60" w:after="60"/>
        <w:ind w:left="360"/>
        <w:jc w:val="both"/>
        <w:outlineLvl w:val="0"/>
        <w:rPr>
          <w:b/>
        </w:rPr>
      </w:pPr>
    </w:p>
    <w:p w14:paraId="3A7F3FF3" w14:textId="77777777" w:rsidR="002E4DDD" w:rsidRPr="00DB6D4A" w:rsidRDefault="002E4DDD" w:rsidP="00DB6D4A">
      <w:pPr>
        <w:numPr>
          <w:ilvl w:val="0"/>
          <w:numId w:val="16"/>
        </w:numPr>
        <w:ind w:hanging="426"/>
        <w:jc w:val="both"/>
      </w:pPr>
      <w:r w:rsidRPr="00DB6D4A">
        <w:t xml:space="preserve">Forma štítku bedny se uvádí: název akce, katastrální území, rok, seznam objektů, seznam sáčků a materiál, inventární a přírůstkové číslo a </w:t>
      </w:r>
      <w:r w:rsidR="001A7AF5" w:rsidRPr="00DB6D4A">
        <w:t xml:space="preserve">orientační </w:t>
      </w:r>
      <w:r w:rsidRPr="00DB6D4A">
        <w:t>datace.</w:t>
      </w:r>
    </w:p>
    <w:p w14:paraId="3EC5307C" w14:textId="77777777" w:rsidR="00DB6D4A" w:rsidRDefault="00DB6D4A" w:rsidP="00DB6D4A">
      <w:pPr>
        <w:keepNext/>
        <w:spacing w:before="60" w:after="60"/>
        <w:jc w:val="both"/>
        <w:outlineLvl w:val="0"/>
        <w:rPr>
          <w:b/>
        </w:rPr>
      </w:pPr>
    </w:p>
    <w:p w14:paraId="2DE1CB68" w14:textId="77777777" w:rsidR="002E4DDD" w:rsidRPr="00DB6D4A" w:rsidRDefault="002E4DDD" w:rsidP="00DB6D4A">
      <w:pPr>
        <w:keepNext/>
        <w:spacing w:before="60" w:after="60"/>
        <w:jc w:val="both"/>
        <w:outlineLvl w:val="0"/>
        <w:rPr>
          <w:b/>
          <w:sz w:val="22"/>
          <w:szCs w:val="22"/>
          <w:u w:val="single"/>
        </w:rPr>
      </w:pPr>
      <w:r w:rsidRPr="00DB6D4A">
        <w:rPr>
          <w:b/>
          <w:sz w:val="22"/>
          <w:szCs w:val="22"/>
          <w:u w:val="single"/>
        </w:rPr>
        <w:t>Struktura údajů muzejní evidence II. stupně:</w:t>
      </w:r>
    </w:p>
    <w:p w14:paraId="4A451DC3" w14:textId="77777777" w:rsidR="009B75AE" w:rsidRPr="00DB6D4A" w:rsidRDefault="009B75AE" w:rsidP="00DB6D4A">
      <w:pPr>
        <w:numPr>
          <w:ilvl w:val="0"/>
          <w:numId w:val="20"/>
        </w:numPr>
        <w:jc w:val="both"/>
      </w:pPr>
      <w:r w:rsidRPr="00DB6D4A">
        <w:t>číslo sáčku</w:t>
      </w:r>
    </w:p>
    <w:p w14:paraId="58939888" w14:textId="77777777" w:rsidR="000F32DF" w:rsidRPr="00DB6D4A" w:rsidRDefault="009B75AE" w:rsidP="00DB6D4A">
      <w:pPr>
        <w:numPr>
          <w:ilvl w:val="0"/>
          <w:numId w:val="20"/>
        </w:numPr>
        <w:jc w:val="both"/>
      </w:pPr>
      <w:r w:rsidRPr="00DB6D4A">
        <w:t>číslo bedny</w:t>
      </w:r>
      <w:r w:rsidR="000F32DF" w:rsidRPr="00DB6D4A">
        <w:t xml:space="preserve"> </w:t>
      </w:r>
    </w:p>
    <w:p w14:paraId="314F7951" w14:textId="77777777" w:rsidR="009B75AE" w:rsidRPr="00DB6D4A" w:rsidRDefault="009B75AE" w:rsidP="00DB6D4A">
      <w:pPr>
        <w:numPr>
          <w:ilvl w:val="0"/>
          <w:numId w:val="20"/>
        </w:numPr>
        <w:jc w:val="both"/>
      </w:pPr>
      <w:r w:rsidRPr="00DB6D4A">
        <w:t xml:space="preserve">katastrální území </w:t>
      </w:r>
    </w:p>
    <w:p w14:paraId="50EDDF15" w14:textId="77777777" w:rsidR="009B75AE" w:rsidRPr="00DB6D4A" w:rsidRDefault="009B75AE" w:rsidP="00DB6D4A">
      <w:pPr>
        <w:numPr>
          <w:ilvl w:val="0"/>
          <w:numId w:val="20"/>
        </w:numPr>
        <w:jc w:val="both"/>
      </w:pPr>
      <w:r w:rsidRPr="00DB6D4A">
        <w:t xml:space="preserve">okolnosti výzkumu (přesná identifikace aktivity, která příslušný výzkum vyvolala), </w:t>
      </w:r>
    </w:p>
    <w:p w14:paraId="50940D7B" w14:textId="77777777" w:rsidR="009B75AE" w:rsidRPr="00DB6D4A" w:rsidRDefault="009B75AE" w:rsidP="00DB6D4A">
      <w:pPr>
        <w:numPr>
          <w:ilvl w:val="0"/>
          <w:numId w:val="20"/>
        </w:numPr>
        <w:jc w:val="both"/>
      </w:pPr>
      <w:r w:rsidRPr="00DB6D4A">
        <w:t xml:space="preserve">rok </w:t>
      </w:r>
    </w:p>
    <w:p w14:paraId="5AD61441" w14:textId="77777777" w:rsidR="009B75AE" w:rsidRPr="00DB6D4A" w:rsidRDefault="009B75AE" w:rsidP="00DB6D4A">
      <w:pPr>
        <w:numPr>
          <w:ilvl w:val="0"/>
          <w:numId w:val="20"/>
        </w:numPr>
        <w:jc w:val="both"/>
      </w:pPr>
      <w:r w:rsidRPr="00DB6D4A">
        <w:t xml:space="preserve">identifikace autora výzkumu </w:t>
      </w:r>
    </w:p>
    <w:p w14:paraId="61D3E305" w14:textId="77777777" w:rsidR="009B75AE" w:rsidRPr="00DB6D4A" w:rsidRDefault="009B75AE" w:rsidP="00DB6D4A">
      <w:pPr>
        <w:numPr>
          <w:ilvl w:val="0"/>
          <w:numId w:val="20"/>
        </w:numPr>
        <w:jc w:val="both"/>
      </w:pPr>
      <w:r w:rsidRPr="00DB6D4A">
        <w:t>datum získání</w:t>
      </w:r>
    </w:p>
    <w:p w14:paraId="18B915C1" w14:textId="77777777" w:rsidR="009B75AE" w:rsidRPr="00DB6D4A" w:rsidRDefault="009B75AE" w:rsidP="00DB6D4A">
      <w:pPr>
        <w:numPr>
          <w:ilvl w:val="0"/>
          <w:numId w:val="20"/>
        </w:numPr>
        <w:jc w:val="both"/>
      </w:pPr>
      <w:r w:rsidRPr="00DB6D4A">
        <w:t>označení většího logického celku (úsek, sektor, sonda apod.)</w:t>
      </w:r>
    </w:p>
    <w:p w14:paraId="0F8445EA" w14:textId="77777777" w:rsidR="009B75AE" w:rsidRPr="00DB6D4A" w:rsidRDefault="009B75AE" w:rsidP="00DB6D4A">
      <w:pPr>
        <w:numPr>
          <w:ilvl w:val="0"/>
          <w:numId w:val="20"/>
        </w:numPr>
        <w:jc w:val="both"/>
      </w:pPr>
      <w:r w:rsidRPr="00DB6D4A">
        <w:t>označení menšího logického celku (objekt, hrob apod.)</w:t>
      </w:r>
    </w:p>
    <w:p w14:paraId="607AC958" w14:textId="77777777" w:rsidR="009B75AE" w:rsidRPr="00DB6D4A" w:rsidRDefault="009B75AE" w:rsidP="00DB6D4A">
      <w:pPr>
        <w:numPr>
          <w:ilvl w:val="0"/>
          <w:numId w:val="20"/>
        </w:numPr>
        <w:jc w:val="both"/>
      </w:pPr>
      <w:r w:rsidRPr="00DB6D4A">
        <w:t xml:space="preserve">označení části menšího logického celku (část objektu, segment, vrstva apod.) </w:t>
      </w:r>
    </w:p>
    <w:p w14:paraId="618B1CAB" w14:textId="77777777" w:rsidR="009B75AE" w:rsidRPr="00DB6D4A" w:rsidRDefault="009B75AE" w:rsidP="00DB6D4A">
      <w:pPr>
        <w:numPr>
          <w:ilvl w:val="0"/>
          <w:numId w:val="20"/>
        </w:numPr>
        <w:jc w:val="both"/>
      </w:pPr>
      <w:r w:rsidRPr="00DB6D4A">
        <w:t>hloubka, kontext</w:t>
      </w:r>
    </w:p>
    <w:p w14:paraId="30D7B4F2" w14:textId="77777777" w:rsidR="009B75AE" w:rsidRPr="00DB6D4A" w:rsidRDefault="009B75AE" w:rsidP="00DB6D4A">
      <w:pPr>
        <w:numPr>
          <w:ilvl w:val="0"/>
          <w:numId w:val="20"/>
        </w:numPr>
        <w:jc w:val="both"/>
      </w:pPr>
      <w:r w:rsidRPr="00DB6D4A">
        <w:t>označení materiálu</w:t>
      </w:r>
    </w:p>
    <w:p w14:paraId="5E45862C" w14:textId="77777777" w:rsidR="001A7AF5" w:rsidRPr="00DB6D4A" w:rsidRDefault="001A7AF5" w:rsidP="00DB6D4A">
      <w:pPr>
        <w:numPr>
          <w:ilvl w:val="0"/>
          <w:numId w:val="20"/>
        </w:numPr>
        <w:jc w:val="both"/>
      </w:pPr>
      <w:r w:rsidRPr="00DB6D4A">
        <w:t>poznámka (nepovinné, zvláštní charakteristiky nebo okolnosti)</w:t>
      </w:r>
    </w:p>
    <w:p w14:paraId="2C393328" w14:textId="77777777" w:rsidR="001A7AF5" w:rsidRPr="00DB6D4A" w:rsidRDefault="001A7AF5" w:rsidP="00DB6D4A">
      <w:pPr>
        <w:numPr>
          <w:ilvl w:val="0"/>
          <w:numId w:val="20"/>
        </w:numPr>
        <w:tabs>
          <w:tab w:val="num" w:pos="709"/>
        </w:tabs>
        <w:jc w:val="both"/>
      </w:pPr>
      <w:r w:rsidRPr="00DB6D4A">
        <w:t>přírůstkové číslo (přidělí příslušné muzeum na základě seznamu MAN, počet přírůstkových čísel může kolísat od jediného čísla pro celý soubor po počet shodný s počtem čísel sáčků, a to vždy podle instrukcí příslušného muzea, uvádí se pouze na sáček/obal/bedna)</w:t>
      </w:r>
    </w:p>
    <w:p w14:paraId="296C51F6" w14:textId="77777777" w:rsidR="001A7AF5" w:rsidRPr="00DB6D4A" w:rsidRDefault="001A7AF5" w:rsidP="00DB6D4A">
      <w:pPr>
        <w:numPr>
          <w:ilvl w:val="0"/>
          <w:numId w:val="20"/>
        </w:numPr>
        <w:tabs>
          <w:tab w:val="num" w:pos="709"/>
        </w:tabs>
        <w:jc w:val="both"/>
      </w:pPr>
      <w:r w:rsidRPr="00DB6D4A">
        <w:lastRenderedPageBreak/>
        <w:t xml:space="preserve">inventární číslo (uvádí se na sáček/obal/bedna nebo na předmět, řadu inventárních čísel poskytne na vyžádání příslušné muzeum, kritéria pro výběr nálezů, kterým je přiděleno inventární číslo stanoví kurátor příslušného muzea) </w:t>
      </w:r>
    </w:p>
    <w:p w14:paraId="3B910855" w14:textId="77777777" w:rsidR="001A7AF5" w:rsidRPr="00DB6D4A" w:rsidRDefault="001A7AF5" w:rsidP="00DB6D4A">
      <w:pPr>
        <w:numPr>
          <w:ilvl w:val="0"/>
          <w:numId w:val="20"/>
        </w:numPr>
        <w:tabs>
          <w:tab w:val="num" w:pos="709"/>
        </w:tabs>
        <w:jc w:val="both"/>
      </w:pPr>
      <w:r w:rsidRPr="00DB6D4A">
        <w:t>číslo doprovodné evidence (řadu čísel poskytne na vyžádání příslušné muzeum, přidělí se všem nálezům, které nesplňují kritéria pro přidělení inventárního čísla)</w:t>
      </w:r>
    </w:p>
    <w:p w14:paraId="45F98709" w14:textId="77777777" w:rsidR="001A7AF5" w:rsidRPr="00DB6D4A" w:rsidRDefault="001A7AF5" w:rsidP="00DB6D4A">
      <w:pPr>
        <w:numPr>
          <w:ilvl w:val="0"/>
          <w:numId w:val="20"/>
        </w:numPr>
        <w:tabs>
          <w:tab w:val="num" w:pos="709"/>
        </w:tabs>
        <w:jc w:val="both"/>
      </w:pPr>
      <w:r w:rsidRPr="00DB6D4A">
        <w:t xml:space="preserve">nezaměnitelný popis předmětu </w:t>
      </w:r>
    </w:p>
    <w:p w14:paraId="10BE3C2A" w14:textId="77777777" w:rsidR="001A7AF5" w:rsidRPr="00DB6D4A" w:rsidRDefault="001A7AF5" w:rsidP="00DB6D4A">
      <w:pPr>
        <w:numPr>
          <w:ilvl w:val="0"/>
          <w:numId w:val="20"/>
        </w:numPr>
        <w:tabs>
          <w:tab w:val="num" w:pos="709"/>
        </w:tabs>
        <w:jc w:val="both"/>
      </w:pPr>
      <w:r w:rsidRPr="00DB6D4A">
        <w:t>stav a dochování předmětu</w:t>
      </w:r>
    </w:p>
    <w:p w14:paraId="6D16CD34" w14:textId="77777777" w:rsidR="001A7AF5" w:rsidRPr="00DB6D4A" w:rsidRDefault="001A7AF5" w:rsidP="00DB6D4A">
      <w:pPr>
        <w:numPr>
          <w:ilvl w:val="0"/>
          <w:numId w:val="20"/>
        </w:numPr>
        <w:tabs>
          <w:tab w:val="num" w:pos="709"/>
        </w:tabs>
        <w:jc w:val="both"/>
      </w:pPr>
      <w:r w:rsidRPr="00DB6D4A">
        <w:t>rozměry předmětu (platí pouze pro jednotlivé artefakty s alespoň jedním původním dochovaným rozměrem)</w:t>
      </w:r>
    </w:p>
    <w:p w14:paraId="1ECB3BB4" w14:textId="77777777" w:rsidR="001A7AF5" w:rsidRPr="00DB6D4A" w:rsidRDefault="001A7AF5" w:rsidP="00DB6D4A">
      <w:pPr>
        <w:numPr>
          <w:ilvl w:val="0"/>
          <w:numId w:val="20"/>
        </w:numPr>
        <w:tabs>
          <w:tab w:val="num" w:pos="709"/>
        </w:tabs>
        <w:jc w:val="both"/>
      </w:pPr>
      <w:r w:rsidRPr="00DB6D4A">
        <w:t xml:space="preserve">základní popis předmětu </w:t>
      </w:r>
    </w:p>
    <w:p w14:paraId="75BE2CF2" w14:textId="77777777" w:rsidR="001A7AF5" w:rsidRPr="00DB6D4A" w:rsidRDefault="001A7AF5" w:rsidP="00DB6D4A">
      <w:pPr>
        <w:numPr>
          <w:ilvl w:val="0"/>
          <w:numId w:val="20"/>
        </w:numPr>
        <w:tabs>
          <w:tab w:val="num" w:pos="709"/>
        </w:tabs>
        <w:jc w:val="both"/>
      </w:pPr>
      <w:r w:rsidRPr="00DB6D4A">
        <w:t>počet kusů (s výjimkou sypkého materiálu, zejména vzorků výplní, uhlíků apod.)</w:t>
      </w:r>
    </w:p>
    <w:p w14:paraId="1BCF47D6" w14:textId="77777777" w:rsidR="001A7AF5" w:rsidRPr="00DB6D4A" w:rsidRDefault="001A7AF5" w:rsidP="00DB6D4A">
      <w:pPr>
        <w:numPr>
          <w:ilvl w:val="0"/>
          <w:numId w:val="20"/>
        </w:numPr>
        <w:tabs>
          <w:tab w:val="num" w:pos="709"/>
        </w:tabs>
        <w:jc w:val="both"/>
      </w:pPr>
      <w:r w:rsidRPr="00DB6D4A">
        <w:t>hmotnost v g</w:t>
      </w:r>
    </w:p>
    <w:p w14:paraId="7A03A365" w14:textId="77777777" w:rsidR="001A7AF5" w:rsidRPr="00DB6D4A" w:rsidRDefault="001A7AF5" w:rsidP="00DB6D4A">
      <w:pPr>
        <w:numPr>
          <w:ilvl w:val="0"/>
          <w:numId w:val="20"/>
        </w:numPr>
        <w:tabs>
          <w:tab w:val="num" w:pos="709"/>
        </w:tabs>
        <w:jc w:val="both"/>
      </w:pPr>
      <w:r w:rsidRPr="00DB6D4A">
        <w:t xml:space="preserve">orientační datace </w:t>
      </w:r>
    </w:p>
    <w:p w14:paraId="78A064E8" w14:textId="77777777" w:rsidR="001A7AF5" w:rsidRPr="00DB6D4A" w:rsidRDefault="001A7AF5" w:rsidP="00DB6D4A">
      <w:pPr>
        <w:numPr>
          <w:ilvl w:val="0"/>
          <w:numId w:val="20"/>
        </w:numPr>
        <w:tabs>
          <w:tab w:val="num" w:pos="709"/>
        </w:tabs>
        <w:jc w:val="both"/>
      </w:pPr>
      <w:r w:rsidRPr="00DB6D4A">
        <w:t>kresebné nebo fotografické vyobrazení předmětu s grafickým měřítkem a evidenčním číslem (platí pouze pro artefakty s výjimkou atypických zlomků)</w:t>
      </w:r>
    </w:p>
    <w:p w14:paraId="3C4C0501" w14:textId="77777777" w:rsidR="001A7AF5" w:rsidRPr="00DB6D4A" w:rsidRDefault="001A7AF5" w:rsidP="00DB6D4A">
      <w:pPr>
        <w:numPr>
          <w:ilvl w:val="0"/>
          <w:numId w:val="20"/>
        </w:numPr>
        <w:tabs>
          <w:tab w:val="num" w:pos="709"/>
        </w:tabs>
        <w:jc w:val="both"/>
      </w:pPr>
      <w:r w:rsidRPr="00DB6D4A">
        <w:t>poznámka (zvláštní charakteristiky nebo okolnosti)</w:t>
      </w:r>
    </w:p>
    <w:p w14:paraId="4B68C06B" w14:textId="77777777" w:rsidR="001A7AF5" w:rsidRPr="001A7AF5" w:rsidRDefault="001A7AF5" w:rsidP="001A7AF5">
      <w:pPr>
        <w:rPr>
          <w:sz w:val="20"/>
          <w:szCs w:val="20"/>
        </w:rPr>
      </w:pPr>
    </w:p>
    <w:p w14:paraId="0CAAA689" w14:textId="77777777" w:rsidR="001A7AF5" w:rsidRPr="001A7AF5" w:rsidRDefault="001A7AF5" w:rsidP="001A7AF5">
      <w:pPr>
        <w:ind w:left="1080"/>
        <w:rPr>
          <w:sz w:val="20"/>
          <w:szCs w:val="20"/>
        </w:rPr>
      </w:pPr>
    </w:p>
    <w:p w14:paraId="09C38B32" w14:textId="77777777" w:rsidR="00693AC6" w:rsidRPr="001A7AF5" w:rsidRDefault="00693AC6">
      <w:pPr>
        <w:pStyle w:val="Zpat"/>
        <w:tabs>
          <w:tab w:val="clear" w:pos="4536"/>
          <w:tab w:val="clear" w:pos="9072"/>
        </w:tabs>
        <w:rPr>
          <w:b/>
          <w:sz w:val="20"/>
          <w:szCs w:val="20"/>
          <w:u w:val="single"/>
        </w:rPr>
      </w:pPr>
    </w:p>
    <w:p w14:paraId="2DBFC433" w14:textId="77777777" w:rsidR="00693AC6" w:rsidRPr="001A7AF5" w:rsidRDefault="00693AC6">
      <w:pPr>
        <w:pStyle w:val="Zpat"/>
        <w:tabs>
          <w:tab w:val="clear" w:pos="4536"/>
          <w:tab w:val="clear" w:pos="9072"/>
        </w:tabs>
        <w:rPr>
          <w:b/>
          <w:sz w:val="20"/>
          <w:szCs w:val="20"/>
          <w:u w:val="single"/>
        </w:rPr>
      </w:pPr>
    </w:p>
    <w:sectPr w:rsidR="00693AC6" w:rsidRPr="001A7AF5">
      <w:headerReference w:type="default" r:id="rId7"/>
      <w:footerReference w:type="even" r:id="rId8"/>
      <w:footerReference w:type="default" r:id="rId9"/>
      <w:pgSz w:w="11906" w:h="16838"/>
      <w:pgMar w:top="900" w:right="1417" w:bottom="72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855E5" w14:textId="77777777" w:rsidR="00C55600" w:rsidRDefault="00C55600">
      <w:r>
        <w:separator/>
      </w:r>
    </w:p>
  </w:endnote>
  <w:endnote w:type="continuationSeparator" w:id="0">
    <w:p w14:paraId="5A772FF3" w14:textId="77777777" w:rsidR="00C55600" w:rsidRDefault="00C5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36D8D" w14:textId="77777777" w:rsidR="000B4142" w:rsidRDefault="000B4142" w:rsidP="00F42C8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60E8322" w14:textId="77777777" w:rsidR="000B4142" w:rsidRDefault="000B4142" w:rsidP="0036685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D2225" w14:textId="77777777" w:rsidR="000B4142" w:rsidRDefault="000B4142" w:rsidP="0036685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C2506" w14:textId="77777777" w:rsidR="00C55600" w:rsidRDefault="00C55600">
      <w:r>
        <w:separator/>
      </w:r>
    </w:p>
  </w:footnote>
  <w:footnote w:type="continuationSeparator" w:id="0">
    <w:p w14:paraId="6C9D8D36" w14:textId="77777777" w:rsidR="00C55600" w:rsidRDefault="00C55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D71FB" w14:textId="77777777" w:rsidR="00604070" w:rsidRDefault="00604070">
    <w:pPr>
      <w:pStyle w:val="Zhlav"/>
    </w:pPr>
    <w:r>
      <w:t xml:space="preserve">Příloha </w:t>
    </w:r>
    <w:r w:rsidR="00D85E69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A7A2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B4577"/>
    <w:multiLevelType w:val="hybridMultilevel"/>
    <w:tmpl w:val="78469D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055A7"/>
    <w:multiLevelType w:val="singleLevel"/>
    <w:tmpl w:val="6374EB76"/>
    <w:lvl w:ilvl="0">
      <w:start w:val="3"/>
      <w:numFmt w:val="bullet"/>
      <w:lvlText w:val="–"/>
      <w:lvlJc w:val="left"/>
      <w:pPr>
        <w:tabs>
          <w:tab w:val="num" w:pos="2955"/>
        </w:tabs>
        <w:ind w:left="2955" w:hanging="405"/>
      </w:pPr>
      <w:rPr>
        <w:rFonts w:hint="default"/>
      </w:rPr>
    </w:lvl>
  </w:abstractNum>
  <w:abstractNum w:abstractNumId="3" w15:restartNumberingAfterBreak="0">
    <w:nsid w:val="08401E0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D733118"/>
    <w:multiLevelType w:val="hybridMultilevel"/>
    <w:tmpl w:val="55867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54572"/>
    <w:multiLevelType w:val="hybridMultilevel"/>
    <w:tmpl w:val="824AD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B3D9E"/>
    <w:multiLevelType w:val="hybridMultilevel"/>
    <w:tmpl w:val="BF7A33B6"/>
    <w:lvl w:ilvl="0" w:tplc="5BB21F9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423F25"/>
    <w:multiLevelType w:val="singleLevel"/>
    <w:tmpl w:val="7660C552"/>
    <w:lvl w:ilvl="0">
      <w:start w:val="3"/>
      <w:numFmt w:val="bullet"/>
      <w:lvlText w:val="-"/>
      <w:lvlJc w:val="left"/>
      <w:pPr>
        <w:tabs>
          <w:tab w:val="num" w:pos="2715"/>
        </w:tabs>
        <w:ind w:left="2715" w:hanging="360"/>
      </w:pPr>
      <w:rPr>
        <w:rFonts w:hint="default"/>
      </w:rPr>
    </w:lvl>
  </w:abstractNum>
  <w:abstractNum w:abstractNumId="8" w15:restartNumberingAfterBreak="0">
    <w:nsid w:val="30BC59CD"/>
    <w:multiLevelType w:val="hybridMultilevel"/>
    <w:tmpl w:val="E7BCA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C4517"/>
    <w:multiLevelType w:val="hybridMultilevel"/>
    <w:tmpl w:val="A32C7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E7328"/>
    <w:multiLevelType w:val="singleLevel"/>
    <w:tmpl w:val="2B6E7CA4"/>
    <w:lvl w:ilvl="0">
      <w:start w:val="3"/>
      <w:numFmt w:val="bullet"/>
      <w:lvlText w:val="-"/>
      <w:lvlJc w:val="left"/>
      <w:pPr>
        <w:tabs>
          <w:tab w:val="num" w:pos="4470"/>
        </w:tabs>
        <w:ind w:left="4470" w:hanging="360"/>
      </w:pPr>
      <w:rPr>
        <w:rFonts w:hint="default"/>
      </w:rPr>
    </w:lvl>
  </w:abstractNum>
  <w:abstractNum w:abstractNumId="11" w15:restartNumberingAfterBreak="0">
    <w:nsid w:val="429F13B5"/>
    <w:multiLevelType w:val="multilevel"/>
    <w:tmpl w:val="822C58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3351A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D50425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</w:abstractNum>
  <w:abstractNum w:abstractNumId="14" w15:restartNumberingAfterBreak="0">
    <w:nsid w:val="5B7D124B"/>
    <w:multiLevelType w:val="singleLevel"/>
    <w:tmpl w:val="04050001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</w:abstractNum>
  <w:abstractNum w:abstractNumId="15" w15:restartNumberingAfterBreak="0">
    <w:nsid w:val="5F451207"/>
    <w:multiLevelType w:val="hybridMultilevel"/>
    <w:tmpl w:val="93C2F5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422E4"/>
    <w:multiLevelType w:val="multilevel"/>
    <w:tmpl w:val="73D8BE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0D257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2D2232B"/>
    <w:multiLevelType w:val="hybridMultilevel"/>
    <w:tmpl w:val="504605DC"/>
    <w:lvl w:ilvl="0" w:tplc="39BC619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2D7609A"/>
    <w:multiLevelType w:val="hybridMultilevel"/>
    <w:tmpl w:val="7410E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679208">
    <w:abstractNumId w:val="11"/>
  </w:num>
  <w:num w:numId="2" w16cid:durableId="988441309">
    <w:abstractNumId w:val="16"/>
  </w:num>
  <w:num w:numId="3" w16cid:durableId="840656354">
    <w:abstractNumId w:val="3"/>
  </w:num>
  <w:num w:numId="4" w16cid:durableId="426582254">
    <w:abstractNumId w:val="0"/>
  </w:num>
  <w:num w:numId="5" w16cid:durableId="67775246">
    <w:abstractNumId w:val="14"/>
  </w:num>
  <w:num w:numId="6" w16cid:durableId="581523256">
    <w:abstractNumId w:val="17"/>
  </w:num>
  <w:num w:numId="7" w16cid:durableId="532695695">
    <w:abstractNumId w:val="12"/>
  </w:num>
  <w:num w:numId="8" w16cid:durableId="1890921258">
    <w:abstractNumId w:val="7"/>
  </w:num>
  <w:num w:numId="9" w16cid:durableId="1766610630">
    <w:abstractNumId w:val="10"/>
  </w:num>
  <w:num w:numId="10" w16cid:durableId="1301812612">
    <w:abstractNumId w:val="2"/>
  </w:num>
  <w:num w:numId="11" w16cid:durableId="1413549872">
    <w:abstractNumId w:val="13"/>
  </w:num>
  <w:num w:numId="12" w16cid:durableId="2051145932">
    <w:abstractNumId w:val="8"/>
  </w:num>
  <w:num w:numId="13" w16cid:durableId="1273321018">
    <w:abstractNumId w:val="5"/>
  </w:num>
  <w:num w:numId="14" w16cid:durableId="473832904">
    <w:abstractNumId w:val="1"/>
  </w:num>
  <w:num w:numId="15" w16cid:durableId="1114250963">
    <w:abstractNumId w:val="15"/>
  </w:num>
  <w:num w:numId="16" w16cid:durableId="115370534">
    <w:abstractNumId w:val="18"/>
  </w:num>
  <w:num w:numId="17" w16cid:durableId="1167592305">
    <w:abstractNumId w:val="19"/>
  </w:num>
  <w:num w:numId="18" w16cid:durableId="1455783477">
    <w:abstractNumId w:val="6"/>
  </w:num>
  <w:num w:numId="19" w16cid:durableId="1727532190">
    <w:abstractNumId w:val="9"/>
  </w:num>
  <w:num w:numId="20" w16cid:durableId="12425242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120"/>
    <w:rsid w:val="00003B0E"/>
    <w:rsid w:val="0008125D"/>
    <w:rsid w:val="00081AA4"/>
    <w:rsid w:val="000B4142"/>
    <w:rsid w:val="000F32DF"/>
    <w:rsid w:val="0014351C"/>
    <w:rsid w:val="001A7AF5"/>
    <w:rsid w:val="001B3531"/>
    <w:rsid w:val="001D090E"/>
    <w:rsid w:val="001D0EE5"/>
    <w:rsid w:val="002D7F2D"/>
    <w:rsid w:val="002E4DDD"/>
    <w:rsid w:val="00334F5F"/>
    <w:rsid w:val="003500DE"/>
    <w:rsid w:val="003608E0"/>
    <w:rsid w:val="00366856"/>
    <w:rsid w:val="00394B1C"/>
    <w:rsid w:val="003C651F"/>
    <w:rsid w:val="00442DAB"/>
    <w:rsid w:val="004A0CD9"/>
    <w:rsid w:val="004B00D4"/>
    <w:rsid w:val="00504992"/>
    <w:rsid w:val="005F16BD"/>
    <w:rsid w:val="00604070"/>
    <w:rsid w:val="00633D36"/>
    <w:rsid w:val="00674120"/>
    <w:rsid w:val="00682DF4"/>
    <w:rsid w:val="00693AC6"/>
    <w:rsid w:val="00694A45"/>
    <w:rsid w:val="007957B9"/>
    <w:rsid w:val="00807E33"/>
    <w:rsid w:val="00992C0B"/>
    <w:rsid w:val="009B75AE"/>
    <w:rsid w:val="009E74D5"/>
    <w:rsid w:val="00A1110D"/>
    <w:rsid w:val="00A14304"/>
    <w:rsid w:val="00A50EB0"/>
    <w:rsid w:val="00A525BF"/>
    <w:rsid w:val="00A91667"/>
    <w:rsid w:val="00AC79C1"/>
    <w:rsid w:val="00AE6710"/>
    <w:rsid w:val="00B249D1"/>
    <w:rsid w:val="00B920AE"/>
    <w:rsid w:val="00C55600"/>
    <w:rsid w:val="00C80CAA"/>
    <w:rsid w:val="00CB3851"/>
    <w:rsid w:val="00D57AA9"/>
    <w:rsid w:val="00D85E69"/>
    <w:rsid w:val="00D86820"/>
    <w:rsid w:val="00DB6D4A"/>
    <w:rsid w:val="00E50239"/>
    <w:rsid w:val="00E65021"/>
    <w:rsid w:val="00E77A23"/>
    <w:rsid w:val="00EB0C2E"/>
    <w:rsid w:val="00F12986"/>
    <w:rsid w:val="00F42C89"/>
    <w:rsid w:val="00F456D7"/>
    <w:rsid w:val="00F564D5"/>
    <w:rsid w:val="00FA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72B1B"/>
  <w15:chartTrackingRefBased/>
  <w15:docId w15:val="{4D5236EC-58B8-4799-AABD-FBDE069D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1A7AF5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eastAsia="Times New Roman"/>
      <w:lang w:eastAsia="cs-CZ"/>
    </w:rPr>
  </w:style>
  <w:style w:type="paragraph" w:styleId="Zkladntextodsazen">
    <w:name w:val="Body Text Indent"/>
    <w:basedOn w:val="Normln"/>
    <w:pPr>
      <w:ind w:left="1980"/>
    </w:pPr>
    <w:rPr>
      <w:sz w:val="20"/>
    </w:rPr>
  </w:style>
  <w:style w:type="paragraph" w:styleId="Zkladntext">
    <w:name w:val="Body Text"/>
    <w:basedOn w:val="Normln"/>
    <w:link w:val="ZkladntextChar"/>
    <w:rPr>
      <w:sz w:val="20"/>
    </w:rPr>
  </w:style>
  <w:style w:type="paragraph" w:styleId="Zkladntextodsazen2">
    <w:name w:val="Body Text Indent 2"/>
    <w:basedOn w:val="Normln"/>
    <w:pPr>
      <w:ind w:left="2880" w:hanging="1800"/>
    </w:pPr>
    <w:rPr>
      <w:sz w:val="20"/>
    </w:rPr>
  </w:style>
  <w:style w:type="paragraph" w:styleId="Zkladntextodsazen3">
    <w:name w:val="Body Text Indent 3"/>
    <w:basedOn w:val="Normln"/>
    <w:pPr>
      <w:keepNext/>
      <w:spacing w:before="60" w:after="60"/>
      <w:ind w:left="1080" w:hanging="720"/>
      <w:jc w:val="both"/>
      <w:outlineLvl w:val="0"/>
    </w:pPr>
    <w:rPr>
      <w:b/>
      <w:sz w:val="20"/>
    </w:rPr>
  </w:style>
  <w:style w:type="paragraph" w:styleId="Zkladntext2">
    <w:name w:val="Body Text 2"/>
    <w:basedOn w:val="Normln"/>
    <w:pPr>
      <w:jc w:val="both"/>
    </w:pPr>
    <w:rPr>
      <w:sz w:val="20"/>
    </w:rPr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Textkomente">
    <w:name w:val="annotation text"/>
    <w:basedOn w:val="Normln"/>
    <w:semiHidden/>
    <w:unhideWhenUsed/>
    <w:rPr>
      <w:sz w:val="20"/>
      <w:szCs w:val="20"/>
    </w:rPr>
  </w:style>
  <w:style w:type="character" w:customStyle="1" w:styleId="TextkomenteChar">
    <w:name w:val="Text komentáře Char"/>
    <w:semiHidden/>
    <w:rPr>
      <w:noProof w:val="0"/>
      <w:lang w:eastAsia="zh-CN"/>
    </w:rPr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PedmtkomenteChar">
    <w:name w:val="Předmět komentáře Char"/>
    <w:semiHidden/>
    <w:rPr>
      <w:b/>
      <w:bCs/>
      <w:noProof w:val="0"/>
      <w:lang w:eastAsia="zh-CN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noProof w:val="0"/>
      <w:sz w:val="16"/>
      <w:szCs w:val="16"/>
      <w:lang w:eastAsia="zh-CN"/>
    </w:rPr>
  </w:style>
  <w:style w:type="character" w:styleId="slostrnky">
    <w:name w:val="page number"/>
    <w:basedOn w:val="Standardnpsmoodstavce"/>
    <w:rsid w:val="00366856"/>
  </w:style>
  <w:style w:type="character" w:customStyle="1" w:styleId="Nadpis1Char">
    <w:name w:val="Nadpis 1 Char"/>
    <w:link w:val="Nadpis1"/>
    <w:rsid w:val="001A7AF5"/>
    <w:rPr>
      <w:rFonts w:eastAsia="Times New Roman" w:cs="Times New Roman"/>
      <w:b/>
      <w:bCs/>
      <w:kern w:val="32"/>
      <w:sz w:val="28"/>
      <w:szCs w:val="32"/>
      <w:lang w:eastAsia="zh-CN"/>
    </w:rPr>
  </w:style>
  <w:style w:type="character" w:customStyle="1" w:styleId="ZpatChar">
    <w:name w:val="Zápatí Char"/>
    <w:link w:val="Zpat"/>
    <w:rsid w:val="001A7AF5"/>
    <w:rPr>
      <w:rFonts w:eastAsia="Times New Roman"/>
      <w:sz w:val="24"/>
      <w:szCs w:val="24"/>
    </w:rPr>
  </w:style>
  <w:style w:type="character" w:customStyle="1" w:styleId="ZkladntextChar">
    <w:name w:val="Základní text Char"/>
    <w:link w:val="Zkladntext"/>
    <w:rsid w:val="001A7AF5"/>
    <w:rPr>
      <w:szCs w:val="24"/>
      <w:lang w:eastAsia="zh-CN"/>
    </w:rPr>
  </w:style>
  <w:style w:type="paragraph" w:styleId="Zhlav">
    <w:name w:val="header"/>
    <w:basedOn w:val="Normln"/>
    <w:rsid w:val="00AE671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Struktura nálezové zprávy:</vt:lpstr>
    </vt:vector>
  </TitlesOfParts>
  <Company>xx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nálezové zprávy:</dc:title>
  <dc:subject/>
  <dc:creator>xx</dc:creator>
  <cp:keywords/>
  <dc:description/>
  <cp:lastModifiedBy>Andrea Chýlová</cp:lastModifiedBy>
  <cp:revision>3</cp:revision>
  <cp:lastPrinted>2014-03-03T06:52:00Z</cp:lastPrinted>
  <dcterms:created xsi:type="dcterms:W3CDTF">2020-01-20T12:30:00Z</dcterms:created>
  <dcterms:modified xsi:type="dcterms:W3CDTF">2025-02-20T10:41:00Z</dcterms:modified>
</cp:coreProperties>
</file>