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AFA" w:rsidRDefault="00FE7AFA" w:rsidP="004B57A6">
      <w:pPr>
        <w:widowControl w:val="0"/>
        <w:spacing w:after="120"/>
        <w:jc w:val="center"/>
        <w:rPr>
          <w:rFonts w:ascii="Arial Black" w:hAnsi="Arial Black"/>
          <w:b/>
          <w:snapToGrid w:val="0"/>
          <w:sz w:val="44"/>
          <w:szCs w:val="44"/>
          <w:lang w:eastAsia="cs-CZ"/>
        </w:rPr>
      </w:pPr>
    </w:p>
    <w:p w:rsidR="00FE7AFA" w:rsidRDefault="00FE7AFA" w:rsidP="00FE7AFA">
      <w:pPr>
        <w:widowControl w:val="0"/>
        <w:spacing w:after="120"/>
        <w:rPr>
          <w:rFonts w:ascii="Arial Black" w:hAnsi="Arial Black"/>
          <w:b/>
          <w:snapToGrid w:val="0"/>
          <w:sz w:val="44"/>
          <w:szCs w:val="44"/>
          <w:lang w:eastAsia="cs-CZ"/>
        </w:rPr>
      </w:pPr>
      <w:r w:rsidRPr="00FE7AFA">
        <w:rPr>
          <w:rFonts w:ascii="Arial Black" w:hAnsi="Arial Black" w:cs="Arial"/>
        </w:rPr>
        <w:t>Příloha č. 1 - Obchodní podmínky pro zhotovení stavby</w:t>
      </w:r>
    </w:p>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FE7AFA">
      <w:pPr>
        <w:spacing w:before="600" w:after="360" w:line="240" w:lineRule="atLeast"/>
        <w:jc w:val="both"/>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lastRenderedPageBreak/>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proofErr w:type="spellStart"/>
      <w:r w:rsidRPr="00C15C32">
        <w:rPr>
          <w:rFonts w:ascii="Arial" w:hAnsi="Arial" w:cs="Arial"/>
          <w:b/>
          <w:iCs/>
          <w:lang w:eastAsia="cs-CZ"/>
        </w:rPr>
        <w:t>Méněpracemi</w:t>
      </w:r>
      <w:proofErr w:type="spellEnd"/>
      <w:r w:rsidRPr="00C15C32">
        <w:rPr>
          <w:rFonts w:ascii="Arial" w:hAnsi="Arial" w:cs="Arial"/>
          <w:b/>
          <w:iCs/>
          <w:lang w:eastAsia="cs-CZ"/>
        </w:rPr>
        <w:t xml:space="preserve">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 xml:space="preserve">hotovitele, v němž jsou obsaženy všechny podstatné náležitosti podle zvláštního </w:t>
      </w:r>
      <w:r w:rsidRPr="00C15C32">
        <w:rPr>
          <w:rFonts w:ascii="Arial" w:hAnsi="Arial" w:cs="Arial"/>
          <w:iCs/>
          <w:lang w:eastAsia="cs-CZ"/>
        </w:rPr>
        <w:lastRenderedPageBreak/>
        <w:t>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w:t>
      </w:r>
      <w:r w:rsidRPr="00C15C32">
        <w:rPr>
          <w:rFonts w:ascii="Arial" w:hAnsi="Arial" w:cs="Arial"/>
          <w:bCs/>
          <w:iCs/>
          <w:lang w:eastAsia="cs-CZ"/>
        </w:rPr>
        <w:lastRenderedPageBreak/>
        <w:t>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 xml:space="preserve">Vyhotovení dokumentace skutečného provedení stavby připravené k potvrzení stavebním úřadem ve třech vyhotoveních, která bude ve všech svých částech </w:t>
      </w:r>
      <w:r w:rsidRPr="00C15C32">
        <w:rPr>
          <w:rFonts w:ascii="Arial" w:hAnsi="Arial" w:cs="Arial"/>
          <w:lang w:eastAsia="cs-CZ"/>
        </w:rPr>
        <w:lastRenderedPageBreak/>
        <w:t>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 xml:space="preserve">Vícepráce či </w:t>
      </w:r>
      <w:proofErr w:type="spellStart"/>
      <w:r>
        <w:rPr>
          <w:rFonts w:ascii="Arial" w:hAnsi="Arial"/>
          <w:snapToGrid w:val="0"/>
          <w:lang w:eastAsia="cs-CZ"/>
        </w:rPr>
        <w:t>m</w:t>
      </w:r>
      <w:r w:rsidRPr="00C15C32">
        <w:rPr>
          <w:rFonts w:ascii="Arial" w:hAnsi="Arial"/>
          <w:snapToGrid w:val="0"/>
          <w:lang w:eastAsia="cs-CZ"/>
        </w:rPr>
        <w:t>éněpráce</w:t>
      </w:r>
      <w:proofErr w:type="spellEnd"/>
      <w:r w:rsidRPr="00C15C32">
        <w:rPr>
          <w:rFonts w:ascii="Arial" w:hAnsi="Arial"/>
          <w:snapToGrid w:val="0"/>
          <w:lang w:eastAsia="cs-CZ"/>
        </w:rPr>
        <w:t>,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w:t>
      </w:r>
      <w:proofErr w:type="spellStart"/>
      <w:r>
        <w:rPr>
          <w:rFonts w:ascii="Arial" w:hAnsi="Arial"/>
          <w:snapToGrid w:val="0"/>
          <w:lang w:eastAsia="cs-CZ"/>
        </w:rPr>
        <w:t>m</w:t>
      </w:r>
      <w:r w:rsidRPr="00C15C32">
        <w:rPr>
          <w:rFonts w:ascii="Arial" w:hAnsi="Arial"/>
          <w:snapToGrid w:val="0"/>
          <w:lang w:eastAsia="cs-CZ"/>
        </w:rPr>
        <w:t>éněprací</w:t>
      </w:r>
      <w:proofErr w:type="spellEnd"/>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xml:space="preserve"> době sjednání smlouvy </w:t>
      </w:r>
      <w:proofErr w:type="gramStart"/>
      <w:r>
        <w:rPr>
          <w:rFonts w:ascii="Arial" w:hAnsi="Arial"/>
          <w:snapToGrid w:val="0"/>
          <w:lang w:eastAsia="cs-CZ"/>
        </w:rPr>
        <w:t>známy a z</w:t>
      </w:r>
      <w:r w:rsidRPr="00C15C32">
        <w:rPr>
          <w:rFonts w:ascii="Arial" w:hAnsi="Arial"/>
          <w:snapToGrid w:val="0"/>
          <w:lang w:eastAsia="cs-CZ"/>
        </w:rPr>
        <w:t>hotovitel</w:t>
      </w:r>
      <w:proofErr w:type="gramEnd"/>
      <w:r w:rsidRPr="00C15C32">
        <w:rPr>
          <w:rFonts w:ascii="Arial" w:hAnsi="Arial"/>
          <w:snapToGrid w:val="0"/>
          <w:lang w:eastAsia="cs-CZ"/>
        </w:rPr>
        <w:t xml:space="preserve">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 xml:space="preserve">Vícepráce a </w:t>
      </w:r>
      <w:proofErr w:type="spellStart"/>
      <w:r>
        <w:rPr>
          <w:rFonts w:ascii="Arial" w:hAnsi="Arial"/>
          <w:sz w:val="24"/>
          <w:szCs w:val="24"/>
          <w:u w:val="single"/>
          <w:lang w:eastAsia="cs-CZ"/>
        </w:rPr>
        <w:t>m</w:t>
      </w:r>
      <w:r w:rsidRPr="000336EB">
        <w:rPr>
          <w:rFonts w:ascii="Arial" w:hAnsi="Arial"/>
          <w:sz w:val="24"/>
          <w:szCs w:val="24"/>
          <w:u w:val="single"/>
          <w:lang w:eastAsia="cs-CZ"/>
        </w:rPr>
        <w:t>éněpráce</w:t>
      </w:r>
      <w:proofErr w:type="spellEnd"/>
      <w:r w:rsidRPr="000336EB">
        <w:rPr>
          <w:rFonts w:ascii="Arial" w:hAnsi="Arial"/>
          <w:sz w:val="24"/>
          <w:szCs w:val="24"/>
          <w:u w:val="single"/>
          <w:lang w:eastAsia="cs-CZ"/>
        </w:rPr>
        <w:t xml:space="preserv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 xml:space="preserve">ytnou-li se při provádění díla vícepráce nebo </w:t>
      </w:r>
      <w:proofErr w:type="spellStart"/>
      <w:r>
        <w:rPr>
          <w:rFonts w:ascii="Arial" w:hAnsi="Arial"/>
          <w:snapToGrid w:val="0"/>
          <w:lang w:eastAsia="cs-CZ"/>
        </w:rPr>
        <w:t>méněpráce</w:t>
      </w:r>
      <w:proofErr w:type="spellEnd"/>
      <w:r>
        <w:rPr>
          <w:rFonts w:ascii="Arial" w:hAnsi="Arial"/>
          <w:snapToGrid w:val="0"/>
          <w:lang w:eastAsia="cs-CZ"/>
        </w:rPr>
        <w:t>,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w:t>
      </w:r>
      <w:proofErr w:type="spellStart"/>
      <w:r>
        <w:rPr>
          <w:rFonts w:ascii="Arial" w:hAnsi="Arial"/>
          <w:snapToGrid w:val="0"/>
          <w:lang w:eastAsia="cs-CZ"/>
        </w:rPr>
        <w:t>m</w:t>
      </w:r>
      <w:r w:rsidRPr="00C15C32">
        <w:rPr>
          <w:rFonts w:ascii="Arial" w:hAnsi="Arial"/>
          <w:snapToGrid w:val="0"/>
          <w:lang w:eastAsia="cs-CZ"/>
        </w:rPr>
        <w:t>éněprací</w:t>
      </w:r>
      <w:proofErr w:type="spellEnd"/>
      <w:r w:rsidRPr="00C15C32">
        <w:rPr>
          <w:rFonts w:ascii="Arial" w:hAnsi="Arial"/>
          <w:snapToGrid w:val="0"/>
          <w:lang w:eastAsia="cs-CZ"/>
        </w:rPr>
        <w:t xml:space="preserve">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 xml:space="preserve">příčin, které vyvolaly potřebu víceprací nebo </w:t>
      </w:r>
      <w:proofErr w:type="spellStart"/>
      <w:r>
        <w:rPr>
          <w:rFonts w:ascii="Arial" w:hAnsi="Arial"/>
          <w:snapToGrid w:val="0"/>
          <w:lang w:eastAsia="cs-CZ"/>
        </w:rPr>
        <w:t>m</w:t>
      </w:r>
      <w:r w:rsidRPr="00C15C32">
        <w:rPr>
          <w:rFonts w:ascii="Arial" w:hAnsi="Arial"/>
          <w:snapToGrid w:val="0"/>
          <w:lang w:eastAsia="cs-CZ"/>
        </w:rPr>
        <w:t>éněprací</w:t>
      </w:r>
      <w:proofErr w:type="spellEnd"/>
      <w:r w:rsidRPr="00C15C32">
        <w:rPr>
          <w:rFonts w:ascii="Arial" w:hAnsi="Arial"/>
          <w:snapToGrid w:val="0"/>
          <w:lang w:eastAsia="cs-CZ"/>
        </w:rPr>
        <w: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 xml:space="preserve">vitel je povinen stanovit cenu víceprací nebo </w:t>
      </w:r>
      <w:proofErr w:type="spellStart"/>
      <w:r>
        <w:rPr>
          <w:rFonts w:ascii="Arial" w:hAnsi="Arial"/>
          <w:snapToGrid w:val="0"/>
          <w:lang w:eastAsia="cs-CZ"/>
        </w:rPr>
        <w:t>m</w:t>
      </w:r>
      <w:r w:rsidRPr="00C15C32">
        <w:rPr>
          <w:rFonts w:ascii="Arial" w:hAnsi="Arial"/>
          <w:snapToGrid w:val="0"/>
          <w:lang w:eastAsia="cs-CZ"/>
        </w:rPr>
        <w:t>éněprací</w:t>
      </w:r>
      <w:proofErr w:type="spellEnd"/>
      <w:r w:rsidRPr="00C15C32">
        <w:rPr>
          <w:rFonts w:ascii="Arial" w:hAnsi="Arial"/>
          <w:snapToGrid w:val="0"/>
          <w:lang w:eastAsia="cs-CZ"/>
        </w:rPr>
        <w:t xml:space="preserve">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jednotkových cen cenové soustavy použité zhotovitelem v nabídce na tuto </w:t>
      </w:r>
      <w:r w:rsidRPr="00C15C32">
        <w:rPr>
          <w:rFonts w:ascii="Arial" w:hAnsi="Arial"/>
          <w:snapToGrid w:val="0"/>
          <w:lang w:eastAsia="cs-CZ"/>
        </w:rPr>
        <w:lastRenderedPageBreak/>
        <w:t xml:space="preserve">veřejnou zakázku snížené o </w:t>
      </w:r>
      <w:proofErr w:type="gramStart"/>
      <w:r w:rsidRPr="00C15C32">
        <w:rPr>
          <w:rFonts w:ascii="Arial" w:hAnsi="Arial"/>
          <w:snapToGrid w:val="0"/>
          <w:lang w:eastAsia="cs-CZ"/>
        </w:rPr>
        <w:t>20% , definované</w:t>
      </w:r>
      <w:proofErr w:type="gramEnd"/>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proofErr w:type="gramStart"/>
      <w:r w:rsidRPr="00C15C32">
        <w:rPr>
          <w:rFonts w:ascii="Arial" w:hAnsi="Arial"/>
          <w:snapToGrid w:val="0"/>
          <w:lang w:eastAsia="cs-CZ"/>
        </w:rPr>
        <w:t>mu</w:t>
      </w:r>
      <w:proofErr w:type="gramEnd"/>
      <w:r w:rsidRPr="00C15C32">
        <w:rPr>
          <w:rFonts w:ascii="Arial" w:hAnsi="Arial"/>
          <w:snapToGrid w:val="0"/>
          <w:lang w:eastAsia="cs-CZ"/>
        </w:rPr>
        <w:t xml:space="preserve">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 xml:space="preserve">každý nedodělek či </w:t>
      </w:r>
      <w:r w:rsidRPr="00C15C32">
        <w:rPr>
          <w:rFonts w:ascii="Arial" w:hAnsi="Arial"/>
          <w:snapToGrid w:val="0"/>
          <w:lang w:eastAsia="cs-CZ"/>
        </w:rPr>
        <w:lastRenderedPageBreak/>
        <w:t>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 w:rsidRPr="00042FD6">
        <w:rPr>
          <w:rFonts w:ascii="Arial" w:hAnsi="Arial"/>
          <w:b/>
          <w:caps/>
          <w:sz w:val="24"/>
          <w:szCs w:val="24"/>
          <w:lang w:eastAsia="cs-CZ"/>
        </w:rPr>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 xml:space="preserve">taveniště odstraňovat všechny druhy odpadů, stavební suti a nepotřebného materiálu. Zhotovitel je rovněž povinen zabezpečit, </w:t>
      </w:r>
      <w:r w:rsidRPr="00C15C32">
        <w:rPr>
          <w:rFonts w:ascii="Arial" w:hAnsi="Arial"/>
          <w:snapToGrid w:val="0"/>
          <w:lang w:eastAsia="cs-CZ"/>
        </w:rPr>
        <w:lastRenderedPageBreak/>
        <w:t>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9657DC">
      <w:pPr>
        <w:pStyle w:val="Styl5"/>
        <w:tabs>
          <w:tab w:val="clear" w:pos="720"/>
          <w:tab w:val="num" w:pos="1134"/>
        </w:tabs>
        <w:ind w:left="1134" w:hanging="1134"/>
      </w:pPr>
      <w:r w:rsidRPr="00042FD6">
        <w:t>Stavební</w:t>
      </w:r>
      <w:r w:rsidRPr="000336EB">
        <w:t xml:space="preserve">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9657DC">
      <w:pPr>
        <w:pStyle w:val="Styl5"/>
        <w:tabs>
          <w:tab w:val="clear" w:pos="720"/>
          <w:tab w:val="num" w:pos="1134"/>
        </w:tabs>
        <w:ind w:left="1134" w:hanging="1134"/>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w:t>
      </w:r>
      <w:r w:rsidRPr="00C15C32">
        <w:rPr>
          <w:rFonts w:ascii="Arial" w:hAnsi="Arial"/>
          <w:snapToGrid w:val="0"/>
          <w:lang w:eastAsia="cs-CZ"/>
        </w:rPr>
        <w:lastRenderedPageBreak/>
        <w:t xml:space="preserve">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w:t>
      </w:r>
      <w:r w:rsidRPr="00C15C32">
        <w:rPr>
          <w:rFonts w:ascii="Arial" w:hAnsi="Arial"/>
          <w:snapToGrid w:val="0"/>
          <w:lang w:eastAsia="cs-CZ"/>
        </w:rPr>
        <w:lastRenderedPageBreak/>
        <w:t>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EA3D50" w:rsidRPr="00BC26C5" w:rsidRDefault="00EA3D50" w:rsidP="00BC26C5">
      <w:pPr>
        <w:numPr>
          <w:ilvl w:val="2"/>
          <w:numId w:val="4"/>
        </w:numPr>
        <w:tabs>
          <w:tab w:val="num" w:pos="1260"/>
        </w:tabs>
        <w:spacing w:after="0" w:line="240" w:lineRule="auto"/>
        <w:ind w:left="1134" w:hanging="1134"/>
        <w:jc w:val="both"/>
        <w:rPr>
          <w:rFonts w:ascii="Arial" w:hAnsi="Arial"/>
          <w:snapToGrid w:val="0"/>
          <w:lang w:eastAsia="cs-CZ"/>
        </w:rPr>
      </w:pPr>
      <w:r w:rsidRPr="00BC26C5">
        <w:rPr>
          <w:rFonts w:ascii="Arial" w:hAnsi="Arial"/>
          <w:snapToGrid w:val="0"/>
          <w:lang w:eastAsia="cs-CZ"/>
        </w:rPr>
        <w:t xml:space="preserve">Zhotovitel je povinen předložit objednateli veškeré použité prvky, výrobky a materiály k posouzení shody vlastností a kvality těchto materiálů s projektovou dokumentací a požadavky této smlouvy a to v dostatečném předstihu před zabudováním těchto materiálů. Objednatel má právo předložený prvek, výrobek či materiál odmítnout a vyžádat jiný pokud svými vlastnostmi a kvalitou neodpovídá požadavkům stanoveným touto smlouvou. V takovém případě je zhotovitel povinen předložit jiný, odpovídající prvek, výrobek či materiál. </w:t>
      </w:r>
    </w:p>
    <w:p w:rsidR="00EA3D50" w:rsidRPr="00BC26C5" w:rsidRDefault="00EA3D50" w:rsidP="00BC26C5">
      <w:pPr>
        <w:numPr>
          <w:ilvl w:val="2"/>
          <w:numId w:val="4"/>
        </w:numPr>
        <w:tabs>
          <w:tab w:val="num" w:pos="1260"/>
        </w:tabs>
        <w:spacing w:after="0" w:line="240" w:lineRule="auto"/>
        <w:ind w:left="1134" w:hanging="1134"/>
        <w:jc w:val="both"/>
        <w:rPr>
          <w:rFonts w:ascii="Arial" w:hAnsi="Arial"/>
          <w:snapToGrid w:val="0"/>
          <w:lang w:eastAsia="cs-CZ"/>
        </w:rPr>
      </w:pPr>
      <w:proofErr w:type="gramStart"/>
      <w:r w:rsidRPr="00BC26C5">
        <w:rPr>
          <w:rFonts w:ascii="Arial" w:hAnsi="Arial"/>
          <w:snapToGrid w:val="0"/>
          <w:lang w:eastAsia="cs-CZ"/>
        </w:rPr>
        <w:t>Není</w:t>
      </w:r>
      <w:proofErr w:type="gramEnd"/>
      <w:r w:rsidRPr="00BC26C5">
        <w:rPr>
          <w:rFonts w:ascii="Arial" w:hAnsi="Arial"/>
          <w:snapToGrid w:val="0"/>
          <w:lang w:eastAsia="cs-CZ"/>
        </w:rPr>
        <w:t>–</w:t>
      </w:r>
      <w:proofErr w:type="spellStart"/>
      <w:proofErr w:type="gramStart"/>
      <w:r w:rsidRPr="00BC26C5">
        <w:rPr>
          <w:rFonts w:ascii="Arial" w:hAnsi="Arial"/>
          <w:snapToGrid w:val="0"/>
          <w:lang w:eastAsia="cs-CZ"/>
        </w:rPr>
        <w:t>li</w:t>
      </w:r>
      <w:proofErr w:type="spellEnd"/>
      <w:proofErr w:type="gramEnd"/>
      <w:r w:rsidRPr="00BC26C5">
        <w:rPr>
          <w:rFonts w:ascii="Arial" w:hAnsi="Arial"/>
          <w:snapToGrid w:val="0"/>
          <w:lang w:eastAsia="cs-CZ"/>
        </w:rPr>
        <w:t xml:space="preserve"> v projektové dokumentaci jednoznačně stanovena barevnost, vzhled daného výrobku nebo je-li v projektové dokumentaci stanovena podmínka odsouhlasení jednotlivých prvků, výrobků či barevnosti na základě vzorků či podléhá-li takový výrobek zpracování dílenské dokumentace je Zhotovitel povinen takové vzorky či dílenskou dokumentaci objednateli předložit, a to v dostačeném předstihu před objednáním. Objednatel je povinen se k předloženým vzorkům vyjádřit nejpozději do pěti pracovních dnů.  </w:t>
      </w:r>
    </w:p>
    <w:p w:rsidR="00EA3D50" w:rsidRPr="00BC26C5" w:rsidRDefault="00EA3D50" w:rsidP="00BC26C5">
      <w:pPr>
        <w:numPr>
          <w:ilvl w:val="2"/>
          <w:numId w:val="4"/>
        </w:numPr>
        <w:tabs>
          <w:tab w:val="num" w:pos="1260"/>
        </w:tabs>
        <w:spacing w:after="0" w:line="240" w:lineRule="auto"/>
        <w:ind w:left="1134" w:hanging="1134"/>
        <w:jc w:val="both"/>
        <w:rPr>
          <w:rFonts w:ascii="Arial" w:hAnsi="Arial"/>
          <w:snapToGrid w:val="0"/>
          <w:lang w:eastAsia="cs-CZ"/>
        </w:rPr>
      </w:pPr>
      <w:r w:rsidRPr="00BC26C5">
        <w:rPr>
          <w:rFonts w:ascii="Arial" w:hAnsi="Arial"/>
          <w:snapToGrid w:val="0"/>
          <w:lang w:eastAsia="cs-CZ"/>
        </w:rPr>
        <w:t>Zhotovitel doloží na vyzvání objednatele, nejpozději však v Termínu předání a převzetí díla soubor certifikátů rozhodujících materiálů užitých ke zhotovení stavby.</w:t>
      </w:r>
    </w:p>
    <w:p w:rsidR="00EA3D50" w:rsidRPr="00BC26C5" w:rsidRDefault="00EA3D50" w:rsidP="00BC26C5">
      <w:pPr>
        <w:numPr>
          <w:ilvl w:val="2"/>
          <w:numId w:val="4"/>
        </w:numPr>
        <w:tabs>
          <w:tab w:val="num" w:pos="1260"/>
        </w:tabs>
        <w:spacing w:after="0" w:line="240" w:lineRule="auto"/>
        <w:ind w:left="1134" w:hanging="1134"/>
        <w:jc w:val="both"/>
        <w:rPr>
          <w:rFonts w:ascii="Arial" w:hAnsi="Arial"/>
          <w:snapToGrid w:val="0"/>
          <w:lang w:eastAsia="cs-CZ"/>
        </w:rPr>
      </w:pPr>
      <w:r w:rsidRPr="00BC26C5">
        <w:rPr>
          <w:rFonts w:ascii="Arial" w:hAnsi="Arial"/>
          <w:snapToGrid w:val="0"/>
          <w:lang w:eastAsia="cs-CZ"/>
        </w:rPr>
        <w:t xml:space="preserve">Zhotovitel se zavazuje, že v rámci vnějšího tepelně izolačního kompozitního systému (ETICS) použije vždy výhradně originální komponenty systému od jednoho výrobce, a to v nejvyšší kvalitě. Jakákoliv kombinace komponent z více systémů nebo použití neoriginálních komponent se považuje za podstatné porušení Smlouvy.  </w:t>
      </w:r>
    </w:p>
    <w:p w:rsidR="00EA3D50" w:rsidRDefault="00EA3D50" w:rsidP="00BC26C5">
      <w:pPr>
        <w:numPr>
          <w:ilvl w:val="2"/>
          <w:numId w:val="4"/>
        </w:numPr>
        <w:tabs>
          <w:tab w:val="num" w:pos="1260"/>
        </w:tabs>
        <w:spacing w:after="0" w:line="240" w:lineRule="auto"/>
        <w:ind w:left="1134" w:hanging="1134"/>
        <w:jc w:val="both"/>
        <w:rPr>
          <w:rFonts w:ascii="Arial" w:hAnsi="Arial"/>
          <w:snapToGrid w:val="0"/>
          <w:lang w:eastAsia="cs-CZ"/>
        </w:rPr>
      </w:pPr>
      <w:r w:rsidRPr="00BC26C5">
        <w:rPr>
          <w:rFonts w:ascii="Arial" w:hAnsi="Arial"/>
          <w:snapToGrid w:val="0"/>
          <w:lang w:eastAsia="cs-CZ"/>
        </w:rPr>
        <w:t>Zhotovitel se zavazuje, že při montáži ETICS bude bez výjimky dodržovat technologický postup montáže stanovený výrobcem ETICS. Jakákoliv odchylka, opomenutí nebo nedbalost v dodržení technologického postupu je podstatným porušením Smlouvy a Objednatel má právo takové plnění odmítnout a neuhradit.</w:t>
      </w:r>
    </w:p>
    <w:p w:rsidR="00BC26C5" w:rsidRPr="00BC26C5" w:rsidRDefault="00BC26C5" w:rsidP="00BC26C5">
      <w:pPr>
        <w:numPr>
          <w:ilvl w:val="2"/>
          <w:numId w:val="4"/>
        </w:numPr>
        <w:tabs>
          <w:tab w:val="num" w:pos="1260"/>
        </w:tabs>
        <w:spacing w:after="0" w:line="240" w:lineRule="auto"/>
        <w:ind w:left="1134" w:hanging="1134"/>
        <w:jc w:val="both"/>
        <w:rPr>
          <w:rFonts w:ascii="Arial" w:hAnsi="Arial"/>
          <w:snapToGrid w:val="0"/>
          <w:lang w:eastAsia="cs-CZ"/>
        </w:rPr>
      </w:pPr>
      <w:r w:rsidRPr="00BC26C5">
        <w:rPr>
          <w:rFonts w:ascii="Arial" w:hAnsi="Arial"/>
          <w:snapToGrid w:val="0"/>
          <w:lang w:eastAsia="cs-CZ"/>
        </w:rPr>
        <w:t>Zhotovitel se zavazuje dodat a osadit jen takové výplně otvorů, které mají potřebný certifikát a splňují a budou dlouhodobě splňovat beze zbytku požadavky na tepelně technické vlastnosti definované příslušnou projektovou dokumentací. Nedodržení postupu Zhotovitele dle věty předchozí je podstatným porušením Smlouvy a Objednatel má právo takové plnění odmítnout a neuhradit.</w:t>
      </w:r>
    </w:p>
    <w:p w:rsidR="00EA3D50" w:rsidRPr="00C15C32" w:rsidRDefault="00EA3D50" w:rsidP="00BC26C5">
      <w:pPr>
        <w:tabs>
          <w:tab w:val="num" w:pos="1260"/>
        </w:tabs>
        <w:spacing w:after="0" w:line="240" w:lineRule="auto"/>
        <w:ind w:left="1134"/>
        <w:jc w:val="both"/>
        <w:rPr>
          <w:rFonts w:ascii="Arial" w:hAnsi="Arial"/>
          <w:snapToGrid w:val="0"/>
          <w:lang w:eastAsia="cs-CZ"/>
        </w:rPr>
      </w:pP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(případně deníky) a </w:t>
      </w:r>
      <w:proofErr w:type="gramStart"/>
      <w:r w:rsidRPr="00C15C32">
        <w:rPr>
          <w:rFonts w:ascii="Arial" w:hAnsi="Arial"/>
          <w:snapToGrid w:val="0"/>
          <w:lang w:eastAsia="cs-CZ"/>
        </w:rPr>
        <w:t>deník(y) víceprací</w:t>
      </w:r>
      <w:proofErr w:type="gramEnd"/>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lastRenderedPageBreak/>
        <w:t>Záruční lhůta pro dodávky strojů a zařízení, na něž výrobce těchto zařízení vystavuje samostatný záruční list, se sjednává v délce lhůty poskytnuté výrobcem, nejméně však v délce 24 měsíců.</w:t>
      </w:r>
      <w:bookmarkEnd w:id="1"/>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 xml:space="preserve">bjednatele uznává. Vždy však musí písemně sdělit, v jakém termínu nastoupí k odstranění </w:t>
      </w:r>
      <w:proofErr w:type="gramStart"/>
      <w:r w:rsidRPr="00A83792">
        <w:rPr>
          <w:rFonts w:ascii="Arial" w:hAnsi="Arial"/>
          <w:snapToGrid w:val="0"/>
          <w:lang w:eastAsia="cs-CZ"/>
        </w:rPr>
        <w:t>vad(y).</w:t>
      </w:r>
      <w:proofErr w:type="gramEnd"/>
      <w:r w:rsidRPr="00A83792">
        <w:rPr>
          <w:rFonts w:ascii="Arial" w:hAnsi="Arial"/>
          <w:snapToGrid w:val="0"/>
          <w:lang w:eastAsia="cs-CZ"/>
        </w:rPr>
        <w:t xml:space="preserve">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 xml:space="preserve">hotovitel písemně navrhne, do kterého termínu </w:t>
      </w:r>
      <w:proofErr w:type="gramStart"/>
      <w:r w:rsidRPr="00A83792">
        <w:rPr>
          <w:rFonts w:ascii="Arial" w:hAnsi="Arial"/>
          <w:snapToGrid w:val="0"/>
          <w:lang w:eastAsia="cs-CZ"/>
        </w:rPr>
        <w:t>vadu(y) odstraní</w:t>
      </w:r>
      <w:proofErr w:type="gramEnd"/>
      <w:r w:rsidRPr="00A83792">
        <w:rPr>
          <w:rFonts w:ascii="Arial" w:hAnsi="Arial"/>
          <w:snapToGrid w:val="0"/>
          <w:lang w:eastAsia="cs-CZ"/>
        </w:rPr>
        <w: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 xml:space="preserve"> </w:t>
      </w:r>
      <w:r w:rsidR="00DB5E82">
        <w:rPr>
          <w:rFonts w:ascii="Arial" w:hAnsi="Arial" w:cs="Arial"/>
          <w:lang w:eastAsia="cs-CZ"/>
        </w:rPr>
        <w:tab/>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DB5E82" w:rsidRDefault="004B57A6" w:rsidP="00DB5E82">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bookmarkStart w:id="2" w:name="_GoBack"/>
      <w:bookmarkEnd w:id="2"/>
    </w:p>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D50" w:rsidRDefault="00EA3D50" w:rsidP="00B535EB">
      <w:pPr>
        <w:spacing w:after="0" w:line="240" w:lineRule="auto"/>
      </w:pPr>
      <w:r>
        <w:separator/>
      </w:r>
    </w:p>
  </w:endnote>
  <w:endnote w:type="continuationSeparator" w:id="0">
    <w:p w:rsidR="00EA3D50" w:rsidRDefault="00EA3D50"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D50" w:rsidRDefault="00EA3D50" w:rsidP="00B535EB">
      <w:pPr>
        <w:spacing w:after="0" w:line="240" w:lineRule="auto"/>
      </w:pPr>
      <w:r>
        <w:separator/>
      </w:r>
    </w:p>
  </w:footnote>
  <w:footnote w:type="continuationSeparator" w:id="0">
    <w:p w:rsidR="00EA3D50" w:rsidRDefault="00EA3D50"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12">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6C913B51"/>
    <w:multiLevelType w:val="multilevel"/>
    <w:tmpl w:val="192293BE"/>
    <w:lvl w:ilvl="0">
      <w:start w:val="1"/>
      <w:numFmt w:val="decimal"/>
      <w:pStyle w:val="Styl5"/>
      <w:lvlText w:val="%1."/>
      <w:lvlJc w:val="left"/>
      <w:pPr>
        <w:tabs>
          <w:tab w:val="num" w:pos="720"/>
        </w:tabs>
        <w:ind w:left="720" w:hanging="360"/>
      </w:pPr>
      <w:rPr>
        <w:rFonts w:ascii="Arial" w:hAnsi="Arial" w:cs="Arial" w:hint="default"/>
        <w:b/>
        <w:sz w:val="24"/>
        <w:szCs w:val="24"/>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2"/>
  </w:num>
  <w:num w:numId="4">
    <w:abstractNumId w:val="13"/>
  </w:num>
  <w:num w:numId="5">
    <w:abstractNumId w:val="9"/>
  </w:num>
  <w:num w:numId="6">
    <w:abstractNumId w:val="14"/>
  </w:num>
  <w:num w:numId="7">
    <w:abstractNumId w:val="10"/>
  </w:num>
  <w:num w:numId="8">
    <w:abstractNumId w:val="8"/>
  </w:num>
  <w:num w:numId="9">
    <w:abstractNumId w:val="13"/>
  </w:num>
  <w:num w:numId="10">
    <w:abstractNumId w:val="13"/>
  </w:num>
  <w:num w:numId="11">
    <w:abstractNumId w:val="1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7A6"/>
    <w:rsid w:val="00042FD6"/>
    <w:rsid w:val="00180492"/>
    <w:rsid w:val="002029E1"/>
    <w:rsid w:val="002069DD"/>
    <w:rsid w:val="002C1E42"/>
    <w:rsid w:val="002F0358"/>
    <w:rsid w:val="002F1908"/>
    <w:rsid w:val="003A2805"/>
    <w:rsid w:val="004B57A6"/>
    <w:rsid w:val="00582D77"/>
    <w:rsid w:val="00596B78"/>
    <w:rsid w:val="005D0F42"/>
    <w:rsid w:val="00610806"/>
    <w:rsid w:val="006C3DF9"/>
    <w:rsid w:val="006F2F6D"/>
    <w:rsid w:val="007A66A1"/>
    <w:rsid w:val="00841986"/>
    <w:rsid w:val="008E6207"/>
    <w:rsid w:val="00953DB6"/>
    <w:rsid w:val="009657DC"/>
    <w:rsid w:val="009C5C7C"/>
    <w:rsid w:val="00B535EB"/>
    <w:rsid w:val="00B9023F"/>
    <w:rsid w:val="00B91C0D"/>
    <w:rsid w:val="00BA7F90"/>
    <w:rsid w:val="00BC26C5"/>
    <w:rsid w:val="00BE69E7"/>
    <w:rsid w:val="00BF1615"/>
    <w:rsid w:val="00BF794C"/>
    <w:rsid w:val="00D336D9"/>
    <w:rsid w:val="00DB5E82"/>
    <w:rsid w:val="00E15EB6"/>
    <w:rsid w:val="00EA3D50"/>
    <w:rsid w:val="00FE7A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9F816-C25F-4FED-AD82-9AD0FEC09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32</Pages>
  <Words>12953</Words>
  <Characters>76425</Characters>
  <Application>Microsoft Office Word</Application>
  <DocSecurity>0</DocSecurity>
  <Lines>636</Lines>
  <Paragraphs>178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Roman Hlaváč</cp:lastModifiedBy>
  <cp:revision>8</cp:revision>
  <cp:lastPrinted>2019-06-27T05:25:00Z</cp:lastPrinted>
  <dcterms:created xsi:type="dcterms:W3CDTF">2019-06-19T14:31:00Z</dcterms:created>
  <dcterms:modified xsi:type="dcterms:W3CDTF">2020-02-20T13:34:00Z</dcterms:modified>
</cp:coreProperties>
</file>