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2882" w14:textId="1C22B35E" w:rsidR="008207D7" w:rsidRPr="00D435B1" w:rsidRDefault="008207D7" w:rsidP="00172FB8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9534D9">
        <w:rPr>
          <w:rStyle w:val="NzevChar"/>
        </w:rPr>
        <w:t>Dodávka a implementace XDR nástroje</w:t>
      </w:r>
      <w:r w:rsidRPr="008207D7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8207D7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35B1">
        <w:rPr>
          <w:rFonts w:eastAsia="Times New Roman" w:cstheme="minorHAnsi"/>
          <w:b/>
          <w:bCs/>
          <w:lang w:eastAsia="cs-CZ"/>
        </w:rPr>
        <w:t>Účel dokumentu:</w:t>
      </w:r>
      <w:r w:rsidRPr="00D435B1">
        <w:rPr>
          <w:rFonts w:eastAsia="Times New Roman" w:cstheme="minorHAnsi"/>
          <w:lang w:eastAsia="cs-CZ"/>
        </w:rPr>
        <w:t xml:space="preserve"> Tento dokument</w:t>
      </w:r>
      <w:bookmarkStart w:id="0" w:name="_GoBack"/>
      <w:bookmarkEnd w:id="0"/>
      <w:r w:rsidRPr="00D435B1">
        <w:rPr>
          <w:rFonts w:eastAsia="Times New Roman" w:cstheme="minorHAnsi"/>
          <w:lang w:eastAsia="cs-CZ"/>
        </w:rPr>
        <w:t xml:space="preserve"> specifikuje minimální technické </w:t>
      </w:r>
      <w:r w:rsidR="004F72CA">
        <w:rPr>
          <w:rFonts w:eastAsia="Times New Roman" w:cstheme="minorHAnsi"/>
          <w:lang w:eastAsia="cs-CZ"/>
        </w:rPr>
        <w:t xml:space="preserve">a další </w:t>
      </w:r>
      <w:r w:rsidRPr="00D435B1">
        <w:rPr>
          <w:rFonts w:eastAsia="Times New Roman" w:cstheme="minorHAnsi"/>
          <w:lang w:eastAsia="cs-CZ"/>
        </w:rPr>
        <w:t>požadavky na dodávku, implementaci a podporu systému Extended Detection and Response (XDR) pro zajištění kybernetické bezpečnosti Českého rozhlasu</w:t>
      </w:r>
      <w:r w:rsidR="00172FB8">
        <w:rPr>
          <w:rFonts w:eastAsia="Times New Roman" w:cstheme="minorHAnsi"/>
          <w:lang w:eastAsia="cs-CZ"/>
        </w:rPr>
        <w:t xml:space="preserve"> (v tomto dokumentu dále také jako „ČRo“ či „zadavatel“ či „objednatel“)</w:t>
      </w:r>
      <w:r w:rsidRPr="00D435B1">
        <w:rPr>
          <w:rFonts w:eastAsia="Times New Roman" w:cstheme="minorHAnsi"/>
          <w:lang w:eastAsia="cs-CZ"/>
        </w:rPr>
        <w:t>.</w:t>
      </w:r>
    </w:p>
    <w:p w14:paraId="6D3D6061" w14:textId="782280E4" w:rsidR="008207D7" w:rsidRPr="00660CC4" w:rsidRDefault="008207D7" w:rsidP="00660CC4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lang w:eastAsia="cs-CZ"/>
        </w:rPr>
      </w:pPr>
      <w:r w:rsidRPr="00660CC4">
        <w:rPr>
          <w:rFonts w:eastAsia="Times New Roman" w:cstheme="minorHAnsi"/>
          <w:b/>
          <w:bCs/>
          <w:lang w:eastAsia="cs-CZ"/>
        </w:rPr>
        <w:t>Úvodní informace</w:t>
      </w:r>
    </w:p>
    <w:p w14:paraId="2F162860" w14:textId="2376F377" w:rsidR="00843150" w:rsidRPr="00660CC4" w:rsidRDefault="008207D7" w:rsidP="00660CC4">
      <w:pPr>
        <w:pStyle w:val="Odstavecseseznamem"/>
        <w:numPr>
          <w:ilvl w:val="1"/>
          <w:numId w:val="11"/>
        </w:numPr>
        <w:spacing w:after="0" w:line="240" w:lineRule="auto"/>
        <w:jc w:val="both"/>
        <w:rPr>
          <w:rFonts w:eastAsia="Times New Roman" w:cstheme="minorHAnsi"/>
          <w:b/>
          <w:bCs/>
          <w:lang w:eastAsia="cs-CZ"/>
        </w:rPr>
      </w:pPr>
      <w:r w:rsidRPr="00660CC4">
        <w:rPr>
          <w:rFonts w:eastAsia="Times New Roman" w:cstheme="minorHAnsi"/>
          <w:b/>
          <w:bCs/>
          <w:lang w:eastAsia="cs-CZ"/>
        </w:rPr>
        <w:t>Cíl zakázky</w:t>
      </w:r>
    </w:p>
    <w:p w14:paraId="3D517F25" w14:textId="3EFEFC9F" w:rsidR="008207D7" w:rsidRDefault="008207D7" w:rsidP="00E3742A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D435B1">
        <w:rPr>
          <w:rFonts w:eastAsia="Times New Roman" w:cstheme="minorHAnsi"/>
          <w:lang w:eastAsia="cs-CZ"/>
        </w:rPr>
        <w:t xml:space="preserve">Předmětem veřejné zakázky je pořízení, implementace a </w:t>
      </w:r>
      <w:r w:rsidR="004F72CA">
        <w:rPr>
          <w:rFonts w:eastAsia="Times New Roman" w:cstheme="minorHAnsi"/>
          <w:lang w:eastAsia="cs-CZ"/>
        </w:rPr>
        <w:t xml:space="preserve">zajištění následné </w:t>
      </w:r>
      <w:r w:rsidR="004F72CA" w:rsidRPr="00D435B1">
        <w:rPr>
          <w:rFonts w:eastAsia="Times New Roman" w:cstheme="minorHAnsi"/>
          <w:lang w:eastAsia="cs-CZ"/>
        </w:rPr>
        <w:t>podpor</w:t>
      </w:r>
      <w:r w:rsidR="004F72CA">
        <w:rPr>
          <w:rFonts w:eastAsia="Times New Roman" w:cstheme="minorHAnsi"/>
          <w:lang w:eastAsia="cs-CZ"/>
        </w:rPr>
        <w:t>y</w:t>
      </w:r>
      <w:r w:rsidR="004F72CA" w:rsidRPr="00D435B1">
        <w:rPr>
          <w:rFonts w:eastAsia="Times New Roman" w:cstheme="minorHAnsi"/>
          <w:lang w:eastAsia="cs-CZ"/>
        </w:rPr>
        <w:t xml:space="preserve"> </w:t>
      </w:r>
      <w:r w:rsidRPr="00D435B1">
        <w:rPr>
          <w:rFonts w:eastAsia="Times New Roman" w:cstheme="minorHAnsi"/>
          <w:lang w:eastAsia="cs-CZ"/>
        </w:rPr>
        <w:t xml:space="preserve">XDR nástroje, který zajistí automatizovanou detekci, analýzu a </w:t>
      </w:r>
      <w:r w:rsidR="004F72CA">
        <w:rPr>
          <w:rFonts w:eastAsia="Times New Roman" w:cstheme="minorHAnsi"/>
          <w:lang w:eastAsia="cs-CZ"/>
        </w:rPr>
        <w:t xml:space="preserve">odpovídající </w:t>
      </w:r>
      <w:r w:rsidRPr="00D435B1">
        <w:rPr>
          <w:rFonts w:eastAsia="Times New Roman" w:cstheme="minorHAnsi"/>
          <w:lang w:eastAsia="cs-CZ"/>
        </w:rPr>
        <w:t xml:space="preserve">reakci na bezpečnostní incidenty v síťovém prostředí a na koncových zařízeních zadavatele. </w:t>
      </w:r>
      <w:r w:rsidR="004F72CA">
        <w:rPr>
          <w:rFonts w:eastAsia="Times New Roman" w:cstheme="minorHAnsi"/>
          <w:lang w:eastAsia="cs-CZ"/>
        </w:rPr>
        <w:t>Dodávaný s</w:t>
      </w:r>
      <w:r w:rsidR="004F72CA" w:rsidRPr="00D435B1">
        <w:rPr>
          <w:rFonts w:eastAsia="Times New Roman" w:cstheme="minorHAnsi"/>
          <w:lang w:eastAsia="cs-CZ"/>
        </w:rPr>
        <w:t xml:space="preserve">ystém </w:t>
      </w:r>
      <w:r w:rsidRPr="00D435B1">
        <w:rPr>
          <w:rFonts w:eastAsia="Times New Roman" w:cstheme="minorHAnsi"/>
          <w:lang w:eastAsia="cs-CZ"/>
        </w:rPr>
        <w:t xml:space="preserve">musí </w:t>
      </w:r>
      <w:r w:rsidR="00413672">
        <w:rPr>
          <w:rFonts w:eastAsia="Times New Roman" w:cstheme="minorHAnsi"/>
          <w:lang w:eastAsia="cs-CZ"/>
        </w:rPr>
        <w:t>umožňovat</w:t>
      </w:r>
      <w:r w:rsidRPr="00D435B1">
        <w:rPr>
          <w:rFonts w:eastAsia="Times New Roman" w:cstheme="minorHAnsi"/>
          <w:lang w:eastAsia="cs-CZ"/>
        </w:rPr>
        <w:t xml:space="preserve"> integr</w:t>
      </w:r>
      <w:r w:rsidR="00413672">
        <w:rPr>
          <w:rFonts w:eastAsia="Times New Roman" w:cstheme="minorHAnsi"/>
          <w:lang w:eastAsia="cs-CZ"/>
        </w:rPr>
        <w:t>aci</w:t>
      </w:r>
      <w:r w:rsidRPr="00D435B1">
        <w:rPr>
          <w:rFonts w:eastAsia="Times New Roman" w:cstheme="minorHAnsi"/>
          <w:lang w:eastAsia="cs-CZ"/>
        </w:rPr>
        <w:t xml:space="preserve"> dat z různých zdrojů (koncové body, síť, cloudové služby</w:t>
      </w:r>
      <w:r w:rsidR="00413672">
        <w:rPr>
          <w:rFonts w:eastAsia="Times New Roman" w:cstheme="minorHAnsi"/>
          <w:lang w:eastAsia="cs-CZ"/>
        </w:rPr>
        <w:t xml:space="preserve"> atd.</w:t>
      </w:r>
      <w:r w:rsidRPr="00D435B1">
        <w:rPr>
          <w:rFonts w:eastAsia="Times New Roman" w:cstheme="minorHAnsi"/>
          <w:lang w:eastAsia="cs-CZ"/>
        </w:rPr>
        <w:t>) a poskytovat komplexní přehled o bezpečnostních hrozbách</w:t>
      </w:r>
      <w:r w:rsidR="00413672">
        <w:rPr>
          <w:rFonts w:eastAsia="Times New Roman" w:cstheme="minorHAnsi"/>
          <w:lang w:eastAsia="cs-CZ"/>
        </w:rPr>
        <w:t xml:space="preserve"> a incidentech v prostředí </w:t>
      </w:r>
      <w:r w:rsidR="00172FB8">
        <w:rPr>
          <w:rFonts w:eastAsia="Times New Roman" w:cstheme="minorHAnsi"/>
          <w:lang w:eastAsia="cs-CZ"/>
        </w:rPr>
        <w:t>o</w:t>
      </w:r>
      <w:r w:rsidR="00413672">
        <w:rPr>
          <w:rFonts w:eastAsia="Times New Roman" w:cstheme="minorHAnsi"/>
          <w:lang w:eastAsia="cs-CZ"/>
        </w:rPr>
        <w:t>bjednatele</w:t>
      </w:r>
      <w:r w:rsidRPr="00D435B1">
        <w:rPr>
          <w:rFonts w:eastAsia="Times New Roman" w:cstheme="minorHAnsi"/>
          <w:lang w:eastAsia="cs-CZ"/>
        </w:rPr>
        <w:t>.</w:t>
      </w:r>
    </w:p>
    <w:p w14:paraId="06764002" w14:textId="01824F0B" w:rsidR="000B0730" w:rsidRDefault="000B0730" w:rsidP="00E3742A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7F1F02F4" w14:textId="5BA42927" w:rsidR="000B0730" w:rsidRPr="00667A4D" w:rsidRDefault="000B0730" w:rsidP="00667A4D">
      <w:pPr>
        <w:pStyle w:val="Odstavecseseznamem"/>
        <w:numPr>
          <w:ilvl w:val="1"/>
          <w:numId w:val="11"/>
        </w:numPr>
        <w:spacing w:after="0" w:line="240" w:lineRule="auto"/>
        <w:jc w:val="both"/>
        <w:rPr>
          <w:rFonts w:eastAsia="Times New Roman" w:cstheme="minorHAnsi"/>
          <w:b/>
          <w:bCs/>
          <w:lang w:eastAsia="cs-CZ"/>
        </w:rPr>
      </w:pPr>
      <w:r w:rsidRPr="00667A4D">
        <w:rPr>
          <w:rFonts w:eastAsia="Times New Roman" w:cstheme="minorHAnsi"/>
          <w:b/>
          <w:bCs/>
          <w:lang w:eastAsia="cs-CZ"/>
        </w:rPr>
        <w:t>Popis stávajícího řešení.</w:t>
      </w:r>
    </w:p>
    <w:p w14:paraId="7B4642A5" w14:textId="2DAFFB44" w:rsidR="00416334" w:rsidRDefault="000B0730" w:rsidP="000B0730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 současnosti je </w:t>
      </w:r>
      <w:r w:rsidR="00D8283A">
        <w:rPr>
          <w:rFonts w:eastAsia="Times New Roman" w:cstheme="minorHAnsi"/>
          <w:lang w:eastAsia="cs-CZ"/>
        </w:rPr>
        <w:t xml:space="preserve">pro zajištění kybernetické bezpečnosti </w:t>
      </w:r>
      <w:r>
        <w:rPr>
          <w:rFonts w:eastAsia="Times New Roman" w:cstheme="minorHAnsi"/>
          <w:lang w:eastAsia="cs-CZ"/>
        </w:rPr>
        <w:t xml:space="preserve">v ČRo </w:t>
      </w:r>
      <w:r w:rsidR="00D8283A">
        <w:rPr>
          <w:rFonts w:eastAsia="Times New Roman" w:cstheme="minorHAnsi"/>
          <w:lang w:eastAsia="cs-CZ"/>
        </w:rPr>
        <w:t>k</w:t>
      </w:r>
      <w:r w:rsidR="00416334">
        <w:rPr>
          <w:rFonts w:eastAsia="Times New Roman" w:cstheme="minorHAnsi"/>
          <w:lang w:eastAsia="cs-CZ"/>
        </w:rPr>
        <w:t xml:space="preserve"> detekci a reakci </w:t>
      </w:r>
      <w:r w:rsidR="00D8283A">
        <w:rPr>
          <w:rFonts w:eastAsia="Times New Roman" w:cstheme="minorHAnsi"/>
          <w:lang w:eastAsia="cs-CZ"/>
        </w:rPr>
        <w:t xml:space="preserve">na </w:t>
      </w:r>
      <w:r w:rsidR="00A028C3">
        <w:rPr>
          <w:rFonts w:eastAsia="Times New Roman" w:cstheme="minorHAnsi"/>
          <w:lang w:eastAsia="cs-CZ"/>
        </w:rPr>
        <w:t xml:space="preserve">kybernetické hrozby </w:t>
      </w:r>
      <w:r w:rsidR="00416334">
        <w:rPr>
          <w:rFonts w:eastAsia="Times New Roman" w:cstheme="minorHAnsi"/>
          <w:lang w:eastAsia="cs-CZ"/>
        </w:rPr>
        <w:t>na koncových bodech</w:t>
      </w:r>
      <w:r w:rsidR="00D8283A">
        <w:rPr>
          <w:rFonts w:eastAsia="Times New Roman" w:cstheme="minorHAnsi"/>
          <w:lang w:eastAsia="cs-CZ"/>
        </w:rPr>
        <w:t xml:space="preserve"> nasazeno řešení</w:t>
      </w:r>
      <w:r w:rsidR="00416334">
        <w:rPr>
          <w:rFonts w:eastAsia="Times New Roman" w:cstheme="minorHAnsi"/>
          <w:lang w:eastAsia="cs-CZ"/>
        </w:rPr>
        <w:t xml:space="preserve"> Cortex</w:t>
      </w:r>
      <w:r>
        <w:rPr>
          <w:rFonts w:eastAsia="Times New Roman" w:cstheme="minorHAnsi"/>
          <w:lang w:eastAsia="cs-CZ"/>
        </w:rPr>
        <w:t xml:space="preserve"> XDR </w:t>
      </w:r>
      <w:r w:rsidR="00416334">
        <w:rPr>
          <w:rFonts w:eastAsia="Times New Roman" w:cstheme="minorHAnsi"/>
          <w:lang w:eastAsia="cs-CZ"/>
        </w:rPr>
        <w:t>Pro od výrobce Palo Alto Networks. Toto řešení je nasazeno přibližně n</w:t>
      </w:r>
      <w:r>
        <w:rPr>
          <w:rFonts w:eastAsia="Times New Roman" w:cstheme="minorHAnsi"/>
          <w:lang w:eastAsia="cs-CZ"/>
        </w:rPr>
        <w:t>a cca 2100ks koncových pracovních stanic</w:t>
      </w:r>
      <w:r w:rsidR="00416334">
        <w:rPr>
          <w:rFonts w:eastAsia="Times New Roman" w:cstheme="minorHAnsi"/>
          <w:lang w:eastAsia="cs-CZ"/>
        </w:rPr>
        <w:t>ích</w:t>
      </w:r>
      <w:r>
        <w:rPr>
          <w:rFonts w:eastAsia="Times New Roman" w:cstheme="minorHAnsi"/>
          <w:lang w:eastAsia="cs-CZ"/>
        </w:rPr>
        <w:t xml:space="preserve"> v prevenčním režimu</w:t>
      </w:r>
      <w:r w:rsidR="00416334">
        <w:rPr>
          <w:rFonts w:eastAsia="Times New Roman" w:cstheme="minorHAnsi"/>
          <w:lang w:eastAsia="cs-CZ"/>
        </w:rPr>
        <w:t xml:space="preserve">, přičemž se jedná převážně o stanice s operačním systémem Microsoft </w:t>
      </w:r>
      <w:r>
        <w:rPr>
          <w:rFonts w:eastAsia="Times New Roman" w:cstheme="minorHAnsi"/>
          <w:lang w:eastAsia="cs-CZ"/>
        </w:rPr>
        <w:t>Windows</w:t>
      </w:r>
      <w:r w:rsidR="00FA06B7">
        <w:rPr>
          <w:rFonts w:eastAsia="Times New Roman" w:cstheme="minorHAnsi"/>
          <w:lang w:eastAsia="cs-CZ"/>
        </w:rPr>
        <w:t xml:space="preserve"> a</w:t>
      </w:r>
      <w:r>
        <w:rPr>
          <w:rFonts w:eastAsia="Times New Roman" w:cstheme="minorHAnsi"/>
          <w:lang w:eastAsia="cs-CZ"/>
        </w:rPr>
        <w:t xml:space="preserve"> MacOS</w:t>
      </w:r>
      <w:r w:rsidR="00416334">
        <w:rPr>
          <w:rFonts w:eastAsia="Times New Roman" w:cstheme="minorHAnsi"/>
          <w:lang w:eastAsia="cs-CZ"/>
        </w:rPr>
        <w:t>.</w:t>
      </w:r>
      <w:r>
        <w:rPr>
          <w:rFonts w:eastAsia="Times New Roman" w:cstheme="minorHAnsi"/>
          <w:lang w:eastAsia="cs-CZ"/>
        </w:rPr>
        <w:t xml:space="preserve"> </w:t>
      </w:r>
      <w:r w:rsidR="00416334">
        <w:rPr>
          <w:rFonts w:eastAsia="Times New Roman" w:cstheme="minorHAnsi"/>
          <w:lang w:eastAsia="cs-CZ"/>
        </w:rPr>
        <w:t xml:space="preserve">Cortex XDR Pro je provozován bez dalších rozšiřujících modulů. </w:t>
      </w:r>
      <w:r w:rsidR="00D8283A">
        <w:rPr>
          <w:rFonts w:eastAsia="Times New Roman" w:cstheme="minorHAnsi"/>
          <w:lang w:eastAsia="cs-CZ"/>
        </w:rPr>
        <w:t>Ke</w:t>
      </w:r>
      <w:r w:rsidR="00FA06B7">
        <w:rPr>
          <w:rFonts w:eastAsia="Times New Roman" w:cstheme="minorHAnsi"/>
          <w:lang w:eastAsia="cs-CZ"/>
        </w:rPr>
        <w:t xml:space="preserve"> správě stávajícího řešení a k řešení incidentů</w:t>
      </w:r>
      <w:r w:rsidR="00D8283A">
        <w:rPr>
          <w:rFonts w:eastAsia="Times New Roman" w:cstheme="minorHAnsi"/>
          <w:lang w:eastAsia="cs-CZ"/>
        </w:rPr>
        <w:t xml:space="preserve"> je proškolen interní tým zaměstnanců</w:t>
      </w:r>
      <w:r w:rsidR="00172FB8">
        <w:rPr>
          <w:rFonts w:eastAsia="Times New Roman" w:cstheme="minorHAnsi"/>
          <w:lang w:eastAsia="cs-CZ"/>
        </w:rPr>
        <w:t xml:space="preserve"> zadavatele</w:t>
      </w:r>
      <w:r w:rsidR="00B33932">
        <w:rPr>
          <w:rFonts w:eastAsia="Times New Roman" w:cstheme="minorHAnsi"/>
          <w:lang w:eastAsia="cs-CZ"/>
        </w:rPr>
        <w:t>.</w:t>
      </w:r>
    </w:p>
    <w:p w14:paraId="1F69E9F1" w14:textId="77777777" w:rsidR="00D8283A" w:rsidRDefault="00D8283A" w:rsidP="000B0730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11492835" w14:textId="1BBADEEA" w:rsidR="00416334" w:rsidRDefault="00416334" w:rsidP="000B0730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V rámci stávajícího nasazení jsou využívány zejména funkce pro:</w:t>
      </w:r>
    </w:p>
    <w:p w14:paraId="6823B6D7" w14:textId="77777777" w:rsidR="00416334" w:rsidRDefault="00416334" w:rsidP="00416334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Detekci hrozeb na základě chování uživatele a zařízení,</w:t>
      </w:r>
    </w:p>
    <w:p w14:paraId="48D4978A" w14:textId="6B068455" w:rsidR="00416334" w:rsidRDefault="00416334" w:rsidP="00416334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Forenzní analýzu incidentů,</w:t>
      </w:r>
    </w:p>
    <w:p w14:paraId="45E5C5B8" w14:textId="4F4DB020" w:rsidR="00416334" w:rsidRDefault="00416334" w:rsidP="00416334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Automatickou reakci na vybrané události,</w:t>
      </w:r>
    </w:p>
    <w:p w14:paraId="5DED8286" w14:textId="076D6395" w:rsidR="00416334" w:rsidRDefault="00416334" w:rsidP="00416334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Správu politik pro endpoint ochranu a detekci</w:t>
      </w:r>
      <w:r w:rsidR="00492AD6">
        <w:rPr>
          <w:rFonts w:eastAsia="Times New Roman" w:cstheme="minorHAnsi"/>
          <w:lang w:eastAsia="cs-CZ"/>
        </w:rPr>
        <w:t>.</w:t>
      </w:r>
    </w:p>
    <w:p w14:paraId="6EDCC69D" w14:textId="77777777" w:rsidR="00D8283A" w:rsidRDefault="00D8283A" w:rsidP="00416334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06F2F0D3" w14:textId="163313D4" w:rsidR="000B0730" w:rsidRPr="00667A4D" w:rsidRDefault="00492AD6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Stávající řešení je integrováno s interním systémem identity (Active Directory, dále pouze jako </w:t>
      </w:r>
      <w:r w:rsidR="00172FB8">
        <w:rPr>
          <w:rFonts w:eastAsia="Times New Roman" w:cstheme="minorHAnsi"/>
          <w:lang w:eastAsia="cs-CZ"/>
        </w:rPr>
        <w:t>„</w:t>
      </w:r>
      <w:r>
        <w:rPr>
          <w:rFonts w:eastAsia="Times New Roman" w:cstheme="minorHAnsi"/>
          <w:lang w:eastAsia="cs-CZ"/>
        </w:rPr>
        <w:t>AD</w:t>
      </w:r>
      <w:r w:rsidR="00172FB8">
        <w:rPr>
          <w:rFonts w:eastAsia="Times New Roman" w:cstheme="minorHAnsi"/>
          <w:lang w:eastAsia="cs-CZ"/>
        </w:rPr>
        <w:t>“</w:t>
      </w:r>
      <w:r>
        <w:rPr>
          <w:rFonts w:eastAsia="Times New Roman" w:cstheme="minorHAnsi"/>
          <w:lang w:eastAsia="cs-CZ"/>
        </w:rPr>
        <w:t xml:space="preserve">) a je připraven pro rozšířenou integraci </w:t>
      </w:r>
      <w:r w:rsidR="00D8283A">
        <w:rPr>
          <w:rFonts w:eastAsia="Times New Roman" w:cstheme="minorHAnsi"/>
          <w:lang w:eastAsia="cs-CZ"/>
        </w:rPr>
        <w:t>s</w:t>
      </w:r>
      <w:r w:rsidR="00172FB8">
        <w:rPr>
          <w:rFonts w:eastAsia="Times New Roman" w:cstheme="minorHAnsi"/>
          <w:lang w:eastAsia="cs-CZ"/>
        </w:rPr>
        <w:t>e</w:t>
      </w:r>
      <w:r>
        <w:rPr>
          <w:rFonts w:eastAsia="Times New Roman" w:cstheme="minorHAnsi"/>
          <w:lang w:eastAsia="cs-CZ"/>
        </w:rPr>
        <w:t xml:space="preserve"> síťov</w:t>
      </w:r>
      <w:r w:rsidR="00D8283A">
        <w:rPr>
          <w:rFonts w:eastAsia="Times New Roman" w:cstheme="minorHAnsi"/>
          <w:lang w:eastAsia="cs-CZ"/>
        </w:rPr>
        <w:t>ými</w:t>
      </w:r>
      <w:r>
        <w:rPr>
          <w:rFonts w:eastAsia="Times New Roman" w:cstheme="minorHAnsi"/>
          <w:lang w:eastAsia="cs-CZ"/>
        </w:rPr>
        <w:t xml:space="preserve"> prvky a systém</w:t>
      </w:r>
      <w:r w:rsidR="00D8283A">
        <w:rPr>
          <w:rFonts w:eastAsia="Times New Roman" w:cstheme="minorHAnsi"/>
          <w:lang w:eastAsia="cs-CZ"/>
        </w:rPr>
        <w:t>em</w:t>
      </w:r>
      <w:r>
        <w:rPr>
          <w:rFonts w:eastAsia="Times New Roman" w:cstheme="minorHAnsi"/>
          <w:lang w:eastAsia="cs-CZ"/>
        </w:rPr>
        <w:t xml:space="preserve"> SIEM. V prostředí jsou rovněž provozovány firewally Palo Alto Networks, jejich</w:t>
      </w:r>
      <w:r w:rsidR="00172FB8">
        <w:rPr>
          <w:rFonts w:eastAsia="Times New Roman" w:cstheme="minorHAnsi"/>
          <w:lang w:eastAsia="cs-CZ"/>
        </w:rPr>
        <w:t>ž</w:t>
      </w:r>
      <w:r>
        <w:rPr>
          <w:rFonts w:eastAsia="Times New Roman" w:cstheme="minorHAnsi"/>
          <w:lang w:eastAsia="cs-CZ"/>
        </w:rPr>
        <w:t xml:space="preserve"> logy nejsou zatím do XDR připojeny. </w:t>
      </w:r>
      <w:r w:rsidR="00FA06B7" w:rsidRPr="00667A4D">
        <w:rPr>
          <w:rFonts w:eastAsia="Times New Roman" w:cstheme="minorHAnsi"/>
          <w:lang w:eastAsia="cs-CZ"/>
        </w:rPr>
        <w:t>Jsou</w:t>
      </w:r>
      <w:r w:rsidR="00B33932" w:rsidRPr="00667A4D">
        <w:rPr>
          <w:rFonts w:eastAsia="Times New Roman" w:cstheme="minorHAnsi"/>
          <w:lang w:eastAsia="cs-CZ"/>
        </w:rPr>
        <w:t xml:space="preserve"> nastavené bezpečnostní politiky pro zabezpečení prostředí ČRo. </w:t>
      </w:r>
      <w:r w:rsidR="00FA06B7" w:rsidRPr="00667A4D">
        <w:rPr>
          <w:rFonts w:eastAsia="Times New Roman" w:cstheme="minorHAnsi"/>
          <w:lang w:eastAsia="cs-CZ"/>
        </w:rPr>
        <w:t>Jsou a</w:t>
      </w:r>
      <w:r w:rsidR="00B33932" w:rsidRPr="00667A4D">
        <w:rPr>
          <w:rFonts w:eastAsia="Times New Roman" w:cstheme="minorHAnsi"/>
          <w:lang w:eastAsia="cs-CZ"/>
        </w:rPr>
        <w:t xml:space="preserve">plikované výjimky pro zachování funkcionalit </w:t>
      </w:r>
      <w:r w:rsidR="00416334">
        <w:rPr>
          <w:rFonts w:eastAsia="Times New Roman" w:cstheme="minorHAnsi"/>
          <w:lang w:eastAsia="cs-CZ"/>
        </w:rPr>
        <w:t>definovaných</w:t>
      </w:r>
      <w:r w:rsidR="00B33932" w:rsidRPr="00667A4D">
        <w:rPr>
          <w:rFonts w:eastAsia="Times New Roman" w:cstheme="minorHAnsi"/>
          <w:lang w:eastAsia="cs-CZ"/>
        </w:rPr>
        <w:t xml:space="preserve"> SW</w:t>
      </w:r>
      <w:r w:rsidR="00FA06B7" w:rsidRPr="00667A4D">
        <w:rPr>
          <w:rFonts w:eastAsia="Times New Roman" w:cstheme="minorHAnsi"/>
          <w:lang w:eastAsia="cs-CZ"/>
        </w:rPr>
        <w:t xml:space="preserve">, </w:t>
      </w:r>
      <w:r w:rsidR="00416334">
        <w:rPr>
          <w:rFonts w:eastAsia="Times New Roman" w:cstheme="minorHAnsi"/>
          <w:lang w:eastAsia="cs-CZ"/>
        </w:rPr>
        <w:t xml:space="preserve">tyto výjimky </w:t>
      </w:r>
      <w:r w:rsidR="00FA06B7" w:rsidRPr="00667A4D">
        <w:rPr>
          <w:rFonts w:eastAsia="Times New Roman" w:cstheme="minorHAnsi"/>
          <w:lang w:eastAsia="cs-CZ"/>
        </w:rPr>
        <w:t>jsou specifikované několika parametry. Distribuce agentů je v současné chvíli řešena přes nástroj System Center</w:t>
      </w:r>
      <w:r>
        <w:rPr>
          <w:rFonts w:eastAsia="Times New Roman" w:cstheme="minorHAnsi"/>
          <w:lang w:eastAsia="cs-CZ"/>
        </w:rPr>
        <w:t xml:space="preserve"> Configuration Manager od </w:t>
      </w:r>
      <w:r w:rsidR="00172FB8">
        <w:rPr>
          <w:rFonts w:eastAsia="Times New Roman" w:cstheme="minorHAnsi"/>
          <w:lang w:eastAsia="cs-CZ"/>
        </w:rPr>
        <w:t xml:space="preserve">výrobce </w:t>
      </w:r>
      <w:r>
        <w:rPr>
          <w:rFonts w:eastAsia="Times New Roman" w:cstheme="minorHAnsi"/>
          <w:lang w:eastAsia="cs-CZ"/>
        </w:rPr>
        <w:t>Microsoft</w:t>
      </w:r>
      <w:r w:rsidR="00FA06B7" w:rsidRPr="00667A4D">
        <w:rPr>
          <w:rFonts w:eastAsia="Times New Roman" w:cstheme="minorHAnsi"/>
          <w:lang w:eastAsia="cs-CZ"/>
        </w:rPr>
        <w:t xml:space="preserve"> v kombinaci s doménovými politikami a skupinami na AD.</w:t>
      </w:r>
    </w:p>
    <w:p w14:paraId="3DCE94F5" w14:textId="5D2D0436" w:rsidR="008207D7" w:rsidRPr="00660CC4" w:rsidRDefault="008207D7" w:rsidP="00660CC4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660CC4">
        <w:rPr>
          <w:rFonts w:eastAsia="Times New Roman" w:cstheme="minorHAnsi"/>
          <w:b/>
          <w:bCs/>
          <w:lang w:eastAsia="cs-CZ"/>
        </w:rPr>
        <w:t>Rozsah plnění</w:t>
      </w:r>
    </w:p>
    <w:p w14:paraId="4BEE0C32" w14:textId="22BB0240" w:rsidR="008207D7" w:rsidRPr="00D435B1" w:rsidRDefault="008207D7" w:rsidP="00E3742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D435B1">
        <w:rPr>
          <w:rFonts w:eastAsia="Times New Roman" w:cstheme="minorHAnsi"/>
          <w:lang w:eastAsia="cs-CZ"/>
        </w:rPr>
        <w:t xml:space="preserve">Dodávka softwaru XDR </w:t>
      </w:r>
      <w:r w:rsidR="004F72CA">
        <w:rPr>
          <w:rFonts w:eastAsia="Times New Roman" w:cstheme="minorHAnsi"/>
          <w:lang w:eastAsia="cs-CZ"/>
        </w:rPr>
        <w:t xml:space="preserve">splňující požadavky zadavatele </w:t>
      </w:r>
      <w:r w:rsidRPr="00D435B1">
        <w:rPr>
          <w:rFonts w:eastAsia="Times New Roman" w:cstheme="minorHAnsi"/>
          <w:lang w:eastAsia="cs-CZ"/>
        </w:rPr>
        <w:t>včetně</w:t>
      </w:r>
      <w:r w:rsidR="00C84AC3">
        <w:rPr>
          <w:rFonts w:eastAsia="Times New Roman" w:cstheme="minorHAnsi"/>
          <w:lang w:eastAsia="cs-CZ"/>
        </w:rPr>
        <w:t xml:space="preserve"> zalicencování požadovaných funkcionalit</w:t>
      </w:r>
      <w:r w:rsidRPr="00D435B1">
        <w:rPr>
          <w:rFonts w:eastAsia="Times New Roman" w:cstheme="minorHAnsi"/>
          <w:lang w:eastAsia="cs-CZ"/>
        </w:rPr>
        <w:t xml:space="preserve"> </w:t>
      </w:r>
      <w:r w:rsidR="00172FB8">
        <w:rPr>
          <w:rFonts w:eastAsia="Times New Roman" w:cstheme="minorHAnsi"/>
          <w:lang w:eastAsia="cs-CZ"/>
        </w:rPr>
        <w:t xml:space="preserve">až </w:t>
      </w:r>
      <w:r w:rsidRPr="00D435B1">
        <w:rPr>
          <w:rFonts w:eastAsia="Times New Roman" w:cstheme="minorHAnsi"/>
          <w:lang w:eastAsia="cs-CZ"/>
        </w:rPr>
        <w:t>pro 2300 koncových stanic.</w:t>
      </w:r>
    </w:p>
    <w:p w14:paraId="47165E1B" w14:textId="042B4F7A" w:rsidR="008207D7" w:rsidRPr="00D435B1" w:rsidRDefault="008207D7" w:rsidP="00E3742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D435B1">
        <w:rPr>
          <w:rFonts w:eastAsia="Times New Roman" w:cstheme="minorHAnsi"/>
          <w:lang w:eastAsia="cs-CZ"/>
        </w:rPr>
        <w:t>Implementace systému do stávající IT infrastruktury zadavatele</w:t>
      </w:r>
      <w:r w:rsidR="004F72CA">
        <w:rPr>
          <w:rFonts w:eastAsia="Times New Roman" w:cstheme="minorHAnsi"/>
          <w:lang w:eastAsia="cs-CZ"/>
        </w:rPr>
        <w:t xml:space="preserve"> (k tomu viz požadavky na implementaci níže)</w:t>
      </w:r>
      <w:r w:rsidRPr="00D435B1">
        <w:rPr>
          <w:rFonts w:eastAsia="Times New Roman" w:cstheme="minorHAnsi"/>
          <w:lang w:eastAsia="cs-CZ"/>
        </w:rPr>
        <w:t>.</w:t>
      </w:r>
    </w:p>
    <w:p w14:paraId="16B42BAE" w14:textId="4F6CA8BA" w:rsidR="004F72CA" w:rsidRDefault="005678B2" w:rsidP="00E3742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Proš</w:t>
      </w:r>
      <w:r w:rsidR="008207D7" w:rsidRPr="00D435B1">
        <w:rPr>
          <w:rFonts w:eastAsia="Times New Roman" w:cstheme="minorHAnsi"/>
          <w:lang w:eastAsia="cs-CZ"/>
        </w:rPr>
        <w:t xml:space="preserve">kolení </w:t>
      </w:r>
      <w:r w:rsidR="00172FB8">
        <w:rPr>
          <w:rFonts w:eastAsia="Times New Roman" w:cstheme="minorHAnsi"/>
          <w:lang w:eastAsia="cs-CZ"/>
        </w:rPr>
        <w:t>dvou (</w:t>
      </w:r>
      <w:r w:rsidR="00CF5468" w:rsidRPr="00D435B1">
        <w:rPr>
          <w:rFonts w:eastAsia="Times New Roman" w:cstheme="minorHAnsi"/>
          <w:lang w:eastAsia="cs-CZ"/>
        </w:rPr>
        <w:t>2</w:t>
      </w:r>
      <w:r w:rsidR="00172FB8">
        <w:rPr>
          <w:rFonts w:eastAsia="Times New Roman" w:cstheme="minorHAnsi"/>
          <w:lang w:eastAsia="cs-CZ"/>
        </w:rPr>
        <w:t>)</w:t>
      </w:r>
      <w:r w:rsidR="00CF5468" w:rsidRPr="00D435B1">
        <w:rPr>
          <w:rFonts w:eastAsia="Times New Roman" w:cstheme="minorHAnsi"/>
          <w:lang w:eastAsia="cs-CZ"/>
        </w:rPr>
        <w:t xml:space="preserve"> </w:t>
      </w:r>
      <w:r w:rsidR="008207D7" w:rsidRPr="00D435B1">
        <w:rPr>
          <w:rFonts w:eastAsia="Times New Roman" w:cstheme="minorHAnsi"/>
          <w:lang w:eastAsia="cs-CZ"/>
        </w:rPr>
        <w:t xml:space="preserve">administrátorů </w:t>
      </w:r>
      <w:r>
        <w:rPr>
          <w:rFonts w:eastAsia="Times New Roman" w:cstheme="minorHAnsi"/>
          <w:lang w:eastAsia="cs-CZ"/>
        </w:rPr>
        <w:t>Objednatele k</w:t>
      </w:r>
      <w:r w:rsidR="00172FB8">
        <w:rPr>
          <w:rFonts w:eastAsia="Times New Roman" w:cstheme="minorHAnsi"/>
          <w:lang w:eastAsia="cs-CZ"/>
        </w:rPr>
        <w:t>e</w:t>
      </w:r>
      <w:r>
        <w:rPr>
          <w:rFonts w:eastAsia="Times New Roman" w:cstheme="minorHAnsi"/>
          <w:lang w:eastAsia="cs-CZ"/>
        </w:rPr>
        <w:t xml:space="preserve"> správě a používání nově dodaného řešení, a to minimálně </w:t>
      </w:r>
      <w:r w:rsidR="00CF5468" w:rsidRPr="00D435B1">
        <w:rPr>
          <w:rFonts w:eastAsia="Times New Roman" w:cstheme="minorHAnsi"/>
          <w:lang w:eastAsia="cs-CZ"/>
        </w:rPr>
        <w:t>v</w:t>
      </w:r>
      <w:r>
        <w:rPr>
          <w:rFonts w:eastAsia="Times New Roman" w:cstheme="minorHAnsi"/>
          <w:lang w:eastAsia="cs-CZ"/>
        </w:rPr>
        <w:t xml:space="preserve"> níže uvedeném </w:t>
      </w:r>
      <w:r w:rsidR="00CF5468" w:rsidRPr="00D435B1">
        <w:rPr>
          <w:rFonts w:eastAsia="Times New Roman" w:cstheme="minorHAnsi"/>
          <w:lang w:eastAsia="cs-CZ"/>
        </w:rPr>
        <w:t>rozsahu</w:t>
      </w:r>
      <w:r w:rsidR="004F72CA">
        <w:rPr>
          <w:rFonts w:eastAsia="Times New Roman" w:cstheme="minorHAnsi"/>
          <w:lang w:eastAsia="cs-CZ"/>
        </w:rPr>
        <w:t>:</w:t>
      </w:r>
    </w:p>
    <w:p w14:paraId="44B04AC0" w14:textId="73A3E90F" w:rsidR="004F72CA" w:rsidRDefault="005678B2" w:rsidP="00D435B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</w:t>
      </w:r>
      <w:r w:rsidR="00CF5468" w:rsidRPr="00D435B1">
        <w:rPr>
          <w:rFonts w:eastAsia="Times New Roman" w:cstheme="minorHAnsi"/>
          <w:lang w:eastAsia="cs-CZ"/>
        </w:rPr>
        <w:t>ákladní ovládání dodávaného řešení</w:t>
      </w:r>
      <w:r>
        <w:rPr>
          <w:rFonts w:eastAsia="Times New Roman" w:cstheme="minorHAnsi"/>
          <w:lang w:eastAsia="cs-CZ"/>
        </w:rPr>
        <w:t>.</w:t>
      </w:r>
    </w:p>
    <w:p w14:paraId="70D73BD0" w14:textId="5878CFB9" w:rsidR="004F72CA" w:rsidRDefault="005678B2" w:rsidP="00D435B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</w:t>
      </w:r>
      <w:r w:rsidR="002B4C00" w:rsidRPr="00D435B1">
        <w:rPr>
          <w:rFonts w:eastAsia="Times New Roman" w:cstheme="minorHAnsi"/>
          <w:lang w:eastAsia="cs-CZ"/>
        </w:rPr>
        <w:t>istribuce klientů na koncové stanice s OS Windows, Linux, macOS</w:t>
      </w:r>
      <w:r>
        <w:rPr>
          <w:rFonts w:eastAsia="Times New Roman" w:cstheme="minorHAnsi"/>
          <w:lang w:eastAsia="cs-CZ"/>
        </w:rPr>
        <w:t>.</w:t>
      </w:r>
    </w:p>
    <w:p w14:paraId="44D8EAD6" w14:textId="4B9DBDE4" w:rsidR="004F72CA" w:rsidRDefault="005678B2" w:rsidP="00D435B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T</w:t>
      </w:r>
      <w:r w:rsidR="002B4C00" w:rsidRPr="00D435B1">
        <w:rPr>
          <w:rFonts w:eastAsia="Times New Roman" w:cstheme="minorHAnsi"/>
          <w:lang w:eastAsia="cs-CZ"/>
        </w:rPr>
        <w:t>vo</w:t>
      </w:r>
      <w:r>
        <w:rPr>
          <w:rFonts w:eastAsia="Times New Roman" w:cstheme="minorHAnsi"/>
          <w:lang w:eastAsia="cs-CZ"/>
        </w:rPr>
        <w:t>rba</w:t>
      </w:r>
      <w:r w:rsidR="002B4C00" w:rsidRPr="00D435B1">
        <w:rPr>
          <w:rFonts w:eastAsia="Times New Roman" w:cstheme="minorHAnsi"/>
          <w:lang w:eastAsia="cs-CZ"/>
        </w:rPr>
        <w:t xml:space="preserve"> výjimek (</w:t>
      </w:r>
      <w:r w:rsidR="007E3E07">
        <w:rPr>
          <w:rFonts w:eastAsia="Times New Roman" w:cstheme="minorHAnsi"/>
          <w:lang w:eastAsia="cs-CZ"/>
        </w:rPr>
        <w:t xml:space="preserve">například </w:t>
      </w:r>
      <w:r w:rsidR="002B4C00" w:rsidRPr="00D435B1">
        <w:rPr>
          <w:rFonts w:eastAsia="Times New Roman" w:cstheme="minorHAnsi"/>
          <w:lang w:eastAsia="cs-CZ"/>
        </w:rPr>
        <w:t xml:space="preserve">whitelist </w:t>
      </w:r>
      <w:r w:rsidR="007E3E07">
        <w:rPr>
          <w:rFonts w:eastAsia="Times New Roman" w:cstheme="minorHAnsi"/>
          <w:lang w:eastAsia="cs-CZ"/>
        </w:rPr>
        <w:t xml:space="preserve">aplikace </w:t>
      </w:r>
      <w:r w:rsidR="002B4C00" w:rsidRPr="00D435B1">
        <w:rPr>
          <w:rFonts w:eastAsia="Times New Roman" w:cstheme="minorHAnsi"/>
          <w:lang w:eastAsia="cs-CZ"/>
        </w:rPr>
        <w:t xml:space="preserve">na základě </w:t>
      </w:r>
      <w:r w:rsidR="007E3E07">
        <w:rPr>
          <w:rFonts w:eastAsia="Times New Roman" w:cstheme="minorHAnsi"/>
          <w:lang w:eastAsia="cs-CZ"/>
        </w:rPr>
        <w:t xml:space="preserve">definované sady </w:t>
      </w:r>
      <w:r w:rsidR="002B4C00" w:rsidRPr="00D435B1">
        <w:rPr>
          <w:rFonts w:eastAsia="Times New Roman" w:cstheme="minorHAnsi"/>
          <w:lang w:eastAsia="cs-CZ"/>
        </w:rPr>
        <w:t>krit</w:t>
      </w:r>
      <w:r w:rsidR="004F72CA">
        <w:rPr>
          <w:rFonts w:eastAsia="Times New Roman" w:cstheme="minorHAnsi"/>
          <w:lang w:eastAsia="cs-CZ"/>
        </w:rPr>
        <w:t>é</w:t>
      </w:r>
      <w:r w:rsidR="002B4C00" w:rsidRPr="00D435B1">
        <w:rPr>
          <w:rFonts w:eastAsia="Times New Roman" w:cstheme="minorHAnsi"/>
          <w:lang w:eastAsia="cs-CZ"/>
        </w:rPr>
        <w:t>rií apod.)</w:t>
      </w:r>
      <w:r>
        <w:rPr>
          <w:rFonts w:eastAsia="Times New Roman" w:cstheme="minorHAnsi"/>
          <w:lang w:eastAsia="cs-CZ"/>
        </w:rPr>
        <w:t>.</w:t>
      </w:r>
    </w:p>
    <w:p w14:paraId="6C59D2A4" w14:textId="72866297" w:rsidR="004F72CA" w:rsidRDefault="005678B2" w:rsidP="00D435B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</w:t>
      </w:r>
      <w:r w:rsidR="002B4C00" w:rsidRPr="00D435B1">
        <w:rPr>
          <w:rFonts w:eastAsia="Times New Roman" w:cstheme="minorHAnsi"/>
          <w:lang w:eastAsia="cs-CZ"/>
        </w:rPr>
        <w:t>ropojení na řešení třetích stran (integrace logů z</w:t>
      </w:r>
      <w:r>
        <w:rPr>
          <w:rFonts w:eastAsia="Times New Roman" w:cstheme="minorHAnsi"/>
          <w:lang w:eastAsia="cs-CZ"/>
        </w:rPr>
        <w:t> Next Generation</w:t>
      </w:r>
      <w:r w:rsidR="002B4C00" w:rsidRPr="00D435B1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F</w:t>
      </w:r>
      <w:r w:rsidR="002B4C00" w:rsidRPr="00D435B1">
        <w:rPr>
          <w:rFonts w:eastAsia="Times New Roman" w:cstheme="minorHAnsi"/>
          <w:lang w:eastAsia="cs-CZ"/>
        </w:rPr>
        <w:t>irewall</w:t>
      </w:r>
      <w:r>
        <w:rPr>
          <w:rFonts w:eastAsia="Times New Roman" w:cstheme="minorHAnsi"/>
          <w:lang w:eastAsia="cs-CZ"/>
        </w:rPr>
        <w:t>ů</w:t>
      </w:r>
      <w:r w:rsidR="002B4C00" w:rsidRPr="00D435B1">
        <w:rPr>
          <w:rFonts w:eastAsia="Times New Roman" w:cstheme="minorHAnsi"/>
          <w:lang w:eastAsia="cs-CZ"/>
        </w:rPr>
        <w:t xml:space="preserve"> Palo Alto Networks, zasílání logů do systému SIEM IBM QRADAR)</w:t>
      </w:r>
      <w:r>
        <w:rPr>
          <w:rFonts w:eastAsia="Times New Roman" w:cstheme="minorHAnsi"/>
          <w:lang w:eastAsia="cs-CZ"/>
        </w:rPr>
        <w:t>.</w:t>
      </w:r>
    </w:p>
    <w:p w14:paraId="668D8460" w14:textId="26266C7E" w:rsidR="008207D7" w:rsidRDefault="007E3E07" w:rsidP="00D435B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lastRenderedPageBreak/>
        <w:t>Ukázka práce v novém řešení</w:t>
      </w:r>
      <w:r w:rsidR="002B4C00" w:rsidRPr="00D435B1">
        <w:rPr>
          <w:rFonts w:eastAsia="Times New Roman" w:cstheme="minorHAnsi"/>
          <w:lang w:eastAsia="cs-CZ"/>
        </w:rPr>
        <w:t xml:space="preserve"> při analýze a řešení incidentů</w:t>
      </w:r>
      <w:r>
        <w:rPr>
          <w:rFonts w:eastAsia="Times New Roman" w:cstheme="minorHAnsi"/>
          <w:lang w:eastAsia="cs-CZ"/>
        </w:rPr>
        <w:t xml:space="preserve"> (například detekce malware apod.)</w:t>
      </w:r>
      <w:r w:rsidR="004F72CA">
        <w:rPr>
          <w:rFonts w:eastAsia="Times New Roman" w:cstheme="minorHAnsi"/>
          <w:lang w:eastAsia="cs-CZ"/>
        </w:rPr>
        <w:t>.</w:t>
      </w:r>
    </w:p>
    <w:p w14:paraId="42A74B48" w14:textId="1A1AF7ED" w:rsidR="005678B2" w:rsidRPr="00D435B1" w:rsidRDefault="005678B2" w:rsidP="00667A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cstheme="minorHAnsi"/>
        </w:rPr>
        <w:t>Poskytnutí služby odborných konzultací k dodávanému řešení, a to v rozsahu celkem 9 MD využitelných zadavatelem po dobu trvání smlouvy.</w:t>
      </w:r>
    </w:p>
    <w:p w14:paraId="7B1B276D" w14:textId="331DB177" w:rsidR="008207D7" w:rsidRDefault="00172FB8" w:rsidP="00E3742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Zajištění p</w:t>
      </w:r>
      <w:r w:rsidRPr="00D435B1">
        <w:rPr>
          <w:rFonts w:eastAsia="Times New Roman" w:cstheme="minorHAnsi"/>
          <w:lang w:eastAsia="cs-CZ"/>
        </w:rPr>
        <w:t xml:space="preserve">oskytnutí </w:t>
      </w:r>
      <w:r w:rsidR="00C84AC3">
        <w:rPr>
          <w:rFonts w:eastAsia="Times New Roman" w:cstheme="minorHAnsi"/>
          <w:lang w:eastAsia="cs-CZ"/>
        </w:rPr>
        <w:t>podpory od výrobce</w:t>
      </w:r>
      <w:r w:rsidR="008207D7" w:rsidRPr="00D435B1">
        <w:rPr>
          <w:rFonts w:eastAsia="Times New Roman" w:cstheme="minorHAnsi"/>
          <w:lang w:eastAsia="cs-CZ"/>
        </w:rPr>
        <w:t xml:space="preserve"> </w:t>
      </w:r>
      <w:r w:rsidR="00C84AC3">
        <w:rPr>
          <w:rFonts w:eastAsia="Times New Roman" w:cstheme="minorHAnsi"/>
          <w:lang w:eastAsia="cs-CZ"/>
        </w:rPr>
        <w:t xml:space="preserve">dodávaného řešení </w:t>
      </w:r>
      <w:r w:rsidR="008207D7" w:rsidRPr="00D435B1">
        <w:rPr>
          <w:rFonts w:eastAsia="Times New Roman" w:cstheme="minorHAnsi"/>
          <w:lang w:eastAsia="cs-CZ"/>
        </w:rPr>
        <w:t>po dobu 3 let</w:t>
      </w:r>
      <w:r w:rsidR="004F72CA">
        <w:rPr>
          <w:rFonts w:eastAsia="Times New Roman" w:cstheme="minorHAnsi"/>
          <w:lang w:eastAsia="cs-CZ"/>
        </w:rPr>
        <w:t xml:space="preserve"> (36 měsíců) od data </w:t>
      </w:r>
      <w:r w:rsidR="00ED7DCE">
        <w:rPr>
          <w:rFonts w:eastAsia="Times New Roman" w:cstheme="minorHAnsi"/>
          <w:lang w:eastAsia="cs-CZ"/>
        </w:rPr>
        <w:t xml:space="preserve">zpřístupnění supportního portálu výrobce </w:t>
      </w:r>
      <w:r w:rsidR="00C84AC3">
        <w:rPr>
          <w:rFonts w:eastAsia="Times New Roman" w:cstheme="minorHAnsi"/>
          <w:lang w:eastAsia="cs-CZ"/>
        </w:rPr>
        <w:t xml:space="preserve">pro hlášení problémů </w:t>
      </w:r>
      <w:r>
        <w:rPr>
          <w:rFonts w:eastAsia="Times New Roman" w:cstheme="minorHAnsi"/>
          <w:lang w:eastAsia="cs-CZ"/>
        </w:rPr>
        <w:t>o</w:t>
      </w:r>
      <w:r w:rsidR="00C84AC3">
        <w:rPr>
          <w:rFonts w:eastAsia="Times New Roman" w:cstheme="minorHAnsi"/>
          <w:lang w:eastAsia="cs-CZ"/>
        </w:rPr>
        <w:t>bjednatele s dostupností takového portálu v režimu 24/7/365.</w:t>
      </w:r>
    </w:p>
    <w:p w14:paraId="755518F8" w14:textId="3834B568" w:rsidR="006C529D" w:rsidRPr="00D369F3" w:rsidRDefault="005678B2" w:rsidP="00D369F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Dodání dokumentace nasazeného řešení v minimálním rozsahu popsaného níže v </w:t>
      </w:r>
      <w:r w:rsidR="00172FB8">
        <w:rPr>
          <w:rFonts w:eastAsia="Times New Roman" w:cstheme="minorHAnsi"/>
          <w:lang w:eastAsia="cs-CZ"/>
        </w:rPr>
        <w:t>tomto</w:t>
      </w:r>
      <w:r>
        <w:rPr>
          <w:rFonts w:eastAsia="Times New Roman" w:cstheme="minorHAnsi"/>
          <w:lang w:eastAsia="cs-CZ"/>
        </w:rPr>
        <w:t xml:space="preserve"> </w:t>
      </w:r>
      <w:r w:rsidR="00172FB8">
        <w:rPr>
          <w:rFonts w:eastAsia="Times New Roman" w:cstheme="minorHAnsi"/>
          <w:lang w:eastAsia="cs-CZ"/>
        </w:rPr>
        <w:t>dokumentu</w:t>
      </w:r>
      <w:r>
        <w:rPr>
          <w:rFonts w:eastAsia="Times New Roman" w:cstheme="minorHAnsi"/>
          <w:lang w:eastAsia="cs-CZ"/>
        </w:rPr>
        <w:t>.</w:t>
      </w:r>
    </w:p>
    <w:p w14:paraId="191E71CC" w14:textId="4FF6D4BA" w:rsidR="008207D7" w:rsidRPr="00660CC4" w:rsidRDefault="008207D7" w:rsidP="00660CC4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lang w:eastAsia="cs-CZ"/>
        </w:rPr>
      </w:pPr>
      <w:r w:rsidRPr="00660CC4">
        <w:rPr>
          <w:rFonts w:eastAsia="Times New Roman" w:cstheme="minorHAnsi"/>
          <w:b/>
          <w:bCs/>
          <w:lang w:eastAsia="cs-CZ"/>
        </w:rPr>
        <w:t xml:space="preserve">Technické </w:t>
      </w:r>
      <w:r w:rsidR="004F72CA" w:rsidRPr="00660CC4">
        <w:rPr>
          <w:rFonts w:eastAsia="Times New Roman" w:cstheme="minorHAnsi"/>
          <w:b/>
          <w:bCs/>
          <w:lang w:eastAsia="cs-CZ"/>
        </w:rPr>
        <w:t xml:space="preserve">a další </w:t>
      </w:r>
      <w:r w:rsidRPr="00660CC4">
        <w:rPr>
          <w:rFonts w:eastAsia="Times New Roman" w:cstheme="minorHAnsi"/>
          <w:b/>
          <w:bCs/>
          <w:lang w:eastAsia="cs-CZ"/>
        </w:rPr>
        <w:t>požadavky</w:t>
      </w:r>
    </w:p>
    <w:p w14:paraId="383728F7" w14:textId="58486823" w:rsidR="00185B0E" w:rsidRPr="00D435B1" w:rsidRDefault="00185B0E" w:rsidP="00E3742A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lang w:eastAsia="cs-CZ"/>
        </w:rPr>
      </w:pPr>
      <w:r w:rsidRPr="00D435B1">
        <w:rPr>
          <w:rFonts w:eastAsia="Times New Roman" w:cstheme="minorHAnsi"/>
          <w:b/>
          <w:bCs/>
          <w:lang w:eastAsia="cs-CZ"/>
        </w:rPr>
        <w:t xml:space="preserve">Detailní popis technických požadavků </w:t>
      </w:r>
      <w:r w:rsidR="004F72CA">
        <w:rPr>
          <w:rFonts w:eastAsia="Times New Roman" w:cstheme="minorHAnsi"/>
          <w:b/>
          <w:bCs/>
          <w:lang w:eastAsia="cs-CZ"/>
        </w:rPr>
        <w:t xml:space="preserve">zadavatele na poptávaný nástroj </w:t>
      </w:r>
      <w:r w:rsidRPr="00D435B1">
        <w:rPr>
          <w:rFonts w:eastAsia="Times New Roman" w:cstheme="minorHAnsi"/>
          <w:b/>
          <w:bCs/>
          <w:lang w:eastAsia="cs-CZ"/>
        </w:rPr>
        <w:t xml:space="preserve">je </w:t>
      </w:r>
      <w:r w:rsidR="004F72CA">
        <w:rPr>
          <w:rFonts w:eastAsia="Times New Roman" w:cstheme="minorHAnsi"/>
          <w:b/>
          <w:bCs/>
          <w:lang w:eastAsia="cs-CZ"/>
        </w:rPr>
        <w:t xml:space="preserve">uveden </w:t>
      </w:r>
      <w:r w:rsidRPr="00D435B1">
        <w:rPr>
          <w:rFonts w:eastAsia="Times New Roman" w:cstheme="minorHAnsi"/>
          <w:b/>
          <w:bCs/>
          <w:lang w:eastAsia="cs-CZ"/>
        </w:rPr>
        <w:t>v  Příloha č.</w:t>
      </w:r>
      <w:r w:rsidR="00E3742A" w:rsidRPr="00D435B1">
        <w:rPr>
          <w:rFonts w:eastAsia="Times New Roman" w:cstheme="minorHAnsi"/>
          <w:b/>
          <w:bCs/>
          <w:lang w:eastAsia="cs-CZ"/>
        </w:rPr>
        <w:t xml:space="preserve"> </w:t>
      </w:r>
      <w:r w:rsidRPr="00D435B1">
        <w:rPr>
          <w:rFonts w:eastAsia="Times New Roman" w:cstheme="minorHAnsi"/>
          <w:b/>
          <w:bCs/>
          <w:lang w:eastAsia="cs-CZ"/>
        </w:rPr>
        <w:t>6</w:t>
      </w:r>
      <w:r w:rsidR="004F72CA">
        <w:rPr>
          <w:rFonts w:eastAsia="Times New Roman" w:cstheme="minorHAnsi"/>
          <w:b/>
          <w:bCs/>
          <w:lang w:eastAsia="cs-CZ"/>
        </w:rPr>
        <w:t xml:space="preserve"> ZD</w:t>
      </w:r>
      <w:r w:rsidRPr="00D435B1">
        <w:rPr>
          <w:rFonts w:eastAsia="Times New Roman" w:cstheme="minorHAnsi"/>
          <w:b/>
          <w:bCs/>
          <w:lang w:eastAsia="cs-CZ"/>
        </w:rPr>
        <w:t xml:space="preserve"> - </w:t>
      </w:r>
      <w:r w:rsidR="004F72CA">
        <w:rPr>
          <w:rFonts w:eastAsia="Times New Roman" w:cstheme="minorHAnsi"/>
          <w:b/>
          <w:bCs/>
          <w:lang w:eastAsia="cs-CZ"/>
        </w:rPr>
        <w:t>T</w:t>
      </w:r>
      <w:r w:rsidRPr="00D435B1">
        <w:rPr>
          <w:rFonts w:eastAsia="Times New Roman" w:cstheme="minorHAnsi"/>
          <w:b/>
          <w:bCs/>
          <w:lang w:eastAsia="cs-CZ"/>
        </w:rPr>
        <w:t>echnická specifikace</w:t>
      </w:r>
      <w:r w:rsidR="004F72CA">
        <w:rPr>
          <w:rFonts w:eastAsia="Times New Roman" w:cstheme="minorHAnsi"/>
          <w:b/>
          <w:bCs/>
          <w:lang w:eastAsia="cs-CZ"/>
        </w:rPr>
        <w:t>_</w:t>
      </w:r>
      <w:r w:rsidRPr="00D435B1">
        <w:rPr>
          <w:rFonts w:eastAsia="Times New Roman" w:cstheme="minorHAnsi"/>
          <w:b/>
          <w:bCs/>
          <w:lang w:eastAsia="cs-CZ"/>
        </w:rPr>
        <w:t>požadavky.</w:t>
      </w:r>
    </w:p>
    <w:p w14:paraId="38BA41B2" w14:textId="3CEB369D" w:rsidR="008207D7" w:rsidRPr="00172FB8" w:rsidRDefault="008207D7" w:rsidP="00660CC4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cs-CZ"/>
        </w:rPr>
      </w:pPr>
      <w:r w:rsidRPr="006C529D">
        <w:rPr>
          <w:rFonts w:eastAsia="Times New Roman" w:cstheme="minorHAnsi"/>
          <w:b/>
          <w:bCs/>
          <w:lang w:eastAsia="cs-CZ"/>
        </w:rPr>
        <w:t>Požadavky na implementaci</w:t>
      </w:r>
    </w:p>
    <w:p w14:paraId="73212D38" w14:textId="7060C926" w:rsidR="005678B2" w:rsidRDefault="005678B2" w:rsidP="005678B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Implementace dodávaného řešení bude splňovat následující podmínky</w:t>
      </w:r>
      <w:r w:rsidR="00ED7DCE">
        <w:rPr>
          <w:rFonts w:eastAsia="Times New Roman" w:cstheme="minorHAnsi"/>
          <w:lang w:eastAsia="cs-CZ"/>
        </w:rPr>
        <w:t xml:space="preserve">, které musí být ze strany poskytovatele splněny </w:t>
      </w:r>
      <w:r w:rsidR="00ED7DCE" w:rsidRPr="00CC4AB5">
        <w:rPr>
          <w:rFonts w:eastAsia="Times New Roman" w:cstheme="minorHAnsi"/>
          <w:lang w:eastAsia="cs-CZ"/>
        </w:rPr>
        <w:t xml:space="preserve">do </w:t>
      </w:r>
      <w:r w:rsidR="00ED7DCE">
        <w:rPr>
          <w:rFonts w:eastAsia="Times New Roman" w:cstheme="minorHAnsi"/>
          <w:lang w:eastAsia="cs-CZ"/>
        </w:rPr>
        <w:t>jednoho (</w:t>
      </w:r>
      <w:r w:rsidR="00ED7DCE" w:rsidRPr="00CC4AB5">
        <w:rPr>
          <w:rFonts w:eastAsia="Times New Roman" w:cstheme="minorHAnsi"/>
          <w:lang w:eastAsia="cs-CZ"/>
        </w:rPr>
        <w:t>1</w:t>
      </w:r>
      <w:r w:rsidR="00ED7DCE">
        <w:rPr>
          <w:rFonts w:eastAsia="Times New Roman" w:cstheme="minorHAnsi"/>
          <w:lang w:eastAsia="cs-CZ"/>
        </w:rPr>
        <w:t>)</w:t>
      </w:r>
      <w:r w:rsidR="00ED7DCE" w:rsidRPr="00CC4AB5">
        <w:rPr>
          <w:rFonts w:eastAsia="Times New Roman" w:cstheme="minorHAnsi"/>
          <w:lang w:eastAsia="cs-CZ"/>
        </w:rPr>
        <w:t xml:space="preserve"> měsíce od data účinnosti smlouvy</w:t>
      </w:r>
      <w:r>
        <w:rPr>
          <w:rFonts w:eastAsia="Times New Roman" w:cstheme="minorHAnsi"/>
          <w:lang w:eastAsia="cs-CZ"/>
        </w:rPr>
        <w:t xml:space="preserve">: </w:t>
      </w:r>
    </w:p>
    <w:p w14:paraId="6A6D965A" w14:textId="77777777" w:rsidR="00092EC7" w:rsidRPr="00667A4D" w:rsidRDefault="00D8283A" w:rsidP="007E3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667A4D">
        <w:rPr>
          <w:rFonts w:eastAsia="Times New Roman" w:cstheme="minorHAnsi"/>
          <w:lang w:eastAsia="cs-CZ"/>
        </w:rPr>
        <w:t xml:space="preserve">Implementace ochrany </w:t>
      </w:r>
      <w:r w:rsidR="00413672" w:rsidRPr="00667A4D">
        <w:rPr>
          <w:rFonts w:eastAsia="Times New Roman" w:cstheme="minorHAnsi"/>
          <w:lang w:eastAsia="cs-CZ"/>
        </w:rPr>
        <w:t xml:space="preserve">dodaným řešením </w:t>
      </w:r>
      <w:r w:rsidR="005678B2" w:rsidRPr="00667A4D">
        <w:rPr>
          <w:rFonts w:eastAsia="Times New Roman" w:cstheme="minorHAnsi"/>
          <w:lang w:eastAsia="cs-CZ"/>
        </w:rPr>
        <w:t xml:space="preserve">pro </w:t>
      </w:r>
      <w:r w:rsidRPr="00667A4D">
        <w:rPr>
          <w:rFonts w:eastAsia="Times New Roman" w:cstheme="minorHAnsi"/>
          <w:lang w:eastAsia="cs-CZ"/>
        </w:rPr>
        <w:t xml:space="preserve">alespoň 1500 koncových pracovních stanic </w:t>
      </w:r>
      <w:r w:rsidR="005678B2" w:rsidRPr="00667A4D">
        <w:rPr>
          <w:rFonts w:eastAsia="Times New Roman" w:cstheme="minorHAnsi"/>
          <w:lang w:eastAsia="cs-CZ"/>
        </w:rPr>
        <w:t>s operačním systémem Windows a MacOS v prevenčním režimu. Řešení v uvedeném počtu koncových stanic musí být nasazeno do 1 měsíce od data účinnosti smlouvy.</w:t>
      </w:r>
      <w:r w:rsidR="00092EC7" w:rsidRPr="00667A4D">
        <w:rPr>
          <w:rFonts w:eastAsia="Times New Roman" w:cstheme="minorHAnsi"/>
          <w:lang w:eastAsia="cs-CZ"/>
        </w:rPr>
        <w:t xml:space="preserve"> </w:t>
      </w:r>
    </w:p>
    <w:p w14:paraId="70D93388" w14:textId="1FC5525D" w:rsidR="00092EC7" w:rsidRDefault="00092EC7" w:rsidP="007E3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496DBF">
        <w:rPr>
          <w:rFonts w:cstheme="minorHAnsi"/>
        </w:rPr>
        <w:t xml:space="preserve">Implementaci řešení na zbývající počet stanic </w:t>
      </w:r>
      <w:r w:rsidR="00D369F3">
        <w:rPr>
          <w:rFonts w:cstheme="minorHAnsi"/>
        </w:rPr>
        <w:t>o</w:t>
      </w:r>
      <w:r w:rsidRPr="00496DBF">
        <w:rPr>
          <w:rFonts w:cstheme="minorHAnsi"/>
        </w:rPr>
        <w:t xml:space="preserve">bjednatele předpokládá </w:t>
      </w:r>
      <w:r w:rsidR="00D369F3">
        <w:rPr>
          <w:rFonts w:cstheme="minorHAnsi"/>
        </w:rPr>
        <w:t>o</w:t>
      </w:r>
      <w:r>
        <w:rPr>
          <w:rFonts w:cstheme="minorHAnsi"/>
        </w:rPr>
        <w:t xml:space="preserve">bjednatel </w:t>
      </w:r>
      <w:r w:rsidRPr="00172FB8">
        <w:rPr>
          <w:rFonts w:cstheme="minorHAnsi"/>
        </w:rPr>
        <w:t xml:space="preserve">zajistit vlastními kapacitami, a to prostřednictvím proškolených administrátorů. V rámci školení tak bude zahrnuto předání odborných znalostí, mimo jiné, k instalaci systému na koncové stanice. Ze strany poskytovatele a jeho řešení musí být tedy zajištěna možnost následné instalace na další stanice. V případě potřeby předpokládá objednatel využití konzultačních služeb v rámci technické podpory (k tomu viz níže). </w:t>
      </w:r>
    </w:p>
    <w:p w14:paraId="2AD3B64E" w14:textId="2D90BBA1" w:rsidR="00413672" w:rsidRPr="00667A4D" w:rsidRDefault="005678B2" w:rsidP="00667A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Pokud je to relevantní, Objednatel vyžaduje m</w:t>
      </w:r>
      <w:r w:rsidR="00D8283A" w:rsidRPr="00667A4D">
        <w:rPr>
          <w:rFonts w:eastAsia="Times New Roman" w:cstheme="minorHAnsi"/>
          <w:lang w:eastAsia="cs-CZ"/>
        </w:rPr>
        <w:t>igrac</w:t>
      </w:r>
      <w:r>
        <w:rPr>
          <w:rFonts w:eastAsia="Times New Roman" w:cstheme="minorHAnsi"/>
          <w:lang w:eastAsia="cs-CZ"/>
        </w:rPr>
        <w:t>i</w:t>
      </w:r>
      <w:r w:rsidR="00D8283A" w:rsidRPr="00667A4D">
        <w:rPr>
          <w:rFonts w:eastAsia="Times New Roman" w:cstheme="minorHAnsi"/>
          <w:lang w:eastAsia="cs-CZ"/>
        </w:rPr>
        <w:t xml:space="preserve"> veškerých prvků stávajícího řešení, zejména:</w:t>
      </w:r>
    </w:p>
    <w:p w14:paraId="5D0786A7" w14:textId="689C506B" w:rsidR="00413672" w:rsidRDefault="005678B2" w:rsidP="00667A4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</w:t>
      </w:r>
      <w:r w:rsidR="00D8283A" w:rsidRPr="00413672">
        <w:rPr>
          <w:rFonts w:eastAsia="Times New Roman" w:cstheme="minorHAnsi"/>
          <w:lang w:eastAsia="cs-CZ"/>
        </w:rPr>
        <w:t>řevod stávajících detekčních politik a pravidel</w:t>
      </w:r>
      <w:r>
        <w:rPr>
          <w:rFonts w:eastAsia="Times New Roman" w:cstheme="minorHAnsi"/>
          <w:lang w:eastAsia="cs-CZ"/>
        </w:rPr>
        <w:t>.</w:t>
      </w:r>
    </w:p>
    <w:p w14:paraId="34D32F31" w14:textId="23B01A61" w:rsidR="00413672" w:rsidRDefault="005678B2" w:rsidP="00667A4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</w:t>
      </w:r>
      <w:r w:rsidR="00D8283A" w:rsidRPr="00413672">
        <w:rPr>
          <w:rFonts w:eastAsia="Times New Roman" w:cstheme="minorHAnsi"/>
          <w:lang w:eastAsia="cs-CZ"/>
        </w:rPr>
        <w:t xml:space="preserve">achování nebo náhrada současných funkcionalit (např. </w:t>
      </w:r>
      <w:r w:rsidR="007E3E07">
        <w:rPr>
          <w:rFonts w:eastAsia="Times New Roman" w:cstheme="minorHAnsi"/>
          <w:lang w:eastAsia="cs-CZ"/>
        </w:rPr>
        <w:t>behaviorální analýza</w:t>
      </w:r>
      <w:r w:rsidR="00D8283A" w:rsidRPr="00413672">
        <w:rPr>
          <w:rFonts w:eastAsia="Times New Roman" w:cstheme="minorHAnsi"/>
          <w:lang w:eastAsia="cs-CZ"/>
        </w:rPr>
        <w:t>, forenzní záznamy, reakční mechanismy)</w:t>
      </w:r>
      <w:r>
        <w:rPr>
          <w:rFonts w:eastAsia="Times New Roman" w:cstheme="minorHAnsi"/>
          <w:lang w:eastAsia="cs-CZ"/>
        </w:rPr>
        <w:t>.</w:t>
      </w:r>
    </w:p>
    <w:p w14:paraId="3921BDD9" w14:textId="16738E10" w:rsidR="00413672" w:rsidRDefault="005678B2" w:rsidP="00667A4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</w:t>
      </w:r>
      <w:r w:rsidR="00D8283A" w:rsidRPr="00413672">
        <w:rPr>
          <w:rFonts w:eastAsia="Times New Roman" w:cstheme="minorHAnsi"/>
          <w:lang w:eastAsia="cs-CZ"/>
        </w:rPr>
        <w:t>ntegrace s autentizačními systémy</w:t>
      </w:r>
      <w:r>
        <w:rPr>
          <w:rFonts w:eastAsia="Times New Roman" w:cstheme="minorHAnsi"/>
          <w:lang w:eastAsia="cs-CZ"/>
        </w:rPr>
        <w:t>.</w:t>
      </w:r>
    </w:p>
    <w:p w14:paraId="4A0894D2" w14:textId="6F17DD5F" w:rsidR="00413672" w:rsidRDefault="005678B2" w:rsidP="00667A4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</w:t>
      </w:r>
      <w:r w:rsidR="00D8283A" w:rsidRPr="00413672">
        <w:rPr>
          <w:rFonts w:eastAsia="Times New Roman" w:cstheme="minorHAnsi"/>
          <w:lang w:eastAsia="cs-CZ"/>
        </w:rPr>
        <w:t>řevod dat a znalostní báze incidentů, pokud to typ řešení umožňuje</w:t>
      </w:r>
      <w:r>
        <w:rPr>
          <w:rFonts w:eastAsia="Times New Roman" w:cstheme="minorHAnsi"/>
          <w:lang w:eastAsia="cs-CZ"/>
        </w:rPr>
        <w:t>.</w:t>
      </w:r>
    </w:p>
    <w:p w14:paraId="2A221422" w14:textId="6FF586E2" w:rsidR="00413672" w:rsidRDefault="00D828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667A4D">
        <w:rPr>
          <w:rFonts w:eastAsia="Times New Roman" w:cstheme="minorHAnsi"/>
          <w:lang w:eastAsia="cs-CZ"/>
        </w:rPr>
        <w:t xml:space="preserve">Zajištění </w:t>
      </w:r>
      <w:r w:rsidR="005678B2">
        <w:rPr>
          <w:rFonts w:eastAsia="Times New Roman" w:cstheme="minorHAnsi"/>
          <w:lang w:eastAsia="cs-CZ"/>
        </w:rPr>
        <w:t>integrace</w:t>
      </w:r>
      <w:r w:rsidRPr="00667A4D">
        <w:rPr>
          <w:rFonts w:eastAsia="Times New Roman" w:cstheme="minorHAnsi"/>
          <w:lang w:eastAsia="cs-CZ"/>
        </w:rPr>
        <w:t xml:space="preserve"> logů z provozovaných firewallů Palo Alto Networks</w:t>
      </w:r>
      <w:r w:rsidR="007E3E07">
        <w:rPr>
          <w:rFonts w:eastAsia="Times New Roman" w:cstheme="minorHAnsi"/>
          <w:lang w:eastAsia="cs-CZ"/>
        </w:rPr>
        <w:t xml:space="preserve"> v prostředí </w:t>
      </w:r>
      <w:r w:rsidR="00D369F3">
        <w:rPr>
          <w:rFonts w:eastAsia="Times New Roman" w:cstheme="minorHAnsi"/>
          <w:lang w:eastAsia="cs-CZ"/>
        </w:rPr>
        <w:t>o</w:t>
      </w:r>
      <w:r w:rsidR="007E3E07">
        <w:rPr>
          <w:rFonts w:eastAsia="Times New Roman" w:cstheme="minorHAnsi"/>
          <w:lang w:eastAsia="cs-CZ"/>
        </w:rPr>
        <w:t>bjednatele</w:t>
      </w:r>
      <w:r w:rsidRPr="00667A4D">
        <w:rPr>
          <w:rFonts w:eastAsia="Times New Roman" w:cstheme="minorHAnsi"/>
          <w:lang w:eastAsia="cs-CZ"/>
        </w:rPr>
        <w:t xml:space="preserve"> do nového XDR systému a jejich efektivního </w:t>
      </w:r>
      <w:r w:rsidR="005678B2">
        <w:rPr>
          <w:rFonts w:eastAsia="Times New Roman" w:cstheme="minorHAnsi"/>
          <w:lang w:eastAsia="cs-CZ"/>
        </w:rPr>
        <w:t xml:space="preserve">zpracování a využití </w:t>
      </w:r>
      <w:r w:rsidRPr="00667A4D">
        <w:rPr>
          <w:rFonts w:eastAsia="Times New Roman" w:cstheme="minorHAnsi"/>
          <w:lang w:eastAsia="cs-CZ"/>
        </w:rPr>
        <w:t>v rámci detekčních a analytických mechanismů</w:t>
      </w:r>
      <w:r w:rsidR="005678B2">
        <w:rPr>
          <w:rFonts w:eastAsia="Times New Roman" w:cstheme="minorHAnsi"/>
          <w:lang w:eastAsia="cs-CZ"/>
        </w:rPr>
        <w:t xml:space="preserve"> dodaného řešení</w:t>
      </w:r>
      <w:r w:rsidRPr="00667A4D">
        <w:rPr>
          <w:rFonts w:eastAsia="Times New Roman" w:cstheme="minorHAnsi"/>
          <w:lang w:eastAsia="cs-CZ"/>
        </w:rPr>
        <w:t>.</w:t>
      </w:r>
    </w:p>
    <w:p w14:paraId="67E3396B" w14:textId="18F11D71" w:rsidR="00B3711F" w:rsidRDefault="00B3711F" w:rsidP="00667A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Zajištění implementace nových funkcionalit, které vyplývají z požadavků v příloze s definovanými parametry (Příloha č. 6 </w:t>
      </w:r>
      <w:r w:rsidR="00D369F3">
        <w:rPr>
          <w:rFonts w:eastAsia="Times New Roman" w:cstheme="minorHAnsi"/>
          <w:lang w:eastAsia="cs-CZ"/>
        </w:rPr>
        <w:t xml:space="preserve">ZD </w:t>
      </w:r>
      <w:r>
        <w:rPr>
          <w:rFonts w:eastAsia="Times New Roman" w:cstheme="minorHAnsi"/>
          <w:lang w:eastAsia="cs-CZ"/>
        </w:rPr>
        <w:t>Technická specifikace_požadavky).</w:t>
      </w:r>
    </w:p>
    <w:p w14:paraId="57835EB2" w14:textId="15BBEC0C" w:rsidR="00413672" w:rsidRDefault="00D8283A" w:rsidP="00667A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413672">
        <w:rPr>
          <w:rFonts w:eastAsia="Times New Roman" w:cstheme="minorHAnsi"/>
          <w:lang w:eastAsia="cs-CZ"/>
        </w:rPr>
        <w:t>Zajištění nepřerušeného provozu ochrany koncových zařízení během migrace, včetně řízeného přechodu a ověření funkčnosti</w:t>
      </w:r>
      <w:r w:rsidR="005678B2">
        <w:rPr>
          <w:rFonts w:eastAsia="Times New Roman" w:cstheme="minorHAnsi"/>
          <w:lang w:eastAsia="cs-CZ"/>
        </w:rPr>
        <w:t xml:space="preserve"> prevenčního režimu dodaného řešení</w:t>
      </w:r>
      <w:r w:rsidRPr="00413672">
        <w:rPr>
          <w:rFonts w:eastAsia="Times New Roman" w:cstheme="minorHAnsi"/>
          <w:lang w:eastAsia="cs-CZ"/>
        </w:rPr>
        <w:t>.</w:t>
      </w:r>
    </w:p>
    <w:p w14:paraId="4770EF78" w14:textId="6EC88048" w:rsidR="00D8283A" w:rsidRDefault="00D8283A" w:rsidP="007E3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413672">
        <w:rPr>
          <w:rFonts w:eastAsia="Times New Roman" w:cstheme="minorHAnsi"/>
          <w:lang w:eastAsia="cs-CZ"/>
        </w:rPr>
        <w:t>Proškolení administrátorů a bezpečnostního týmu k novému řešení a způsobu jeho provozu.</w:t>
      </w:r>
    </w:p>
    <w:p w14:paraId="1CEE3B13" w14:textId="59276B33" w:rsidR="00092EC7" w:rsidRDefault="00092EC7" w:rsidP="00092EC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092EC7">
        <w:rPr>
          <w:rFonts w:eastAsia="Times New Roman" w:cstheme="minorHAnsi"/>
          <w:lang w:eastAsia="cs-CZ"/>
        </w:rPr>
        <w:t>Náklady spojené s</w:t>
      </w:r>
      <w:r>
        <w:rPr>
          <w:rFonts w:eastAsia="Times New Roman" w:cstheme="minorHAnsi"/>
          <w:lang w:eastAsia="cs-CZ"/>
        </w:rPr>
        <w:t> </w:t>
      </w:r>
      <w:r w:rsidRPr="00092EC7">
        <w:rPr>
          <w:rFonts w:eastAsia="Times New Roman" w:cstheme="minorHAnsi"/>
          <w:lang w:eastAsia="cs-CZ"/>
        </w:rPr>
        <w:t>implementací</w:t>
      </w:r>
      <w:r>
        <w:rPr>
          <w:rFonts w:eastAsia="Times New Roman" w:cstheme="minorHAnsi"/>
          <w:lang w:eastAsia="cs-CZ"/>
        </w:rPr>
        <w:t xml:space="preserve"> musí Dodavatel vyčíslit a uvést v tabulce pro výpočet nabídkové ceny, která je uvedena v příloze</w:t>
      </w:r>
      <w:r w:rsidRPr="00092EC7">
        <w:rPr>
          <w:rFonts w:eastAsia="Times New Roman" w:cstheme="minorHAnsi"/>
          <w:lang w:eastAsia="cs-CZ"/>
        </w:rPr>
        <w:t xml:space="preserve">. </w:t>
      </w:r>
      <w:r>
        <w:rPr>
          <w:rFonts w:eastAsia="Times New Roman" w:cstheme="minorHAnsi"/>
          <w:lang w:eastAsia="cs-CZ"/>
        </w:rPr>
        <w:t>Dodavatel</w:t>
      </w:r>
      <w:r w:rsidRPr="00092EC7">
        <w:rPr>
          <w:rFonts w:eastAsia="Times New Roman" w:cstheme="minorHAnsi"/>
          <w:lang w:eastAsia="cs-CZ"/>
        </w:rPr>
        <w:t xml:space="preserve"> musí výslovně uvést, zda </w:t>
      </w:r>
      <w:r>
        <w:rPr>
          <w:rFonts w:eastAsia="Times New Roman" w:cstheme="minorHAnsi"/>
          <w:lang w:eastAsia="cs-CZ"/>
        </w:rPr>
        <w:t>dodávané</w:t>
      </w:r>
      <w:r w:rsidRPr="00092EC7">
        <w:rPr>
          <w:rFonts w:eastAsia="Times New Roman" w:cstheme="minorHAnsi"/>
          <w:lang w:eastAsia="cs-CZ"/>
        </w:rPr>
        <w:t xml:space="preserve"> řešení umožňuje využít stávající klienty, politiky </w:t>
      </w:r>
      <w:r>
        <w:rPr>
          <w:rFonts w:eastAsia="Times New Roman" w:cstheme="minorHAnsi"/>
          <w:lang w:eastAsia="cs-CZ"/>
        </w:rPr>
        <w:t>či</w:t>
      </w:r>
      <w:r w:rsidRPr="00092EC7">
        <w:rPr>
          <w:rFonts w:eastAsia="Times New Roman" w:cstheme="minorHAnsi"/>
          <w:lang w:eastAsia="cs-CZ"/>
        </w:rPr>
        <w:t xml:space="preserve"> jiné komponenty již implementované v rámci </w:t>
      </w:r>
      <w:r>
        <w:rPr>
          <w:rFonts w:eastAsia="Times New Roman" w:cstheme="minorHAnsi"/>
          <w:lang w:eastAsia="cs-CZ"/>
        </w:rPr>
        <w:t xml:space="preserve">současného nasazení systému </w:t>
      </w:r>
      <w:r w:rsidRPr="00092EC7">
        <w:rPr>
          <w:rFonts w:eastAsia="Times New Roman" w:cstheme="minorHAnsi"/>
          <w:lang w:eastAsia="cs-CZ"/>
        </w:rPr>
        <w:t>Cortex XDR</w:t>
      </w:r>
      <w:r>
        <w:rPr>
          <w:rFonts w:eastAsia="Times New Roman" w:cstheme="minorHAnsi"/>
          <w:lang w:eastAsia="cs-CZ"/>
        </w:rPr>
        <w:t xml:space="preserve"> Pro</w:t>
      </w:r>
      <w:r w:rsidRPr="00092EC7">
        <w:rPr>
          <w:rFonts w:eastAsia="Times New Roman" w:cstheme="minorHAnsi"/>
          <w:lang w:eastAsia="cs-CZ"/>
        </w:rPr>
        <w:t>.</w:t>
      </w:r>
    </w:p>
    <w:p w14:paraId="584856FF" w14:textId="77777777" w:rsidR="006C529D" w:rsidRPr="00413672" w:rsidRDefault="006C529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</w:p>
    <w:p w14:paraId="0E2DC3EA" w14:textId="77777777" w:rsidR="00092EC7" w:rsidRPr="00667A4D" w:rsidRDefault="00092EC7" w:rsidP="00092EC7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cs-CZ"/>
        </w:rPr>
      </w:pPr>
      <w:r w:rsidRPr="00667A4D">
        <w:rPr>
          <w:rFonts w:eastAsia="Times New Roman" w:cstheme="minorHAnsi"/>
          <w:b/>
          <w:lang w:eastAsia="cs-CZ"/>
        </w:rPr>
        <w:lastRenderedPageBreak/>
        <w:t>Harmonogram implementačních prací</w:t>
      </w:r>
    </w:p>
    <w:p w14:paraId="5141652D" w14:textId="269F3E7E" w:rsidR="00D8283A" w:rsidRPr="00667A4D" w:rsidRDefault="00092EC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Dodavatel </w:t>
      </w:r>
      <w:r w:rsidR="00D8283A" w:rsidRPr="00667A4D">
        <w:rPr>
          <w:rFonts w:eastAsia="Times New Roman" w:cstheme="minorHAnsi"/>
          <w:lang w:eastAsia="cs-CZ"/>
        </w:rPr>
        <w:t xml:space="preserve">je povinen přiložit k nabídce </w:t>
      </w:r>
      <w:r w:rsidR="00ED7DCE">
        <w:rPr>
          <w:rFonts w:eastAsia="Times New Roman" w:cstheme="minorHAnsi"/>
          <w:lang w:eastAsia="cs-CZ"/>
        </w:rPr>
        <w:t xml:space="preserve">předpokládaný </w:t>
      </w:r>
      <w:r w:rsidR="00D8283A" w:rsidRPr="00667A4D">
        <w:rPr>
          <w:rFonts w:eastAsia="Times New Roman" w:cstheme="minorHAnsi"/>
          <w:lang w:eastAsia="cs-CZ"/>
        </w:rPr>
        <w:t>plán implementace, včetně:</w:t>
      </w:r>
    </w:p>
    <w:p w14:paraId="155225F6" w14:textId="31493B94" w:rsidR="00092EC7" w:rsidRPr="00667A4D" w:rsidRDefault="00092EC7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Č</w:t>
      </w:r>
      <w:r w:rsidR="00D8283A" w:rsidRPr="00667A4D">
        <w:rPr>
          <w:rFonts w:eastAsia="Times New Roman" w:cstheme="minorHAnsi"/>
          <w:lang w:eastAsia="cs-CZ"/>
        </w:rPr>
        <w:t>asového harmonogramu</w:t>
      </w:r>
      <w:r>
        <w:rPr>
          <w:rFonts w:eastAsia="Times New Roman" w:cstheme="minorHAnsi"/>
          <w:lang w:eastAsia="cs-CZ"/>
        </w:rPr>
        <w:t>.</w:t>
      </w:r>
    </w:p>
    <w:p w14:paraId="4C34FF5F" w14:textId="15404417" w:rsidR="00D8283A" w:rsidRPr="00667A4D" w:rsidRDefault="00092EC7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O</w:t>
      </w:r>
      <w:r w:rsidR="00D8283A" w:rsidRPr="00667A4D">
        <w:rPr>
          <w:rFonts w:eastAsia="Times New Roman" w:cstheme="minorHAnsi"/>
          <w:lang w:eastAsia="cs-CZ"/>
        </w:rPr>
        <w:t>dhadu pracnosti</w:t>
      </w:r>
      <w:r>
        <w:rPr>
          <w:rFonts w:eastAsia="Times New Roman" w:cstheme="minorHAnsi"/>
          <w:lang w:eastAsia="cs-CZ"/>
        </w:rPr>
        <w:t xml:space="preserve"> na straně </w:t>
      </w:r>
      <w:r w:rsidR="00BC55D6">
        <w:rPr>
          <w:rFonts w:eastAsia="Times New Roman" w:cstheme="minorHAnsi"/>
          <w:lang w:eastAsia="cs-CZ"/>
        </w:rPr>
        <w:t>d</w:t>
      </w:r>
      <w:r>
        <w:rPr>
          <w:rFonts w:eastAsia="Times New Roman" w:cstheme="minorHAnsi"/>
          <w:lang w:eastAsia="cs-CZ"/>
        </w:rPr>
        <w:t xml:space="preserve">odavatele a odhadované nutné součinnosti na straně </w:t>
      </w:r>
      <w:r w:rsidR="00BC55D6">
        <w:rPr>
          <w:rFonts w:eastAsia="Times New Roman" w:cstheme="minorHAnsi"/>
          <w:lang w:eastAsia="cs-CZ"/>
        </w:rPr>
        <w:t>o</w:t>
      </w:r>
      <w:r>
        <w:rPr>
          <w:rFonts w:eastAsia="Times New Roman" w:cstheme="minorHAnsi"/>
          <w:lang w:eastAsia="cs-CZ"/>
        </w:rPr>
        <w:t>bjednatele.</w:t>
      </w:r>
    </w:p>
    <w:p w14:paraId="2835BF1F" w14:textId="4FA09D04" w:rsidR="00D8283A" w:rsidRPr="00667A4D" w:rsidRDefault="00092EC7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</w:t>
      </w:r>
      <w:r w:rsidR="00D8283A" w:rsidRPr="00667A4D">
        <w:rPr>
          <w:rFonts w:eastAsia="Times New Roman" w:cstheme="minorHAnsi"/>
          <w:lang w:eastAsia="cs-CZ"/>
        </w:rPr>
        <w:t>řehledu nutných zdrojů (lidských, technických)</w:t>
      </w:r>
      <w:r>
        <w:rPr>
          <w:rFonts w:eastAsia="Times New Roman" w:cstheme="minorHAnsi"/>
          <w:lang w:eastAsia="cs-CZ"/>
        </w:rPr>
        <w:t>.</w:t>
      </w:r>
    </w:p>
    <w:p w14:paraId="7DAB984F" w14:textId="5D80DB41" w:rsidR="006C529D" w:rsidRPr="00667A4D" w:rsidRDefault="00092EC7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ind w:left="714" w:hanging="357"/>
        <w:contextualSpacing w:val="0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</w:t>
      </w:r>
      <w:r w:rsidR="00D8283A" w:rsidRPr="00667A4D">
        <w:rPr>
          <w:rFonts w:eastAsia="Times New Roman" w:cstheme="minorHAnsi"/>
          <w:lang w:eastAsia="cs-CZ"/>
        </w:rPr>
        <w:t>dentifikace možných rizik a návrh jejich mitigace.</w:t>
      </w:r>
    </w:p>
    <w:p w14:paraId="2DB2FB88" w14:textId="22536657" w:rsidR="008207D7" w:rsidRPr="00667A4D" w:rsidRDefault="004F72CA" w:rsidP="00667A4D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ind w:left="788" w:hanging="431"/>
        <w:contextualSpacing w:val="0"/>
        <w:jc w:val="both"/>
        <w:rPr>
          <w:rFonts w:eastAsia="Times New Roman" w:cstheme="minorHAnsi"/>
          <w:b/>
          <w:lang w:eastAsia="cs-CZ"/>
        </w:rPr>
      </w:pPr>
      <w:r w:rsidRPr="006C529D">
        <w:rPr>
          <w:rFonts w:eastAsia="Times New Roman" w:cstheme="minorHAnsi"/>
          <w:b/>
          <w:lang w:eastAsia="cs-CZ"/>
        </w:rPr>
        <w:t xml:space="preserve">Technická </w:t>
      </w:r>
      <w:r w:rsidRPr="006C529D">
        <w:rPr>
          <w:rFonts w:eastAsia="Times New Roman" w:cstheme="minorHAnsi"/>
          <w:b/>
          <w:bCs/>
          <w:lang w:eastAsia="cs-CZ"/>
        </w:rPr>
        <w:t xml:space="preserve">podpora </w:t>
      </w:r>
      <w:r w:rsidR="008207D7" w:rsidRPr="006C529D">
        <w:rPr>
          <w:rFonts w:eastAsia="Times New Roman" w:cstheme="minorHAnsi"/>
          <w:b/>
          <w:bCs/>
          <w:lang w:eastAsia="cs-CZ"/>
        </w:rPr>
        <w:t>a údržba</w:t>
      </w:r>
    </w:p>
    <w:p w14:paraId="623D5069" w14:textId="28C0A996" w:rsidR="009E1A6E" w:rsidRPr="00172FB8" w:rsidRDefault="0017319A" w:rsidP="00667A4D">
      <w:pPr>
        <w:rPr>
          <w:rFonts w:cstheme="minorHAnsi"/>
        </w:rPr>
      </w:pPr>
      <w:r w:rsidRPr="009E1A6E">
        <w:rPr>
          <w:rFonts w:cstheme="minorHAnsi"/>
        </w:rPr>
        <w:t>Specifikace podpory</w:t>
      </w:r>
      <w:r w:rsidR="00EB354E" w:rsidRPr="009E1A6E">
        <w:rPr>
          <w:rFonts w:cstheme="minorHAnsi"/>
        </w:rPr>
        <w:t xml:space="preserve"> a údržby systému</w:t>
      </w:r>
      <w:r w:rsidRPr="009E1A6E">
        <w:rPr>
          <w:rFonts w:cstheme="minorHAnsi"/>
        </w:rPr>
        <w:t>:</w:t>
      </w:r>
    </w:p>
    <w:p w14:paraId="618505E1" w14:textId="7E5C681C" w:rsidR="009F13DB" w:rsidRPr="00667A4D" w:rsidRDefault="00F14C7C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667A4D">
        <w:rPr>
          <w:rFonts w:eastAsia="Times New Roman" w:cstheme="minorHAnsi"/>
          <w:lang w:eastAsia="cs-CZ"/>
        </w:rPr>
        <w:t xml:space="preserve">Objednateli bude poskytnut přístup do supportního portálu výrobce, kde mu bude umožněno zakládat </w:t>
      </w:r>
      <w:r w:rsidR="006C529D">
        <w:rPr>
          <w:rFonts w:eastAsia="Times New Roman" w:cstheme="minorHAnsi"/>
          <w:lang w:eastAsia="cs-CZ"/>
        </w:rPr>
        <w:t>požadavky na řešení problémů s používáním či funkčností dodávaného řešení</w:t>
      </w:r>
      <w:r w:rsidRPr="00667A4D">
        <w:rPr>
          <w:rFonts w:eastAsia="Times New Roman" w:cstheme="minorHAnsi"/>
          <w:lang w:eastAsia="cs-CZ"/>
        </w:rPr>
        <w:t xml:space="preserve">. Tento support portál je dostupný 24/7/365, další podmínky používání portálu včetně specifikace reakčních dob </w:t>
      </w:r>
      <w:r w:rsidR="006C529D">
        <w:rPr>
          <w:rFonts w:eastAsia="Times New Roman" w:cstheme="minorHAnsi"/>
          <w:lang w:eastAsia="cs-CZ"/>
        </w:rPr>
        <w:t xml:space="preserve">a sankcí při jejich nedodržení </w:t>
      </w:r>
      <w:r w:rsidRPr="00667A4D">
        <w:rPr>
          <w:rFonts w:eastAsia="Times New Roman" w:cstheme="minorHAnsi"/>
          <w:lang w:eastAsia="cs-CZ"/>
        </w:rPr>
        <w:t>se řídí všeobecnými obchodními podmínkami výrobce dodávaného řešení.</w:t>
      </w:r>
      <w:r w:rsidR="009E1A6E" w:rsidRPr="00667A4D">
        <w:rPr>
          <w:rFonts w:eastAsia="Times New Roman" w:cstheme="minorHAnsi"/>
          <w:lang w:eastAsia="cs-CZ"/>
        </w:rPr>
        <w:t xml:space="preserve"> </w:t>
      </w:r>
    </w:p>
    <w:p w14:paraId="0D724B84" w14:textId="445493BE" w:rsidR="00BC55D6" w:rsidRDefault="00BC55D6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Nahlášené problémy budou řešeny ve lhůtách stanovených podmínkami výrobce řešení.</w:t>
      </w:r>
    </w:p>
    <w:p w14:paraId="7BB4B583" w14:textId="7057123B" w:rsidR="00BC55D6" w:rsidRDefault="00BC55D6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Účelem podpory a údržby je zajistit funkčnost systému bez vad po smlouvou stanovenou dobu.</w:t>
      </w:r>
    </w:p>
    <w:p w14:paraId="043D0444" w14:textId="4474B52A" w:rsidR="009F13DB" w:rsidRPr="00667A4D" w:rsidRDefault="00F14C7C" w:rsidP="00667A4D">
      <w:pPr>
        <w:pStyle w:val="Odstavecseseznamem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667A4D">
        <w:rPr>
          <w:rFonts w:eastAsia="Times New Roman" w:cstheme="minorHAnsi"/>
          <w:lang w:eastAsia="cs-CZ"/>
        </w:rPr>
        <w:t>Dodavatel se zavazuje k</w:t>
      </w:r>
      <w:r w:rsidR="009F13DB" w:rsidRPr="00667A4D">
        <w:rPr>
          <w:rFonts w:eastAsia="Times New Roman" w:cstheme="minorHAnsi"/>
          <w:lang w:eastAsia="cs-CZ"/>
        </w:rPr>
        <w:t xml:space="preserve"> poskytnutí služby odborných konzultací k dodávanému řešení, a to v rozsahu 3 MD (člověkoden) ročně, celkem </w:t>
      </w:r>
      <w:r w:rsidRPr="00667A4D">
        <w:rPr>
          <w:rFonts w:eastAsia="Times New Roman" w:cstheme="minorHAnsi"/>
          <w:lang w:eastAsia="cs-CZ"/>
        </w:rPr>
        <w:t xml:space="preserve">tedy </w:t>
      </w:r>
      <w:r w:rsidR="009F13DB" w:rsidRPr="00667A4D">
        <w:rPr>
          <w:rFonts w:eastAsia="Times New Roman" w:cstheme="minorHAnsi"/>
          <w:lang w:eastAsia="cs-CZ"/>
        </w:rPr>
        <w:t xml:space="preserve">9 MD využitelných zadavatelem po dobu trvání </w:t>
      </w:r>
      <w:r w:rsidRPr="00667A4D">
        <w:rPr>
          <w:rFonts w:eastAsia="Times New Roman" w:cstheme="minorHAnsi"/>
          <w:lang w:eastAsia="cs-CZ"/>
        </w:rPr>
        <w:t>smlouvy</w:t>
      </w:r>
      <w:r w:rsidR="009F13DB" w:rsidRPr="00667A4D">
        <w:rPr>
          <w:rFonts w:eastAsia="Times New Roman" w:cstheme="minorHAnsi"/>
          <w:lang w:eastAsia="cs-CZ"/>
        </w:rPr>
        <w:t>. 1 MD služeb představuje osm (8) hodin práce konzultačního technika.</w:t>
      </w:r>
    </w:p>
    <w:p w14:paraId="2B23DDED" w14:textId="77777777" w:rsidR="007B031E" w:rsidRDefault="007B031E" w:rsidP="00667A4D">
      <w:pPr>
        <w:pStyle w:val="Odstavecseseznamem"/>
        <w:ind w:left="1440"/>
        <w:jc w:val="both"/>
        <w:rPr>
          <w:rFonts w:cstheme="minorHAnsi"/>
        </w:rPr>
      </w:pPr>
    </w:p>
    <w:p w14:paraId="527B1A0E" w14:textId="77777777" w:rsidR="007B031E" w:rsidRDefault="008207D7" w:rsidP="007B031E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172FB8">
        <w:rPr>
          <w:rFonts w:eastAsia="Times New Roman" w:cstheme="minorHAnsi"/>
          <w:b/>
          <w:lang w:eastAsia="cs-CZ"/>
        </w:rPr>
        <w:t>Aktualizace</w:t>
      </w:r>
    </w:p>
    <w:p w14:paraId="76444A04" w14:textId="41CDD86B" w:rsidR="008207D7" w:rsidRPr="00667A4D" w:rsidRDefault="006C529D" w:rsidP="00667A4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667A4D">
        <w:rPr>
          <w:rFonts w:eastAsia="Times New Roman" w:cstheme="minorHAnsi"/>
          <w:bCs/>
          <w:lang w:eastAsia="cs-CZ"/>
        </w:rPr>
        <w:t>Objednateli budou zpřístupněny pr</w:t>
      </w:r>
      <w:r w:rsidR="008207D7" w:rsidRPr="00667A4D">
        <w:rPr>
          <w:rFonts w:eastAsia="Times New Roman" w:cstheme="minorHAnsi"/>
          <w:lang w:eastAsia="cs-CZ"/>
        </w:rPr>
        <w:t xml:space="preserve">avidelné </w:t>
      </w:r>
      <w:r>
        <w:rPr>
          <w:rFonts w:eastAsia="Times New Roman" w:cstheme="minorHAnsi"/>
          <w:lang w:eastAsia="cs-CZ"/>
        </w:rPr>
        <w:t xml:space="preserve">softwarové </w:t>
      </w:r>
      <w:r w:rsidR="008207D7" w:rsidRPr="00667A4D">
        <w:rPr>
          <w:rFonts w:eastAsia="Times New Roman" w:cstheme="minorHAnsi"/>
          <w:lang w:eastAsia="cs-CZ"/>
        </w:rPr>
        <w:t xml:space="preserve">aktualizace </w:t>
      </w:r>
      <w:r w:rsidR="00BC55D6">
        <w:rPr>
          <w:rFonts w:eastAsia="Times New Roman" w:cstheme="minorHAnsi"/>
          <w:lang w:eastAsia="cs-CZ"/>
        </w:rPr>
        <w:t xml:space="preserve">provedených výrobcem </w:t>
      </w:r>
      <w:r>
        <w:rPr>
          <w:rFonts w:eastAsia="Times New Roman" w:cstheme="minorHAnsi"/>
          <w:lang w:eastAsia="cs-CZ"/>
        </w:rPr>
        <w:t xml:space="preserve">dodaného řešení </w:t>
      </w:r>
      <w:r w:rsidR="008207D7" w:rsidRPr="00667A4D">
        <w:rPr>
          <w:rFonts w:eastAsia="Times New Roman" w:cstheme="minorHAnsi"/>
          <w:lang w:eastAsia="cs-CZ"/>
        </w:rPr>
        <w:t>včetně databáze hrozeb po celou dobu trvání smlouvy.</w:t>
      </w:r>
    </w:p>
    <w:p w14:paraId="3606FFDE" w14:textId="77777777" w:rsidR="007B031E" w:rsidRDefault="007B031E" w:rsidP="00667A4D">
      <w:pPr>
        <w:pStyle w:val="Odstavecseseznamem"/>
        <w:spacing w:before="100" w:beforeAutospacing="1" w:after="100" w:afterAutospacing="1" w:line="240" w:lineRule="auto"/>
        <w:ind w:left="792"/>
        <w:jc w:val="both"/>
        <w:rPr>
          <w:rFonts w:eastAsia="Times New Roman" w:cstheme="minorHAnsi"/>
          <w:lang w:eastAsia="cs-CZ"/>
        </w:rPr>
      </w:pPr>
    </w:p>
    <w:p w14:paraId="31534FEA" w14:textId="4BA031BA" w:rsidR="008A5E64" w:rsidRPr="008A5E64" w:rsidRDefault="008A5E64" w:rsidP="008A5E64">
      <w:pPr>
        <w:pStyle w:val="Odstavecseseznamem"/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8A5E64">
        <w:rPr>
          <w:rFonts w:eastAsia="Times New Roman" w:cstheme="minorHAnsi"/>
          <w:b/>
          <w:bCs/>
          <w:lang w:eastAsia="cs-CZ"/>
        </w:rPr>
        <w:t>Dokumentace</w:t>
      </w:r>
    </w:p>
    <w:p w14:paraId="11382113" w14:textId="08DAD36C" w:rsidR="00943E53" w:rsidRDefault="00943E53" w:rsidP="00667A4D">
      <w:pPr>
        <w:jc w:val="both"/>
      </w:pPr>
      <w:r>
        <w:t xml:space="preserve">Dodavatel zpracuje </w:t>
      </w:r>
      <w:r w:rsidR="00ED7DCE">
        <w:t>jako součást</w:t>
      </w:r>
      <w:r>
        <w:t xml:space="preserve"> implementac</w:t>
      </w:r>
      <w:r w:rsidR="00ED7DCE">
        <w:t>e (instalace)</w:t>
      </w:r>
      <w:r>
        <w:t xml:space="preserve"> systému XDR dokumentaci minimálně v</w:t>
      </w:r>
      <w:r w:rsidR="006C529D">
        <w:t> </w:t>
      </w:r>
      <w:r>
        <w:t>rozsahu</w:t>
      </w:r>
      <w:r w:rsidR="006C529D">
        <w:t xml:space="preserve"> uvedeném níže v této kapitole</w:t>
      </w:r>
      <w:r>
        <w:t xml:space="preserve">. </w:t>
      </w:r>
      <w:r w:rsidR="007B031E">
        <w:t>Dokumentace bude napsána v českém jazyce.</w:t>
      </w:r>
      <w:r w:rsidR="007B031E">
        <w:t xml:space="preserve"> Dokumentace bude dodána i v editovatelném formátu dokumentu, aby mohl </w:t>
      </w:r>
      <w:r w:rsidR="00BC55D6">
        <w:t>o</w:t>
      </w:r>
      <w:r w:rsidR="007B031E">
        <w:t>bjednatel případně do dokumentace zavádět nové skutečnosti či změny</w:t>
      </w:r>
      <w:r w:rsidR="006C529D">
        <w:t xml:space="preserve"> v průběhu používání dodaného řešení</w:t>
      </w:r>
      <w:r w:rsidR="007B031E">
        <w:t>. Výsledná podoba d</w:t>
      </w:r>
      <w:r>
        <w:t>okumentace bude vzájemně odsouhlasen oběma stranami.</w:t>
      </w:r>
    </w:p>
    <w:p w14:paraId="31599B96" w14:textId="77777777" w:rsidR="00943E53" w:rsidRDefault="00943E53" w:rsidP="00667A4D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t>Popis architektury systému</w:t>
      </w:r>
    </w:p>
    <w:p w14:paraId="55B2A07C" w14:textId="4DED85AA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Topologie nasazení (on-prem, cloud, hybrid)</w:t>
      </w:r>
      <w:r w:rsidR="006C529D">
        <w:t>.</w:t>
      </w:r>
    </w:p>
    <w:p w14:paraId="40C38A77" w14:textId="2C2DA3C6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Popis komponent (agenti, serverové části, moduly, konektory, integrace se systémy třetích stran)</w:t>
      </w:r>
      <w:r w:rsidR="006C529D">
        <w:t>.</w:t>
      </w:r>
    </w:p>
    <w:p w14:paraId="28A3D3C5" w14:textId="6DF0B4AD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Síťové vazby (co kam komunikuje – porty, protokoly)</w:t>
      </w:r>
      <w:r w:rsidR="006C529D">
        <w:t>.</w:t>
      </w:r>
    </w:p>
    <w:p w14:paraId="2FFFEC8E" w14:textId="46503135" w:rsidR="00943E53" w:rsidRDefault="006C529D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D</w:t>
      </w:r>
      <w:r w:rsidR="00943E53">
        <w:t>iagram zapojení (vizualizace pro rychlou orientaci).</w:t>
      </w:r>
    </w:p>
    <w:p w14:paraId="0822E213" w14:textId="77777777" w:rsidR="00943E53" w:rsidRDefault="00943E53" w:rsidP="00667A4D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t>Popis integrace s ostatními systémy</w:t>
      </w:r>
    </w:p>
    <w:p w14:paraId="3D47A840" w14:textId="0D7C8883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Popis napojení na SIEM</w:t>
      </w:r>
      <w:r w:rsidR="006C529D">
        <w:t>.</w:t>
      </w:r>
    </w:p>
    <w:p w14:paraId="010E85AE" w14:textId="7D8DBD49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Popis napojení na FW</w:t>
      </w:r>
      <w:r w:rsidR="006C529D">
        <w:t>.</w:t>
      </w:r>
    </w:p>
    <w:p w14:paraId="252B234D" w14:textId="41A3A676" w:rsidR="00943E53" w:rsidRDefault="006C529D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</w:t>
      </w:r>
      <w:r w:rsidR="00943E53">
        <w:t>opis napojení na další nutné komponenty (např. AD).</w:t>
      </w:r>
    </w:p>
    <w:p w14:paraId="02F61892" w14:textId="77777777" w:rsidR="00943E53" w:rsidRDefault="00943E53" w:rsidP="00667A4D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t>Správa a provoz</w:t>
      </w:r>
    </w:p>
    <w:p w14:paraId="36193E9E" w14:textId="3E35C9F8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lastRenderedPageBreak/>
        <w:t>Popis přístupových uživatelských rolí v systému a jejich oprávnění (na co má kdo oprávnění v rámci systému)</w:t>
      </w:r>
      <w:r w:rsidR="006C529D">
        <w:t>.</w:t>
      </w:r>
    </w:p>
    <w:p w14:paraId="0183FD9F" w14:textId="3092056A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Postup přihlašování do správy systému (MFA / AD / SSO)</w:t>
      </w:r>
      <w:r w:rsidR="006C529D">
        <w:t>.</w:t>
      </w:r>
    </w:p>
    <w:p w14:paraId="3FA570C3" w14:textId="6CE67092" w:rsidR="00943E53" w:rsidRDefault="00BC55D6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</w:t>
      </w:r>
      <w:r w:rsidR="00943E53">
        <w:t>opis správy agentů (nasazení, aktualizace, odinstalace, monitoring stavu agentů).</w:t>
      </w:r>
    </w:p>
    <w:p w14:paraId="48E3C4ED" w14:textId="77777777" w:rsidR="00943E53" w:rsidRDefault="00943E53" w:rsidP="00667A4D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t>Nastavení bezpečnostních politik</w:t>
      </w:r>
    </w:p>
    <w:p w14:paraId="6506A677" w14:textId="5F7992AA" w:rsidR="00943E53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Popis nasazených bezpečnostních politik pro zajištění zabezpečení prostředí ČRo</w:t>
      </w:r>
      <w:r w:rsidR="006C529D">
        <w:t>.</w:t>
      </w:r>
    </w:p>
    <w:p w14:paraId="4B2D126C" w14:textId="77777777" w:rsidR="00943E53" w:rsidRDefault="00943E53" w:rsidP="00667A4D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t>Notifikace a logování</w:t>
      </w:r>
    </w:p>
    <w:p w14:paraId="3640BD28" w14:textId="4F03F838" w:rsidR="00BC55D6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</w:pPr>
      <w:r>
        <w:t>Popis nastavení alertů a notifikací na vzniklé incidenty</w:t>
      </w:r>
      <w:r w:rsidR="006C529D">
        <w:t>.</w:t>
      </w:r>
    </w:p>
    <w:p w14:paraId="33F31C9D" w14:textId="29B4EB69" w:rsidR="000108B7" w:rsidRPr="00D435B1" w:rsidRDefault="00943E53" w:rsidP="00667A4D">
      <w:pPr>
        <w:pStyle w:val="Odstavecseseznamem"/>
        <w:numPr>
          <w:ilvl w:val="1"/>
          <w:numId w:val="18"/>
        </w:numPr>
        <w:spacing w:line="256" w:lineRule="auto"/>
        <w:jc w:val="both"/>
        <w:rPr>
          <w:rFonts w:eastAsia="Times New Roman" w:cstheme="minorHAnsi"/>
          <w:lang w:eastAsia="cs-CZ"/>
        </w:rPr>
      </w:pPr>
      <w:r>
        <w:t>Popis nastavení auditních logů událostí (kde se co eviduje, kdo co udělal), popis retenční doby logů a typu logovaných událostí.</w:t>
      </w:r>
      <w:r w:rsidR="006C529D" w:rsidDel="006C529D">
        <w:t xml:space="preserve"> </w:t>
      </w:r>
    </w:p>
    <w:sectPr w:rsidR="000108B7" w:rsidRPr="00D435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24AD1A" w16cid:durableId="2B9FE0D3"/>
  <w16cid:commentId w16cid:paraId="40C0AF14" w16cid:durableId="2BA879B4"/>
  <w16cid:commentId w16cid:paraId="01290290" w16cid:durableId="2BA879D3"/>
  <w16cid:commentId w16cid:paraId="770099D8" w16cid:durableId="2BA879B5"/>
  <w16cid:commentId w16cid:paraId="7DE04DB6" w16cid:durableId="2BA87A92"/>
  <w16cid:commentId w16cid:paraId="70690E3D" w16cid:durableId="2BA879B6"/>
  <w16cid:commentId w16cid:paraId="793F5EA6" w16cid:durableId="2BA87A87"/>
  <w16cid:commentId w16cid:paraId="1F73890E" w16cid:durableId="2BA879B7"/>
  <w16cid:commentId w16cid:paraId="1760FBEA" w16cid:durableId="2BA87B6F"/>
  <w16cid:commentId w16cid:paraId="0D242611" w16cid:durableId="2BA879B8"/>
  <w16cid:commentId w16cid:paraId="380E1C67" w16cid:durableId="2BA87C86"/>
  <w16cid:commentId w16cid:paraId="170E1BAE" w16cid:durableId="2BA879B9"/>
  <w16cid:commentId w16cid:paraId="16E4788F" w16cid:durableId="2BA879BA"/>
  <w16cid:commentId w16cid:paraId="44469C5C" w16cid:durableId="2BA87CBD"/>
  <w16cid:commentId w16cid:paraId="0DED0E32" w16cid:durableId="2BA879BB"/>
  <w16cid:commentId w16cid:paraId="730AC9E1" w16cid:durableId="2BA87DD0"/>
  <w16cid:commentId w16cid:paraId="422E939D" w16cid:durableId="2BA879BC"/>
  <w16cid:commentId w16cid:paraId="1F660DC8" w16cid:durableId="2BA87EA0"/>
  <w16cid:commentId w16cid:paraId="62F59C10" w16cid:durableId="2B9FAB94"/>
  <w16cid:commentId w16cid:paraId="58216A01" w16cid:durableId="2B9FAB95"/>
  <w16cid:commentId w16cid:paraId="4FACB742" w16cid:durableId="2B9FAB96"/>
  <w16cid:commentId w16cid:paraId="27E3BD4B" w16cid:durableId="2B9FAB97"/>
  <w16cid:commentId w16cid:paraId="2C18597F" w16cid:durableId="2B9FAB98"/>
  <w16cid:commentId w16cid:paraId="29A5C697" w16cid:durableId="2B9FAB99"/>
  <w16cid:commentId w16cid:paraId="70F25066" w16cid:durableId="2B9FAB9A"/>
  <w16cid:commentId w16cid:paraId="537C4737" w16cid:durableId="2B9FAB9B"/>
  <w16cid:commentId w16cid:paraId="6CA5723B" w16cid:durableId="2BA879C5"/>
  <w16cid:commentId w16cid:paraId="10A4244A" w16cid:durableId="2BA87F42"/>
  <w16cid:commentId w16cid:paraId="0D0C94B5" w16cid:durableId="2B9FAB9C"/>
  <w16cid:commentId w16cid:paraId="2DB22BB7" w16cid:durableId="2B9FAB9D"/>
  <w16cid:commentId w16cid:paraId="4E6FCE1B" w16cid:durableId="2BA879C8"/>
  <w16cid:commentId w16cid:paraId="4F12CDF6" w16cid:durableId="2BA87FC1"/>
  <w16cid:commentId w16cid:paraId="7F44A7FB" w16cid:durableId="2B9FAB9E"/>
  <w16cid:commentId w16cid:paraId="5FC519EC" w16cid:durableId="2B9FAB9F"/>
  <w16cid:commentId w16cid:paraId="3D1501A9" w16cid:durableId="2B9FABA0"/>
  <w16cid:commentId w16cid:paraId="7DCB803E" w16cid:durableId="2B9FAB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B6E20" w14:textId="77777777" w:rsidR="00693029" w:rsidRDefault="00693029" w:rsidP="00CE5428">
      <w:pPr>
        <w:spacing w:after="0" w:line="240" w:lineRule="auto"/>
      </w:pPr>
      <w:r>
        <w:separator/>
      </w:r>
    </w:p>
  </w:endnote>
  <w:endnote w:type="continuationSeparator" w:id="0">
    <w:p w14:paraId="21C2C413" w14:textId="77777777" w:rsidR="00693029" w:rsidRDefault="00693029" w:rsidP="00CE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E6396" w14:textId="77777777" w:rsidR="00693029" w:rsidRDefault="00693029" w:rsidP="00CE5428">
      <w:pPr>
        <w:spacing w:after="0" w:line="240" w:lineRule="auto"/>
      </w:pPr>
      <w:r>
        <w:separator/>
      </w:r>
    </w:p>
  </w:footnote>
  <w:footnote w:type="continuationSeparator" w:id="0">
    <w:p w14:paraId="3419D7F4" w14:textId="77777777" w:rsidR="00693029" w:rsidRDefault="00693029" w:rsidP="00CE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A8201" w14:textId="2D576C88" w:rsidR="00CE5428" w:rsidRDefault="00CE5428">
    <w:pPr>
      <w:pStyle w:val="Zhlav"/>
    </w:pPr>
    <w:r>
      <w:t xml:space="preserve">Příloha č. 5 ZD - </w:t>
    </w:r>
    <w:r w:rsidRPr="00CE5428">
      <w:t>VZ14_2025-Bezpečnost - detekce a analýza hrozeb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22C1"/>
    <w:multiLevelType w:val="multilevel"/>
    <w:tmpl w:val="F53E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1B17A1"/>
    <w:multiLevelType w:val="multilevel"/>
    <w:tmpl w:val="73EA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9229C"/>
    <w:multiLevelType w:val="hybridMultilevel"/>
    <w:tmpl w:val="12A45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67800"/>
    <w:multiLevelType w:val="multilevel"/>
    <w:tmpl w:val="B55C38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2C253655"/>
    <w:multiLevelType w:val="hybridMultilevel"/>
    <w:tmpl w:val="32DA3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01EE"/>
    <w:multiLevelType w:val="multilevel"/>
    <w:tmpl w:val="7EC6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F3CDF"/>
    <w:multiLevelType w:val="multilevel"/>
    <w:tmpl w:val="F51E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30A61"/>
    <w:multiLevelType w:val="hybridMultilevel"/>
    <w:tmpl w:val="CF56B4BA"/>
    <w:lvl w:ilvl="0" w:tplc="5CD48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46F5A"/>
    <w:multiLevelType w:val="multilevel"/>
    <w:tmpl w:val="3B12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92FA3"/>
    <w:multiLevelType w:val="hybridMultilevel"/>
    <w:tmpl w:val="7440284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44611C"/>
    <w:multiLevelType w:val="multilevel"/>
    <w:tmpl w:val="73EA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DC3E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DF5726"/>
    <w:multiLevelType w:val="hybridMultilevel"/>
    <w:tmpl w:val="1BEA5946"/>
    <w:lvl w:ilvl="0" w:tplc="DF78BA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D6B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746C6D"/>
    <w:multiLevelType w:val="multilevel"/>
    <w:tmpl w:val="D92E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B647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3C30881"/>
    <w:multiLevelType w:val="multilevel"/>
    <w:tmpl w:val="F452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7C0AA5"/>
    <w:multiLevelType w:val="multilevel"/>
    <w:tmpl w:val="FBEE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5D768D"/>
    <w:multiLevelType w:val="hybridMultilevel"/>
    <w:tmpl w:val="8DF4657E"/>
    <w:lvl w:ilvl="0" w:tplc="5CD48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B63C0"/>
    <w:multiLevelType w:val="hybridMultilevel"/>
    <w:tmpl w:val="BB56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23593"/>
    <w:multiLevelType w:val="multilevel"/>
    <w:tmpl w:val="17F22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5F548D"/>
    <w:multiLevelType w:val="multilevel"/>
    <w:tmpl w:val="B55C38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7540714E"/>
    <w:multiLevelType w:val="multilevel"/>
    <w:tmpl w:val="396EAC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273BDF"/>
    <w:multiLevelType w:val="hybridMultilevel"/>
    <w:tmpl w:val="EA88E5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8E5DFC"/>
    <w:multiLevelType w:val="hybridMultilevel"/>
    <w:tmpl w:val="CC2EA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56466E"/>
    <w:multiLevelType w:val="hybridMultilevel"/>
    <w:tmpl w:val="D4D45892"/>
    <w:lvl w:ilvl="0" w:tplc="5CD48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5"/>
  </w:num>
  <w:num w:numId="4">
    <w:abstractNumId w:val="8"/>
  </w:num>
  <w:num w:numId="5">
    <w:abstractNumId w:val="0"/>
  </w:num>
  <w:num w:numId="6">
    <w:abstractNumId w:val="17"/>
  </w:num>
  <w:num w:numId="7">
    <w:abstractNumId w:val="16"/>
  </w:num>
  <w:num w:numId="8">
    <w:abstractNumId w:val="14"/>
  </w:num>
  <w:num w:numId="9">
    <w:abstractNumId w:val="6"/>
  </w:num>
  <w:num w:numId="10">
    <w:abstractNumId w:val="11"/>
  </w:num>
  <w:num w:numId="11">
    <w:abstractNumId w:val="22"/>
  </w:num>
  <w:num w:numId="12">
    <w:abstractNumId w:val="21"/>
  </w:num>
  <w:num w:numId="13">
    <w:abstractNumId w:val="3"/>
  </w:num>
  <w:num w:numId="14">
    <w:abstractNumId w:val="15"/>
  </w:num>
  <w:num w:numId="15">
    <w:abstractNumId w:val="13"/>
  </w:num>
  <w:num w:numId="16">
    <w:abstractNumId w:val="9"/>
  </w:num>
  <w:num w:numId="17">
    <w:abstractNumId w:val="4"/>
  </w:num>
  <w:num w:numId="18">
    <w:abstractNumId w:val="2"/>
  </w:num>
  <w:num w:numId="19">
    <w:abstractNumId w:val="2"/>
  </w:num>
  <w:num w:numId="20">
    <w:abstractNumId w:val="23"/>
  </w:num>
  <w:num w:numId="21">
    <w:abstractNumId w:val="12"/>
  </w:num>
  <w:num w:numId="22">
    <w:abstractNumId w:val="25"/>
  </w:num>
  <w:num w:numId="23">
    <w:abstractNumId w:val="7"/>
  </w:num>
  <w:num w:numId="24">
    <w:abstractNumId w:val="18"/>
  </w:num>
  <w:num w:numId="25">
    <w:abstractNumId w:val="24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763"/>
    <w:rsid w:val="000108B7"/>
    <w:rsid w:val="00035B37"/>
    <w:rsid w:val="00071857"/>
    <w:rsid w:val="00092EC7"/>
    <w:rsid w:val="000B0730"/>
    <w:rsid w:val="00172FB8"/>
    <w:rsid w:val="0017319A"/>
    <w:rsid w:val="00185B0E"/>
    <w:rsid w:val="001D4E90"/>
    <w:rsid w:val="001D701D"/>
    <w:rsid w:val="00201302"/>
    <w:rsid w:val="002B4C00"/>
    <w:rsid w:val="002C7763"/>
    <w:rsid w:val="00324A1C"/>
    <w:rsid w:val="003E7751"/>
    <w:rsid w:val="00413672"/>
    <w:rsid w:val="00416334"/>
    <w:rsid w:val="00422D28"/>
    <w:rsid w:val="00470869"/>
    <w:rsid w:val="00492AD6"/>
    <w:rsid w:val="004955A0"/>
    <w:rsid w:val="00496DBF"/>
    <w:rsid w:val="004F72CA"/>
    <w:rsid w:val="00564C40"/>
    <w:rsid w:val="005678B2"/>
    <w:rsid w:val="00660CC4"/>
    <w:rsid w:val="0066234A"/>
    <w:rsid w:val="00667A4D"/>
    <w:rsid w:val="00693029"/>
    <w:rsid w:val="006C529D"/>
    <w:rsid w:val="006C70DD"/>
    <w:rsid w:val="007B031E"/>
    <w:rsid w:val="007E3E07"/>
    <w:rsid w:val="008207D7"/>
    <w:rsid w:val="008327F6"/>
    <w:rsid w:val="00843150"/>
    <w:rsid w:val="008A5E64"/>
    <w:rsid w:val="00943E53"/>
    <w:rsid w:val="009534D9"/>
    <w:rsid w:val="00997D45"/>
    <w:rsid w:val="009E1A6E"/>
    <w:rsid w:val="009F13DB"/>
    <w:rsid w:val="00A028C3"/>
    <w:rsid w:val="00AD4B1B"/>
    <w:rsid w:val="00AE7C04"/>
    <w:rsid w:val="00AF3808"/>
    <w:rsid w:val="00B33932"/>
    <w:rsid w:val="00B33AE2"/>
    <w:rsid w:val="00B3711F"/>
    <w:rsid w:val="00BB35F7"/>
    <w:rsid w:val="00BC55D6"/>
    <w:rsid w:val="00C84AC3"/>
    <w:rsid w:val="00CE5428"/>
    <w:rsid w:val="00CF5468"/>
    <w:rsid w:val="00D369F3"/>
    <w:rsid w:val="00D435B1"/>
    <w:rsid w:val="00D536FD"/>
    <w:rsid w:val="00D8283A"/>
    <w:rsid w:val="00E3742A"/>
    <w:rsid w:val="00E46CD7"/>
    <w:rsid w:val="00EB354E"/>
    <w:rsid w:val="00ED7DCE"/>
    <w:rsid w:val="00F14C7C"/>
    <w:rsid w:val="00FA06B7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E052"/>
  <w15:chartTrackingRefBased/>
  <w15:docId w15:val="{39D3F61C-5831-4A13-94B3-A45389A5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150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7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link w:val="Nadpis4Char"/>
    <w:uiPriority w:val="9"/>
    <w:qFormat/>
    <w:rsid w:val="008207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8207D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reak-words">
    <w:name w:val="break-words"/>
    <w:basedOn w:val="Normln"/>
    <w:rsid w:val="0082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207D7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9534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3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B33A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3A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3A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A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AE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3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3AE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662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319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B07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B07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496DB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E5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5428"/>
  </w:style>
  <w:style w:type="paragraph" w:styleId="Zpat">
    <w:name w:val="footer"/>
    <w:basedOn w:val="Normln"/>
    <w:link w:val="ZpatChar"/>
    <w:uiPriority w:val="99"/>
    <w:unhideWhenUsed/>
    <w:rsid w:val="00CE5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CRo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Maroušek Petr</dc:creator>
  <cp:keywords/>
  <dc:description/>
  <cp:lastModifiedBy>Greň Jan</cp:lastModifiedBy>
  <cp:revision>29</cp:revision>
  <dcterms:created xsi:type="dcterms:W3CDTF">2025-02-28T06:42:00Z</dcterms:created>
  <dcterms:modified xsi:type="dcterms:W3CDTF">2025-04-29T15:49:00Z</dcterms:modified>
</cp:coreProperties>
</file>