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9F6E09" w:rsidP="0062216F">
      <w:pPr>
        <w:pStyle w:val="Nadpis5"/>
        <w:spacing w:after="0"/>
        <w:rPr>
          <w:rFonts w:cs="Arial"/>
          <w:sz w:val="24"/>
          <w:szCs w:val="24"/>
        </w:rPr>
      </w:pPr>
      <w:r w:rsidRPr="009F6E09">
        <w:rPr>
          <w:rFonts w:cs="Arial"/>
          <w:sz w:val="24"/>
          <w:szCs w:val="24"/>
        </w:rPr>
        <w:t>Zmluva o poskytnutí služieb s prílohami</w:t>
      </w:r>
      <w:r w:rsidRPr="009F6E09">
        <w:rPr>
          <w:rFonts w:cs="Arial"/>
          <w:sz w:val="24"/>
          <w:szCs w:val="24"/>
          <w:highlight w:val="yellow"/>
        </w:rPr>
        <w:t xml:space="preserve"> </w:t>
      </w:r>
      <w:r w:rsidR="0062216F" w:rsidRPr="00C30FEC">
        <w:rPr>
          <w:rFonts w:cs="Arial"/>
          <w:sz w:val="24"/>
          <w:szCs w:val="24"/>
          <w:highlight w:val="yellow"/>
        </w:rPr>
        <w:t>č. ...... (číslo pridelené zákazke resp. iné</w:t>
      </w:r>
      <w:r w:rsidR="0062216F"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7111A0">
            <w:pPr>
              <w:rPr>
                <w:highlight w:val="yellow"/>
              </w:rPr>
            </w:pPr>
            <w:r w:rsidRPr="00222126">
              <w:rPr>
                <w:highlight w:val="yellow"/>
              </w:rPr>
              <w:t xml:space="preserve"> Ing. </w:t>
            </w:r>
            <w:r w:rsidR="007111A0">
              <w:rPr>
                <w:highlight w:val="yellow"/>
              </w:rPr>
              <w:t>Radomír Nečas</w:t>
            </w:r>
            <w:r w:rsidRPr="00222126">
              <w:rPr>
                <w:highlight w:val="yellow"/>
              </w:rPr>
              <w:t xml:space="preserve"> –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t>Čl. 2</w:t>
      </w:r>
    </w:p>
    <w:p w:rsidR="0062216F" w:rsidRPr="00C30FEC" w:rsidRDefault="0062216F" w:rsidP="0062216F">
      <w:pPr>
        <w:spacing w:after="0"/>
        <w:jc w:val="center"/>
        <w:rPr>
          <w:rFonts w:cs="Arial"/>
          <w:b/>
          <w:szCs w:val="20"/>
        </w:rPr>
      </w:pPr>
      <w:r w:rsidRPr="00C30FEC">
        <w:rPr>
          <w:rFonts w:cs="Arial"/>
          <w:b/>
          <w:szCs w:val="20"/>
        </w:rPr>
        <w:t xml:space="preserve">PREDMET ZMLUVY </w:t>
      </w:r>
    </w:p>
    <w:p w:rsidR="0062216F"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w:t>
      </w:r>
      <w:bookmarkStart w:id="0" w:name="_GoBack"/>
      <w:bookmarkEnd w:id="0"/>
      <w:r w:rsidRPr="00C30FEC">
        <w:rPr>
          <w:rFonts w:ascii="Arial" w:hAnsi="Arial" w:cs="Arial"/>
          <w:sz w:val="20"/>
          <w:lang w:val="sk-SK"/>
        </w:rPr>
        <w:t>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920C5E">
        <w:rPr>
          <w:rFonts w:ascii="Arial" w:hAnsi="Arial" w:cs="Arial"/>
          <w:sz w:val="20"/>
          <w:highlight w:val="yellow"/>
          <w:lang w:val="sk-SK"/>
        </w:rPr>
        <w:t>31.</w:t>
      </w:r>
      <w:r w:rsidR="00F0273B">
        <w:rPr>
          <w:rFonts w:ascii="Arial" w:hAnsi="Arial" w:cs="Arial"/>
          <w:sz w:val="20"/>
          <w:highlight w:val="yellow"/>
          <w:lang w:val="sk-SK"/>
        </w:rPr>
        <w:t>12</w:t>
      </w:r>
      <w:r w:rsidR="002266B9">
        <w:rPr>
          <w:rFonts w:ascii="Arial" w:hAnsi="Arial" w:cs="Arial"/>
          <w:sz w:val="20"/>
          <w:highlight w:val="yellow"/>
          <w:lang w:val="sk-SK"/>
        </w:rPr>
        <w:t>.202</w:t>
      </w:r>
      <w:r w:rsidR="007111A0">
        <w:rPr>
          <w:rFonts w:ascii="Arial" w:hAnsi="Arial" w:cs="Arial"/>
          <w:sz w:val="20"/>
          <w:highlight w:val="yellow"/>
          <w:lang w:val="sk-SK"/>
        </w:rPr>
        <w:t>5</w:t>
      </w:r>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lastRenderedPageBreak/>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lastRenderedPageBreak/>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lastRenderedPageBreak/>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ECF" w:rsidRDefault="008D0ECF">
      <w:r>
        <w:separator/>
      </w:r>
    </w:p>
  </w:endnote>
  <w:endnote w:type="continuationSeparator" w:id="0">
    <w:p w:rsidR="008D0ECF" w:rsidRDefault="008D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0273B">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0273B">
                    <w:rPr>
                      <w:bCs/>
                      <w:noProof/>
                      <w:sz w:val="18"/>
                      <w:szCs w:val="18"/>
                    </w:rPr>
                    <w:t>10</w:t>
                  </w:r>
                  <w:r w:rsidRPr="007C3D49">
                    <w:rPr>
                      <w:bCs/>
                      <w:sz w:val="18"/>
                      <w:szCs w:val="18"/>
                    </w:rPr>
                    <w:fldChar w:fldCharType="end"/>
                  </w:r>
                </w:p>
              </w:tc>
            </w:tr>
          </w:tbl>
          <w:p w:rsidR="001319BF" w:rsidRPr="002917A0" w:rsidRDefault="008D0EC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ECF" w:rsidRDefault="008D0ECF">
      <w:r>
        <w:separator/>
      </w:r>
    </w:p>
  </w:footnote>
  <w:footnote w:type="continuationSeparator" w:id="0">
    <w:p w:rsidR="008D0ECF" w:rsidRDefault="008D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4A"/>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4D0"/>
    <w:rsid w:val="00223A08"/>
    <w:rsid w:val="00224F2C"/>
    <w:rsid w:val="00225881"/>
    <w:rsid w:val="00225B9D"/>
    <w:rsid w:val="00225EA0"/>
    <w:rsid w:val="002266B9"/>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9F4"/>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07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1A0"/>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26C"/>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0ECF"/>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0C5E"/>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E0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3E6D"/>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20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113"/>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FF4"/>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5CDA"/>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73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77E8E"/>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C294-8153-47EA-BE3E-39C0B6E3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4752</Words>
  <Characters>27092</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2022-09-16T11:33:00Z</cp:lastPrinted>
  <dcterms:created xsi:type="dcterms:W3CDTF">2022-11-24T07:02:00Z</dcterms:created>
  <dcterms:modified xsi:type="dcterms:W3CDTF">2025-06-10T09:01:00Z</dcterms:modified>
  <cp:category>EIZ</cp:category>
</cp:coreProperties>
</file>