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C74D" w14:textId="77777777" w:rsidR="006A02D2" w:rsidRPr="006A02D2" w:rsidRDefault="006A02D2" w:rsidP="006A02D2">
      <w:pPr>
        <w:pStyle w:val="wazza03"/>
        <w:outlineLvl w:val="0"/>
        <w:rPr>
          <w:color w:val="000000" w:themeColor="text1"/>
        </w:rPr>
      </w:pPr>
      <w:bookmarkStart w:id="0" w:name="_Toc172127530"/>
      <w:bookmarkStart w:id="1" w:name="_Toc172291813"/>
      <w:bookmarkStart w:id="2" w:name="_Toc172297614"/>
      <w:bookmarkStart w:id="3" w:name="_Toc177553529"/>
      <w:bookmarkStart w:id="4" w:name="_Hlk172291046"/>
      <w:r w:rsidRPr="006A02D2">
        <w:rPr>
          <w:color w:val="000000" w:themeColor="text1"/>
        </w:rPr>
        <w:t xml:space="preserve">Čestné vyhlásenie uchádzača - </w:t>
      </w:r>
      <w:bookmarkEnd w:id="0"/>
      <w:bookmarkEnd w:id="1"/>
      <w:bookmarkEnd w:id="2"/>
      <w:r w:rsidRPr="006A02D2">
        <w:rPr>
          <w:color w:val="000000" w:themeColor="text1"/>
        </w:rPr>
        <w:t>vzor</w:t>
      </w:r>
      <w:bookmarkEnd w:id="3"/>
    </w:p>
    <w:p w14:paraId="30379E8E"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256FE4F2" w14:textId="77777777" w:rsidTr="00E11C8E">
        <w:tc>
          <w:tcPr>
            <w:tcW w:w="1397" w:type="pct"/>
            <w:shd w:val="clear" w:color="auto" w:fill="D9D9D9"/>
            <w:vAlign w:val="bottom"/>
          </w:tcPr>
          <w:p w14:paraId="60CA6F4C"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511C9BE9"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519629A9"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08C92771"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7FAD4DF"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5CC5390A" w14:textId="77777777" w:rsidR="006A02D2" w:rsidRPr="00D34F27" w:rsidRDefault="006A02D2" w:rsidP="00E11C8E">
            <w:pPr>
              <w:pStyle w:val="Bezriadkovania"/>
              <w:spacing w:before="60"/>
              <w:jc w:val="both"/>
              <w:rPr>
                <w:rFonts w:ascii="Arial" w:hAnsi="Arial" w:cs="Arial"/>
                <w:b/>
                <w:sz w:val="20"/>
                <w:szCs w:val="20"/>
              </w:rPr>
            </w:pPr>
          </w:p>
        </w:tc>
        <w:tc>
          <w:tcPr>
            <w:tcW w:w="3603" w:type="pct"/>
            <w:shd w:val="clear" w:color="auto" w:fill="auto"/>
            <w:vAlign w:val="bottom"/>
          </w:tcPr>
          <w:p w14:paraId="152A2028"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0C206B1D"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52B9DD1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F62FBD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53635991"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75D2BDF4" w14:textId="77777777" w:rsidTr="00E11C8E">
        <w:tc>
          <w:tcPr>
            <w:tcW w:w="1397" w:type="pct"/>
            <w:shd w:val="clear" w:color="auto" w:fill="D9D9D9"/>
            <w:vAlign w:val="center"/>
          </w:tcPr>
          <w:p w14:paraId="50AEE683"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shd w:val="clear" w:color="auto" w:fill="auto"/>
            <w:vAlign w:val="center"/>
          </w:tcPr>
          <w:p w14:paraId="60CE1E2F" w14:textId="77777777" w:rsidR="006A02D2" w:rsidRPr="00D34F27" w:rsidRDefault="006A02D2" w:rsidP="00E11C8E">
            <w:pPr>
              <w:spacing w:before="60" w:after="60" w:line="252" w:lineRule="auto"/>
              <w:jc w:val="both"/>
              <w:rPr>
                <w:rFonts w:ascii="Arial" w:hAnsi="Arial" w:cs="Arial"/>
                <w:bCs/>
                <w:sz w:val="20"/>
                <w:szCs w:val="20"/>
              </w:rPr>
            </w:pPr>
            <w:r w:rsidRPr="00D34F27">
              <w:rPr>
                <w:rFonts w:ascii="Arial" w:hAnsi="Arial" w:cs="Arial"/>
                <w:b/>
                <w:bCs/>
                <w:sz w:val="20"/>
                <w:szCs w:val="20"/>
              </w:rPr>
              <w:t xml:space="preserve">MH </w:t>
            </w:r>
            <w:proofErr w:type="spellStart"/>
            <w:r w:rsidRPr="00D34F27">
              <w:rPr>
                <w:rFonts w:ascii="Arial" w:hAnsi="Arial" w:cs="Arial"/>
                <w:b/>
                <w:bCs/>
                <w:sz w:val="20"/>
                <w:szCs w:val="20"/>
              </w:rPr>
              <w:t>Invest</w:t>
            </w:r>
            <w:proofErr w:type="spellEnd"/>
            <w:r w:rsidRPr="00D34F27">
              <w:rPr>
                <w:rFonts w:ascii="Arial" w:hAnsi="Arial" w:cs="Arial"/>
                <w:b/>
                <w:bCs/>
                <w:sz w:val="20"/>
                <w:szCs w:val="20"/>
              </w:rPr>
              <w:t>, s.r.o.</w:t>
            </w:r>
            <w:r w:rsidRPr="00D34F27">
              <w:rPr>
                <w:rFonts w:ascii="Arial" w:hAnsi="Arial" w:cs="Arial"/>
                <w:b/>
                <w:sz w:val="20"/>
                <w:szCs w:val="20"/>
              </w:rPr>
              <w:t xml:space="preserve">, </w:t>
            </w:r>
            <w:r w:rsidRPr="00D34F27">
              <w:rPr>
                <w:rFonts w:ascii="Arial" w:hAnsi="Arial" w:cs="Arial"/>
                <w:bCs/>
                <w:sz w:val="20"/>
                <w:szCs w:val="20"/>
              </w:rPr>
              <w:t xml:space="preserve">so sídlom </w:t>
            </w:r>
            <w:r w:rsidRPr="00D34F27">
              <w:rPr>
                <w:rFonts w:ascii="Arial" w:hAnsi="Arial" w:cs="Arial"/>
                <w:sz w:val="20"/>
                <w:szCs w:val="20"/>
              </w:rPr>
              <w:t>Mlynské Nivy 44/A, 821 09 Bratislava</w:t>
            </w:r>
            <w:r w:rsidRPr="00D34F27">
              <w:rPr>
                <w:rFonts w:ascii="Arial" w:hAnsi="Arial" w:cs="Arial"/>
                <w:bCs/>
                <w:sz w:val="20"/>
                <w:szCs w:val="20"/>
              </w:rPr>
              <w:t xml:space="preserve"> </w:t>
            </w:r>
          </w:p>
          <w:p w14:paraId="5E68CECF"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„verejný obstarávateľ“ v príslušnom gramatickom tvare)</w:t>
            </w:r>
          </w:p>
        </w:tc>
      </w:tr>
      <w:tr w:rsidR="006A02D2" w:rsidRPr="00D34F27" w14:paraId="7874BCCB" w14:textId="77777777" w:rsidTr="00E11C8E">
        <w:tc>
          <w:tcPr>
            <w:tcW w:w="1397" w:type="pct"/>
            <w:shd w:val="clear" w:color="auto" w:fill="D9D9D9"/>
            <w:vAlign w:val="center"/>
          </w:tcPr>
          <w:p w14:paraId="30CE22E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shd w:val="clear" w:color="auto" w:fill="auto"/>
            <w:vAlign w:val="center"/>
          </w:tcPr>
          <w:p w14:paraId="6F1E4CC9"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Pr="00D34F27">
              <w:rPr>
                <w:rFonts w:ascii="Arial" w:hAnsi="Arial" w:cs="Arial"/>
                <w:b/>
                <w:sz w:val="20"/>
                <w:szCs w:val="20"/>
              </w:rPr>
              <w:t>ŠURANY INDUSTRIAL PARK - Generálny projektant verejnej infraštruktúry</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7 písm. b) zákona o verejnom obstarávaní </w:t>
            </w:r>
            <w:r w:rsidRPr="00D34F27">
              <w:rPr>
                <w:rFonts w:ascii="Arial" w:hAnsi="Arial" w:cs="Arial"/>
                <w:sz w:val="20"/>
                <w:szCs w:val="20"/>
              </w:rPr>
              <w:t>(ďalej ako „verejná súťaž“ v príslušnom gramatickom tvare)</w:t>
            </w:r>
          </w:p>
        </w:tc>
      </w:tr>
    </w:tbl>
    <w:p w14:paraId="317BA8AA"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uchádzača</w:t>
      </w:r>
      <w:r w:rsidRPr="00D34F27">
        <w:rPr>
          <w:rFonts w:ascii="Arial" w:hAnsi="Arial" w:cs="Arial"/>
          <w:sz w:val="20"/>
          <w:szCs w:val="20"/>
        </w:rPr>
        <w:t>, ktorý predložil ponuku v predmetnej verejnej súťaži</w:t>
      </w:r>
    </w:p>
    <w:p w14:paraId="70025167"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23F9DFD8"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uchádzača, ktorú zastupujem:</w:t>
      </w:r>
    </w:p>
    <w:p w14:paraId="440D2C06"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uchádzača, člen dozorného orgánu</w:t>
      </w:r>
      <w:r w:rsidRPr="00D34F27">
        <w:rPr>
          <w:rFonts w:ascii="Arial" w:hAnsi="Arial" w:cs="Arial"/>
          <w:color w:val="000000"/>
          <w:sz w:val="20"/>
          <w:szCs w:val="20"/>
        </w:rPr>
        <w:t xml:space="preserve"> </w:t>
      </w:r>
      <w:r w:rsidRPr="00D34F27">
        <w:rPr>
          <w:rFonts w:ascii="Arial" w:hAnsi="Arial" w:cs="Arial"/>
          <w:sz w:val="20"/>
          <w:szCs w:val="20"/>
        </w:rPr>
        <w:t>uchádzača a/alebo prokurista</w:t>
      </w:r>
      <w:r w:rsidRPr="00D34F27">
        <w:rPr>
          <w:rFonts w:ascii="Arial" w:hAnsi="Arial" w:cs="Arial"/>
          <w:color w:val="000000"/>
          <w:sz w:val="20"/>
          <w:szCs w:val="20"/>
        </w:rPr>
        <w:t xml:space="preserve"> </w:t>
      </w:r>
      <w:r w:rsidRPr="00D34F27">
        <w:rPr>
          <w:rFonts w:ascii="Arial" w:hAnsi="Arial" w:cs="Arial"/>
          <w:sz w:val="20"/>
          <w:szCs w:val="20"/>
        </w:rPr>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485EB1C1"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pôsobí nasledujúca iná osoba 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73D60F34"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425E904D" w14:textId="77777777" w:rsidTr="00E11C8E">
        <w:tc>
          <w:tcPr>
            <w:tcW w:w="391" w:type="pct"/>
            <w:shd w:val="clear" w:color="auto" w:fill="D9D9D9"/>
            <w:vAlign w:val="center"/>
          </w:tcPr>
          <w:p w14:paraId="761232C7"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332E3EB"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2D23EA8E" w14:textId="77777777" w:rsidTr="00E11C8E">
        <w:tc>
          <w:tcPr>
            <w:tcW w:w="391" w:type="pct"/>
            <w:shd w:val="clear" w:color="auto" w:fill="auto"/>
            <w:vAlign w:val="center"/>
          </w:tcPr>
          <w:p w14:paraId="40D2C352"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shd w:val="clear" w:color="auto" w:fill="auto"/>
            <w:vAlign w:val="center"/>
          </w:tcPr>
          <w:p w14:paraId="709C0976"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2E894634" w14:textId="77777777" w:rsidTr="00E11C8E">
        <w:tc>
          <w:tcPr>
            <w:tcW w:w="391" w:type="pct"/>
            <w:shd w:val="clear" w:color="auto" w:fill="auto"/>
            <w:vAlign w:val="center"/>
          </w:tcPr>
          <w:p w14:paraId="55EA18A2"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shd w:val="clear" w:color="auto" w:fill="auto"/>
            <w:vAlign w:val="center"/>
          </w:tcPr>
          <w:p w14:paraId="10BFF0E5"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60B32A63" w14:textId="77777777" w:rsidTr="00E11C8E">
        <w:tc>
          <w:tcPr>
            <w:tcW w:w="391" w:type="pct"/>
            <w:shd w:val="clear" w:color="auto" w:fill="auto"/>
            <w:vAlign w:val="center"/>
          </w:tcPr>
          <w:p w14:paraId="6356F787"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3.</w:t>
            </w:r>
          </w:p>
        </w:tc>
        <w:tc>
          <w:tcPr>
            <w:tcW w:w="4609" w:type="pct"/>
            <w:shd w:val="clear" w:color="auto" w:fill="auto"/>
            <w:vAlign w:val="center"/>
          </w:tcPr>
          <w:p w14:paraId="1A62F08E" w14:textId="77777777" w:rsidR="006A02D2" w:rsidRPr="00D34F27" w:rsidRDefault="006A02D2" w:rsidP="00E11C8E">
            <w:pPr>
              <w:pStyle w:val="Bezriadkovania"/>
              <w:spacing w:before="60"/>
              <w:jc w:val="both"/>
              <w:rPr>
                <w:rFonts w:ascii="Arial" w:hAnsi="Arial" w:cs="Arial"/>
                <w:sz w:val="20"/>
                <w:szCs w:val="20"/>
              </w:rPr>
            </w:pPr>
          </w:p>
        </w:tc>
      </w:tr>
    </w:tbl>
    <w:p w14:paraId="546DF7A6"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lastRenderedPageBreak/>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19C2736C"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53D2C116" w14:textId="77777777" w:rsidR="006A02D2" w:rsidRPr="002D4AC8" w:rsidRDefault="006A02D2" w:rsidP="006A02D2">
      <w:pPr>
        <w:widowControl w:val="0"/>
        <w:jc w:val="center"/>
        <w:rPr>
          <w:rFonts w:ascii="Arial" w:eastAsia="Calibri"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2D4AC8">
        <w:rPr>
          <w:rFonts w:ascii="Arial" w:eastAsia="Calibri" w:hAnsi="Arial" w:cs="Arial"/>
          <w:sz w:val="20"/>
          <w:szCs w:val="20"/>
        </w:rPr>
        <w:t>meno a priezvisko, funkcia</w:t>
      </w:r>
    </w:p>
    <w:p w14:paraId="57465470" w14:textId="77777777" w:rsidR="006A02D2" w:rsidRPr="002D4AC8" w:rsidRDefault="006A02D2" w:rsidP="006A02D2">
      <w:pPr>
        <w:pStyle w:val="Bezriadkovania"/>
        <w:spacing w:before="60"/>
        <w:ind w:left="5672" w:firstLine="709"/>
        <w:jc w:val="both"/>
        <w:rPr>
          <w:rFonts w:ascii="Arial" w:eastAsia="Calibri" w:hAnsi="Arial" w:cs="Arial"/>
          <w:sz w:val="20"/>
          <w:szCs w:val="20"/>
          <w:vertAlign w:val="superscript"/>
        </w:rPr>
      </w:pPr>
      <w:r w:rsidRPr="002D4AC8">
        <w:rPr>
          <w:rFonts w:ascii="Arial" w:eastAsia="Calibri" w:hAnsi="Arial" w:cs="Arial"/>
          <w:sz w:val="20"/>
          <w:szCs w:val="20"/>
        </w:rPr>
        <w:t>podpi</w:t>
      </w:r>
      <w:r>
        <w:rPr>
          <w:rFonts w:ascii="Arial" w:eastAsia="Calibri" w:hAnsi="Arial" w:cs="Arial"/>
          <w:sz w:val="20"/>
          <w:szCs w:val="20"/>
        </w:rPr>
        <w:t>s</w:t>
      </w:r>
      <w:r>
        <w:rPr>
          <w:rFonts w:ascii="Arial" w:eastAsia="Calibri" w:hAnsi="Arial" w:cs="Arial"/>
          <w:sz w:val="20"/>
          <w:szCs w:val="20"/>
          <w:vertAlign w:val="superscript"/>
        </w:rPr>
        <w:t>1</w:t>
      </w:r>
    </w:p>
    <w:p w14:paraId="402238A9" w14:textId="77777777" w:rsidR="006A02D2" w:rsidRDefault="006A02D2" w:rsidP="006A02D2">
      <w:pPr>
        <w:pStyle w:val="Bezriadkovania"/>
        <w:spacing w:before="60"/>
        <w:jc w:val="both"/>
        <w:rPr>
          <w:rFonts w:ascii="Arial" w:eastAsia="Calibri" w:hAnsi="Arial" w:cs="Arial"/>
          <w:sz w:val="20"/>
          <w:szCs w:val="20"/>
        </w:rPr>
      </w:pPr>
    </w:p>
    <w:p w14:paraId="7BE47B6A" w14:textId="77777777" w:rsidR="006A02D2" w:rsidRDefault="006A02D2" w:rsidP="006A02D2">
      <w:pPr>
        <w:pStyle w:val="Bezriadkovania"/>
        <w:spacing w:before="60"/>
        <w:jc w:val="both"/>
        <w:rPr>
          <w:rFonts w:ascii="Arial" w:eastAsia="Calibri" w:hAnsi="Arial" w:cs="Arial"/>
          <w:sz w:val="20"/>
          <w:szCs w:val="20"/>
        </w:rPr>
      </w:pPr>
    </w:p>
    <w:p w14:paraId="075F916A"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uchádzača</w:t>
      </w:r>
      <w:r w:rsidRPr="00D34F27">
        <w:rPr>
          <w:rFonts w:ascii="Arial" w:hAnsi="Arial" w:cs="Arial"/>
          <w:sz w:val="20"/>
          <w:szCs w:val="20"/>
        </w:rPr>
        <w:t>, ktorý predložil ponuku v predmetnej verejnej súťaži</w:t>
      </w:r>
    </w:p>
    <w:p w14:paraId="785A4561"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3A248B15"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špecifikovaná v § 32 ods. 7 a ods. 8 zákona o verejnom obstarávaní, ktorú uchádzač identifikoval vo vyššie uvedenej tabuľke, spĺňa podmienku účasti týkajúcu sa osobného postavenia podľa § 32 ods. 1 písm. a) zákona o verejnom obstarávaní.</w:t>
      </w:r>
    </w:p>
    <w:p w14:paraId="26F86D63"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238930C1"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bookmarkEnd w:id="4"/>
    <w:p w14:paraId="61202205" w14:textId="77777777" w:rsidR="006A02D2" w:rsidRDefault="006A02D2" w:rsidP="006A02D2">
      <w:pPr>
        <w:widowControl w:val="0"/>
        <w:spacing w:after="6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4F27">
        <w:rPr>
          <w:rFonts w:ascii="Arial" w:hAnsi="Arial" w:cs="Arial"/>
          <w:sz w:val="20"/>
          <w:szCs w:val="20"/>
        </w:rPr>
        <w:t>meno a priezvisko, funkcia</w:t>
      </w:r>
    </w:p>
    <w:p w14:paraId="28C605B7" w14:textId="77777777" w:rsidR="006A02D2" w:rsidRPr="002D4AC8" w:rsidRDefault="006A02D2" w:rsidP="006A02D2">
      <w:pPr>
        <w:widowControl w:val="0"/>
        <w:ind w:left="3545" w:firstLine="709"/>
        <w:jc w:val="center"/>
        <w:rPr>
          <w:rFonts w:ascii="Arial" w:hAnsi="Arial" w:cs="Arial"/>
          <w:sz w:val="20"/>
          <w:szCs w:val="20"/>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1"/>
        <w:t>1</w:t>
      </w:r>
      <w:r w:rsidRPr="00D34F27">
        <w:rPr>
          <w:rFonts w:ascii="Arial" w:hAnsi="Arial" w:cs="Arial"/>
          <w:highlight w:val="green"/>
        </w:rPr>
        <w:br w:type="page"/>
      </w:r>
    </w:p>
    <w:p w14:paraId="60C5936E" w14:textId="77777777" w:rsidR="006A02D2" w:rsidRPr="006A02D2" w:rsidRDefault="006A02D2" w:rsidP="006A02D2">
      <w:pPr>
        <w:pStyle w:val="wazza03"/>
        <w:outlineLvl w:val="0"/>
        <w:rPr>
          <w:color w:val="000000" w:themeColor="text1"/>
        </w:rPr>
      </w:pPr>
      <w:bookmarkStart w:id="5" w:name="_Toc177553531"/>
      <w:r w:rsidRPr="006A02D2">
        <w:rPr>
          <w:color w:val="000000" w:themeColor="text1"/>
        </w:rPr>
        <w:lastRenderedPageBreak/>
        <w:t>Čestné vyhlásenie inej osoby, ktorej finančné zdroje uchádzač využíva na preukázanie finančného a ekonomického postavenia - vzor</w:t>
      </w:r>
      <w:bookmarkEnd w:id="5"/>
    </w:p>
    <w:p w14:paraId="16B5BEC0"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529EA660" w14:textId="77777777" w:rsidTr="00E11C8E">
        <w:tc>
          <w:tcPr>
            <w:tcW w:w="1397" w:type="pct"/>
            <w:shd w:val="clear" w:color="auto" w:fill="D9D9D9"/>
            <w:vAlign w:val="bottom"/>
          </w:tcPr>
          <w:p w14:paraId="556392C8"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inej osoby:</w:t>
            </w:r>
          </w:p>
          <w:p w14:paraId="6802E3FC"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51F138E0"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E1FCCA8"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14FB165C" w14:textId="77777777" w:rsidR="006A02D2" w:rsidRPr="00D34F27" w:rsidRDefault="006A02D2" w:rsidP="00E11C8E">
            <w:pPr>
              <w:spacing w:before="60" w:after="60" w:line="252" w:lineRule="auto"/>
              <w:jc w:val="both"/>
              <w:rPr>
                <w:rFonts w:ascii="Arial" w:hAnsi="Arial" w:cs="Arial"/>
                <w:b/>
                <w:sz w:val="20"/>
                <w:szCs w:val="20"/>
              </w:rPr>
            </w:pPr>
          </w:p>
        </w:tc>
        <w:tc>
          <w:tcPr>
            <w:tcW w:w="3603" w:type="pct"/>
            <w:shd w:val="clear" w:color="auto" w:fill="auto"/>
            <w:vAlign w:val="bottom"/>
          </w:tcPr>
          <w:p w14:paraId="7F958C47" w14:textId="77777777" w:rsidR="006A02D2" w:rsidRPr="00D34F27" w:rsidRDefault="006A02D2" w:rsidP="00E11C8E">
            <w:pPr>
              <w:spacing w:before="60" w:after="60" w:line="252" w:lineRule="auto"/>
              <w:jc w:val="both"/>
              <w:rPr>
                <w:rFonts w:ascii="Arial" w:eastAsia="Calibri" w:hAnsi="Arial" w:cs="Arial"/>
                <w:sz w:val="20"/>
                <w:szCs w:val="20"/>
              </w:rPr>
            </w:pPr>
          </w:p>
          <w:p w14:paraId="27337D3A"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7D57D03D"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CDCC0E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BE0300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hAnsi="Arial" w:cs="Arial"/>
                <w:sz w:val="20"/>
                <w:szCs w:val="20"/>
              </w:rPr>
              <w:t>(ďalej ako „iná osoba podľa § 33 ods. 2 zákona o verejnom obstarávaní“ v príslušnom gramatickom tvare)</w:t>
            </w:r>
          </w:p>
        </w:tc>
      </w:tr>
      <w:tr w:rsidR="006A02D2" w:rsidRPr="00D34F27" w14:paraId="66CA0AC9" w14:textId="77777777" w:rsidTr="00E11C8E">
        <w:tc>
          <w:tcPr>
            <w:tcW w:w="1397" w:type="pct"/>
            <w:shd w:val="clear" w:color="auto" w:fill="D9D9D9"/>
            <w:vAlign w:val="bottom"/>
          </w:tcPr>
          <w:p w14:paraId="2B618F10"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58BA18A6"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76508F3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0B9314F0"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496FAA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4F1AACBD" w14:textId="77777777" w:rsidR="006A02D2" w:rsidRPr="00D34F27" w:rsidRDefault="006A02D2" w:rsidP="00E11C8E">
            <w:pPr>
              <w:pStyle w:val="Bezriadkovania"/>
              <w:spacing w:before="60"/>
              <w:jc w:val="both"/>
              <w:rPr>
                <w:rFonts w:ascii="Arial" w:hAnsi="Arial" w:cs="Arial"/>
                <w:b/>
                <w:sz w:val="20"/>
                <w:szCs w:val="20"/>
              </w:rPr>
            </w:pPr>
          </w:p>
        </w:tc>
        <w:tc>
          <w:tcPr>
            <w:tcW w:w="3603" w:type="pct"/>
            <w:shd w:val="clear" w:color="auto" w:fill="auto"/>
            <w:vAlign w:val="bottom"/>
          </w:tcPr>
          <w:p w14:paraId="4D61A0DB"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564D55D"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785A2886"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5D1916B"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43C48FB6"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5792A87F" w14:textId="77777777" w:rsidTr="00E11C8E">
        <w:tc>
          <w:tcPr>
            <w:tcW w:w="1397" w:type="pct"/>
            <w:shd w:val="clear" w:color="auto" w:fill="D9D9D9"/>
            <w:vAlign w:val="center"/>
          </w:tcPr>
          <w:p w14:paraId="700CC0C5"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shd w:val="clear" w:color="auto" w:fill="auto"/>
            <w:vAlign w:val="center"/>
          </w:tcPr>
          <w:p w14:paraId="344C3A28" w14:textId="77777777" w:rsidR="006A02D2" w:rsidRPr="00D34F27" w:rsidRDefault="006A02D2" w:rsidP="00E11C8E">
            <w:pPr>
              <w:spacing w:before="60" w:after="60" w:line="252" w:lineRule="auto"/>
              <w:jc w:val="both"/>
              <w:rPr>
                <w:rFonts w:ascii="Arial" w:hAnsi="Arial" w:cs="Arial"/>
                <w:bCs/>
                <w:sz w:val="20"/>
                <w:szCs w:val="20"/>
              </w:rPr>
            </w:pPr>
            <w:r w:rsidRPr="00D34F27">
              <w:rPr>
                <w:rFonts w:ascii="Arial" w:hAnsi="Arial" w:cs="Arial"/>
                <w:b/>
                <w:bCs/>
                <w:sz w:val="20"/>
                <w:szCs w:val="20"/>
              </w:rPr>
              <w:t xml:space="preserve">MH </w:t>
            </w:r>
            <w:proofErr w:type="spellStart"/>
            <w:r w:rsidRPr="00D34F27">
              <w:rPr>
                <w:rFonts w:ascii="Arial" w:hAnsi="Arial" w:cs="Arial"/>
                <w:b/>
                <w:bCs/>
                <w:sz w:val="20"/>
                <w:szCs w:val="20"/>
              </w:rPr>
              <w:t>Invest</w:t>
            </w:r>
            <w:proofErr w:type="spellEnd"/>
            <w:r w:rsidRPr="00D34F27">
              <w:rPr>
                <w:rFonts w:ascii="Arial" w:hAnsi="Arial" w:cs="Arial"/>
                <w:b/>
                <w:bCs/>
                <w:sz w:val="20"/>
                <w:szCs w:val="20"/>
              </w:rPr>
              <w:t>, s.r.o.</w:t>
            </w:r>
            <w:r w:rsidRPr="00D34F27">
              <w:rPr>
                <w:rFonts w:ascii="Arial" w:hAnsi="Arial" w:cs="Arial"/>
                <w:b/>
                <w:sz w:val="20"/>
                <w:szCs w:val="20"/>
              </w:rPr>
              <w:t xml:space="preserve">, </w:t>
            </w:r>
            <w:r w:rsidRPr="00D34F27">
              <w:rPr>
                <w:rFonts w:ascii="Arial" w:hAnsi="Arial" w:cs="Arial"/>
                <w:bCs/>
                <w:sz w:val="20"/>
                <w:szCs w:val="20"/>
              </w:rPr>
              <w:t xml:space="preserve">so sídlom </w:t>
            </w:r>
            <w:r w:rsidRPr="00D34F27">
              <w:rPr>
                <w:rFonts w:ascii="Arial" w:hAnsi="Arial" w:cs="Arial"/>
                <w:sz w:val="20"/>
                <w:szCs w:val="20"/>
              </w:rPr>
              <w:t>Mlynské Nivy 44/A, 821 09 Bratislava</w:t>
            </w:r>
            <w:r w:rsidRPr="00D34F27">
              <w:rPr>
                <w:rFonts w:ascii="Arial" w:hAnsi="Arial" w:cs="Arial"/>
                <w:bCs/>
                <w:sz w:val="20"/>
                <w:szCs w:val="20"/>
              </w:rPr>
              <w:t xml:space="preserve"> </w:t>
            </w:r>
          </w:p>
          <w:p w14:paraId="6B5FDC48"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„verejný obstarávateľ“ v príslušnom gramatickom tvare)</w:t>
            </w:r>
          </w:p>
        </w:tc>
      </w:tr>
      <w:tr w:rsidR="006A02D2" w:rsidRPr="00D34F27" w14:paraId="42BD89AB" w14:textId="77777777" w:rsidTr="00E11C8E">
        <w:tc>
          <w:tcPr>
            <w:tcW w:w="1397" w:type="pct"/>
            <w:shd w:val="clear" w:color="auto" w:fill="D9D9D9"/>
            <w:vAlign w:val="center"/>
          </w:tcPr>
          <w:p w14:paraId="3056F12C"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shd w:val="clear" w:color="auto" w:fill="auto"/>
            <w:vAlign w:val="center"/>
          </w:tcPr>
          <w:p w14:paraId="126EE114"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Pr="00D34F27">
              <w:rPr>
                <w:rFonts w:ascii="Arial" w:hAnsi="Arial" w:cs="Arial"/>
                <w:b/>
                <w:sz w:val="20"/>
                <w:szCs w:val="20"/>
              </w:rPr>
              <w:t>ŠURANY INDUSTRIAL PARK - Generálny projektant verejnej infraštruktúry</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7 písm. b) zákona o verejnom obstarávaní </w:t>
            </w:r>
            <w:r w:rsidRPr="00D34F27">
              <w:rPr>
                <w:rFonts w:ascii="Arial" w:hAnsi="Arial" w:cs="Arial"/>
                <w:sz w:val="20"/>
                <w:szCs w:val="20"/>
              </w:rPr>
              <w:t>(ďalej ako „verejná súťaž“ v príslušnom gramatickom tvare)</w:t>
            </w:r>
          </w:p>
        </w:tc>
      </w:tr>
    </w:tbl>
    <w:p w14:paraId="7C5730F2"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33 ods. 2 zákona o verejnom obstarávaní, ktorej technické a odborné kapacity uchádzač využíva na preukázanie technickej spôsobilosti alebo odbornej spôsobilosti v predmetnej verejnej súťaži</w:t>
      </w:r>
    </w:p>
    <w:p w14:paraId="37FDAD39"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19EB408C"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inej osoby podľa § 33 ods. 2 zákona o verejnom obstarávaní, ktorú zastupujem:</w:t>
      </w:r>
    </w:p>
    <w:p w14:paraId="7117F05B"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ktorá má právo za inú osobu podľa § 33 ods. 2 zákona o verejnom obstarávaní konať, ktorá má práva spojené s rozhodovaním alebo kontrolou v spoločnosti inej osoby podľa § 33 ods. 2 zákona o verejnom obstarávaní, resp. osoba ktorá má rozhodujúci vplyv na činnosť inej osoby podľa § 33 ods. 2 zákona o verejnom obstarávaní, jej strategické ciele alebo významné rozhodnutia prostredníctvom vlastníckeho práva, finančného podielu alebo pravidiel, ktorými sa iná osoba podľa § 33 ods. 2 zákona o verejnom obstarávaní spravuje, pričom rozhodujúcim vplyvom sa rozumie, ak iná osoba vlastní väčšinu akcií alebo väčšinový obchodný podiel u inej osoby podľa § 33 ods. 2 zákona o verejnom obstarávaní, má väčšinu hlasovacích práv u inej osoby podľa § 33 ods. 2 zákona o verejnom obstarávaní, má právo vymenúvať alebo odvolávať väčšinu členov štatutárneho orgánu inej osoby podľa § 33 ods. 2 zákona o verejnom obstarávaní alebo dozorného orgánu inej osoby podľa § 33 ods. 2 zákona o verejnom obstarávaní, alebo má právo vykonávať rozhodujúci vplyv na základe dohody uzavretej s inou osobou podľa § 33 ods. 3 zákona o verejnom obstarávaní alebo na základe spoločenskej zmluvy, zakladateľskej listiny alebo stanov, ak to umožňuje právo štátu, ktorými sa táto osoba riadi;</w:t>
      </w:r>
    </w:p>
    <w:p w14:paraId="3E6CC76C"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lastRenderedPageBreak/>
        <w:t>☐</w:t>
      </w:r>
      <w:r w:rsidRPr="00D34F27">
        <w:rPr>
          <w:rFonts w:ascii="Arial" w:hAnsi="Arial" w:cs="Arial"/>
          <w:sz w:val="20"/>
          <w:szCs w:val="20"/>
        </w:rPr>
        <w:tab/>
        <w:t>pôsobí nasledujúca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ktorá má právo za inú osobu podľa § 33 ods. 2 zákona o verejnom obstarávaní konať, ktorá má práva spojené s rozhodovaním alebo kontrolou v spoločnosti inej osoby podľa § 33 ods. 2 zákona o verejnom obstarávaní, resp. osoba ktorá má rozhodujúci vplyv na činnosť inej osoby podľa § 33 ods. 2 zákona o verejnom obstarávaní, jej strategické ciele alebo významné rozhodnutia prostredníctvom vlastníckeho práva, finančného podielu alebo pravidiel, ktorými sa iná osoba podľa § 33 ods. 2 zákona o verejnom obstarávaní spravuje, pričom rozhodujúcim vplyvom sa rozumie, ak iná osoba vlastní väčšinu akcií alebo väčšinový obchodný podiel u inej osoby podľa § 33 ods. 2 zákona o verejnom obstarávaní, má väčšinu hlasovacích práv u inej osoby podľa § 33 ods. 2 zákona o verejnom obstarávaní, má právo vymenúvať alebo odvolávať väčšinu členov štatutárneho orgánu inej osoby podľa § 33 ods. 2 zákona o verejnom obstarávaní alebo dozorného orgánu inej osoby podľa § 33 ods. 2 zákona o verejnom obstarávaní, alebo má právo vykonávať rozhodujúci vplyv na základe dohody uzavretej s inou osobou podľa § 33 ods. 2 zákona o verejnom obstarávaní alebo na základe spoločenskej zmluvy, zakladateľskej listiny alebo stanov, ak to umožňuje právo štátu, ktorými sa táto osoba riadi:</w:t>
      </w:r>
    </w:p>
    <w:p w14:paraId="6E2B5785"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1E14214D" w14:textId="77777777" w:rsidTr="00E11C8E">
        <w:tc>
          <w:tcPr>
            <w:tcW w:w="391" w:type="pct"/>
            <w:shd w:val="clear" w:color="auto" w:fill="D9D9D9"/>
            <w:vAlign w:val="center"/>
          </w:tcPr>
          <w:p w14:paraId="0FC968A1"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CBF9DC3"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11F73536" w14:textId="77777777" w:rsidTr="00E11C8E">
        <w:tc>
          <w:tcPr>
            <w:tcW w:w="391" w:type="pct"/>
            <w:shd w:val="clear" w:color="auto" w:fill="auto"/>
            <w:vAlign w:val="center"/>
          </w:tcPr>
          <w:p w14:paraId="054E4A30"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shd w:val="clear" w:color="auto" w:fill="auto"/>
            <w:vAlign w:val="center"/>
          </w:tcPr>
          <w:p w14:paraId="2780C44B"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AC167D3" w14:textId="77777777" w:rsidTr="00E11C8E">
        <w:tc>
          <w:tcPr>
            <w:tcW w:w="391" w:type="pct"/>
            <w:shd w:val="clear" w:color="auto" w:fill="auto"/>
            <w:vAlign w:val="center"/>
          </w:tcPr>
          <w:p w14:paraId="53C1026D"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shd w:val="clear" w:color="auto" w:fill="auto"/>
            <w:vAlign w:val="center"/>
          </w:tcPr>
          <w:p w14:paraId="2E86F713"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0BE104C" w14:textId="77777777" w:rsidTr="00E11C8E">
        <w:tc>
          <w:tcPr>
            <w:tcW w:w="391" w:type="pct"/>
            <w:shd w:val="clear" w:color="auto" w:fill="auto"/>
            <w:vAlign w:val="center"/>
          </w:tcPr>
          <w:p w14:paraId="38B8CDEA"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3.</w:t>
            </w:r>
          </w:p>
        </w:tc>
        <w:tc>
          <w:tcPr>
            <w:tcW w:w="4609" w:type="pct"/>
            <w:shd w:val="clear" w:color="auto" w:fill="auto"/>
            <w:vAlign w:val="center"/>
          </w:tcPr>
          <w:p w14:paraId="24C04FB1" w14:textId="77777777" w:rsidR="006A02D2" w:rsidRPr="00D34F27" w:rsidRDefault="006A02D2" w:rsidP="00E11C8E">
            <w:pPr>
              <w:pStyle w:val="Bezriadkovania"/>
              <w:spacing w:before="60"/>
              <w:jc w:val="both"/>
              <w:rPr>
                <w:rFonts w:ascii="Arial" w:hAnsi="Arial" w:cs="Arial"/>
                <w:sz w:val="20"/>
                <w:szCs w:val="20"/>
              </w:rPr>
            </w:pPr>
          </w:p>
        </w:tc>
      </w:tr>
    </w:tbl>
    <w:p w14:paraId="1683E2AB"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5C9B704B"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522FDF19"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118EAF2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2"/>
        <w:t>1</w:t>
      </w:r>
    </w:p>
    <w:p w14:paraId="29E33D2C" w14:textId="77777777" w:rsidR="006A02D2" w:rsidRDefault="006A02D2" w:rsidP="006A02D2">
      <w:pPr>
        <w:pStyle w:val="Bezriadkovania"/>
        <w:spacing w:before="60"/>
        <w:jc w:val="both"/>
        <w:rPr>
          <w:rFonts w:ascii="Arial" w:hAnsi="Arial" w:cs="Arial"/>
          <w:color w:val="000000"/>
          <w:sz w:val="20"/>
          <w:szCs w:val="20"/>
        </w:rPr>
      </w:pPr>
    </w:p>
    <w:p w14:paraId="0DAE8313" w14:textId="77777777" w:rsidR="006A02D2" w:rsidRDefault="006A02D2" w:rsidP="006A02D2">
      <w:pPr>
        <w:pStyle w:val="Bezriadkovania"/>
        <w:spacing w:before="60"/>
        <w:jc w:val="both"/>
        <w:rPr>
          <w:rFonts w:ascii="Arial" w:hAnsi="Arial" w:cs="Arial"/>
          <w:color w:val="000000"/>
          <w:sz w:val="20"/>
          <w:szCs w:val="20"/>
        </w:rPr>
      </w:pPr>
    </w:p>
    <w:p w14:paraId="7AE72B51"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33 ods. 2 zákona o verejnom obstarávaní, ktorej finančné zdroje uchádzač využíva na preukázanie finančného a ekonomického postavenia v predmetnej verejnej súťaži</w:t>
      </w:r>
    </w:p>
    <w:p w14:paraId="1175C434"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6DF4C971"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 xml:space="preserve">špecifikovaná v § 32 ods. 7 a ods. 8 zákona o verejnom obstarávaní, ktorú </w:t>
      </w:r>
      <w:r w:rsidRPr="00D34F27">
        <w:rPr>
          <w:rFonts w:ascii="Arial" w:hAnsi="Arial" w:cs="Arial"/>
          <w:sz w:val="20"/>
          <w:szCs w:val="20"/>
        </w:rPr>
        <w:t>iná osoba podľa § 33 ods. 2 zákona o verejnom obstarávaní</w:t>
      </w:r>
      <w:r w:rsidRPr="00D34F27">
        <w:rPr>
          <w:rFonts w:ascii="Arial" w:eastAsia="Calibri" w:hAnsi="Arial" w:cs="Arial"/>
          <w:sz w:val="20"/>
          <w:szCs w:val="20"/>
        </w:rPr>
        <w:t xml:space="preserve"> identifikovala vo vyššie uvedenej tabuľke, spĺňa podmienku účasti týkajúcu sa osobného postavenia podľa § 32 ods. 1 písm. a) zákona o verejnom obstarávaní.</w:t>
      </w:r>
    </w:p>
    <w:p w14:paraId="62E0E9FC"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697D6527"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0A9E65A2"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79ADB0D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3"/>
        <w:t>1</w:t>
      </w:r>
    </w:p>
    <w:p w14:paraId="17673D9F" w14:textId="77777777" w:rsidR="006A02D2" w:rsidRPr="00D34F27" w:rsidRDefault="006A02D2" w:rsidP="006A02D2">
      <w:pPr>
        <w:pStyle w:val="Bezriadkovania"/>
        <w:spacing w:before="60"/>
        <w:ind w:right="-2"/>
        <w:jc w:val="both"/>
        <w:rPr>
          <w:rFonts w:ascii="Arial" w:hAnsi="Arial" w:cs="Arial"/>
          <w:highlight w:val="green"/>
        </w:rPr>
      </w:pPr>
    </w:p>
    <w:p w14:paraId="6EB3B1BC" w14:textId="77777777" w:rsidR="006A02D2" w:rsidRPr="00D34F27" w:rsidRDefault="006A02D2" w:rsidP="006A02D2">
      <w:pPr>
        <w:spacing w:after="160" w:line="259" w:lineRule="auto"/>
        <w:rPr>
          <w:rFonts w:ascii="Arial" w:eastAsiaTheme="minorHAnsi" w:hAnsi="Arial" w:cs="Arial"/>
          <w:sz w:val="22"/>
          <w:szCs w:val="22"/>
          <w:highlight w:val="green"/>
          <w:lang w:eastAsia="en-US"/>
        </w:rPr>
      </w:pPr>
      <w:r w:rsidRPr="00D34F27">
        <w:rPr>
          <w:rFonts w:ascii="Arial" w:hAnsi="Arial" w:cs="Arial"/>
          <w:highlight w:val="green"/>
        </w:rPr>
        <w:br w:type="page"/>
      </w:r>
    </w:p>
    <w:p w14:paraId="360A3BBB" w14:textId="77777777" w:rsidR="006A02D2" w:rsidRPr="006A02D2" w:rsidRDefault="006A02D2" w:rsidP="006A02D2">
      <w:pPr>
        <w:pStyle w:val="wazza03"/>
        <w:outlineLvl w:val="0"/>
        <w:rPr>
          <w:color w:val="000000" w:themeColor="text1"/>
        </w:rPr>
      </w:pPr>
      <w:bookmarkStart w:id="6" w:name="_Toc177553533"/>
      <w:bookmarkStart w:id="7" w:name="_Toc172127532"/>
      <w:bookmarkStart w:id="8" w:name="_Toc172291815"/>
      <w:bookmarkStart w:id="9" w:name="_Toc172297616"/>
      <w:r w:rsidRPr="006A02D2">
        <w:rPr>
          <w:color w:val="000000" w:themeColor="text1"/>
        </w:rPr>
        <w:lastRenderedPageBreak/>
        <w:t>Čestné vyhlásenie inej osoby, ktorej teCHnické a odborné kapacity uchádzač využíva na preukázanie technickej spôsobilosti alebo odbornej spôsobilosti - vzor</w:t>
      </w:r>
      <w:bookmarkEnd w:id="6"/>
    </w:p>
    <w:bookmarkEnd w:id="7"/>
    <w:bookmarkEnd w:id="8"/>
    <w:bookmarkEnd w:id="9"/>
    <w:p w14:paraId="41A258AA"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75684D37" w14:textId="77777777" w:rsidTr="00E11C8E">
        <w:tc>
          <w:tcPr>
            <w:tcW w:w="1397" w:type="pct"/>
            <w:shd w:val="clear" w:color="auto" w:fill="D9D9D9"/>
            <w:vAlign w:val="bottom"/>
          </w:tcPr>
          <w:p w14:paraId="0C304289"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inej osoby:</w:t>
            </w:r>
          </w:p>
          <w:p w14:paraId="32752DE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546ED03B"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3A37550E"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77C6C9F5" w14:textId="77777777" w:rsidR="006A02D2" w:rsidRPr="00D34F27" w:rsidRDefault="006A02D2" w:rsidP="00E11C8E">
            <w:pPr>
              <w:spacing w:before="60" w:after="60" w:line="252" w:lineRule="auto"/>
              <w:jc w:val="both"/>
              <w:rPr>
                <w:rFonts w:ascii="Arial" w:hAnsi="Arial" w:cs="Arial"/>
                <w:b/>
                <w:sz w:val="20"/>
                <w:szCs w:val="20"/>
              </w:rPr>
            </w:pPr>
          </w:p>
        </w:tc>
        <w:tc>
          <w:tcPr>
            <w:tcW w:w="3603" w:type="pct"/>
            <w:shd w:val="clear" w:color="auto" w:fill="auto"/>
            <w:vAlign w:val="bottom"/>
          </w:tcPr>
          <w:p w14:paraId="203EADF9" w14:textId="77777777" w:rsidR="006A02D2" w:rsidRPr="00D34F27" w:rsidRDefault="006A02D2" w:rsidP="00E11C8E">
            <w:pPr>
              <w:spacing w:before="60" w:after="60" w:line="252" w:lineRule="auto"/>
              <w:jc w:val="both"/>
              <w:rPr>
                <w:rFonts w:ascii="Arial" w:eastAsia="Calibri" w:hAnsi="Arial" w:cs="Arial"/>
                <w:sz w:val="20"/>
                <w:szCs w:val="20"/>
              </w:rPr>
            </w:pPr>
          </w:p>
          <w:p w14:paraId="1FA4E793"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1454BC2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11C2340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251C10F"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hAnsi="Arial" w:cs="Arial"/>
                <w:sz w:val="20"/>
                <w:szCs w:val="20"/>
              </w:rPr>
              <w:t>(ďalej ako „iná osoba podľa § 34 ods. 3 zákona o verejnom obstarávaní“ v príslušnom gramatickom tvare)</w:t>
            </w:r>
          </w:p>
        </w:tc>
      </w:tr>
      <w:tr w:rsidR="006A02D2" w:rsidRPr="00D34F27" w14:paraId="022B00D2" w14:textId="77777777" w:rsidTr="00E11C8E">
        <w:tc>
          <w:tcPr>
            <w:tcW w:w="1397" w:type="pct"/>
            <w:shd w:val="clear" w:color="auto" w:fill="D9D9D9"/>
            <w:vAlign w:val="bottom"/>
          </w:tcPr>
          <w:p w14:paraId="3D671EF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381C6185"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33D5F918"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32C1D60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513C88E2"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1A5C24BD" w14:textId="77777777" w:rsidR="006A02D2" w:rsidRPr="00D34F27" w:rsidRDefault="006A02D2" w:rsidP="00E11C8E">
            <w:pPr>
              <w:pStyle w:val="Bezriadkovania"/>
              <w:spacing w:before="60"/>
              <w:jc w:val="both"/>
              <w:rPr>
                <w:rFonts w:ascii="Arial" w:hAnsi="Arial" w:cs="Arial"/>
                <w:b/>
                <w:sz w:val="20"/>
                <w:szCs w:val="20"/>
              </w:rPr>
            </w:pPr>
          </w:p>
        </w:tc>
        <w:tc>
          <w:tcPr>
            <w:tcW w:w="3603" w:type="pct"/>
            <w:shd w:val="clear" w:color="auto" w:fill="auto"/>
            <w:vAlign w:val="bottom"/>
          </w:tcPr>
          <w:p w14:paraId="5BFA29F2"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728071A"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45A53049"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D3A311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C793D21"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3DACDF51" w14:textId="77777777" w:rsidTr="00E11C8E">
        <w:tc>
          <w:tcPr>
            <w:tcW w:w="1397" w:type="pct"/>
            <w:shd w:val="clear" w:color="auto" w:fill="D9D9D9"/>
            <w:vAlign w:val="center"/>
          </w:tcPr>
          <w:p w14:paraId="46CB2612"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shd w:val="clear" w:color="auto" w:fill="auto"/>
            <w:vAlign w:val="center"/>
          </w:tcPr>
          <w:p w14:paraId="7A8059B4" w14:textId="77777777" w:rsidR="006A02D2" w:rsidRPr="00D34F27" w:rsidRDefault="006A02D2" w:rsidP="00E11C8E">
            <w:pPr>
              <w:spacing w:before="60" w:after="60" w:line="252" w:lineRule="auto"/>
              <w:jc w:val="both"/>
              <w:rPr>
                <w:rFonts w:ascii="Arial" w:hAnsi="Arial" w:cs="Arial"/>
                <w:bCs/>
                <w:sz w:val="20"/>
                <w:szCs w:val="20"/>
              </w:rPr>
            </w:pPr>
            <w:r w:rsidRPr="00D34F27">
              <w:rPr>
                <w:rFonts w:ascii="Arial" w:hAnsi="Arial" w:cs="Arial"/>
                <w:b/>
                <w:bCs/>
                <w:sz w:val="20"/>
                <w:szCs w:val="20"/>
              </w:rPr>
              <w:t xml:space="preserve">MH </w:t>
            </w:r>
            <w:proofErr w:type="spellStart"/>
            <w:r w:rsidRPr="00D34F27">
              <w:rPr>
                <w:rFonts w:ascii="Arial" w:hAnsi="Arial" w:cs="Arial"/>
                <w:b/>
                <w:bCs/>
                <w:sz w:val="20"/>
                <w:szCs w:val="20"/>
              </w:rPr>
              <w:t>Invest</w:t>
            </w:r>
            <w:proofErr w:type="spellEnd"/>
            <w:r w:rsidRPr="00D34F27">
              <w:rPr>
                <w:rFonts w:ascii="Arial" w:hAnsi="Arial" w:cs="Arial"/>
                <w:b/>
                <w:bCs/>
                <w:sz w:val="20"/>
                <w:szCs w:val="20"/>
              </w:rPr>
              <w:t>, s.r.o.</w:t>
            </w:r>
            <w:r w:rsidRPr="00D34F27">
              <w:rPr>
                <w:rFonts w:ascii="Arial" w:hAnsi="Arial" w:cs="Arial"/>
                <w:b/>
                <w:sz w:val="20"/>
                <w:szCs w:val="20"/>
              </w:rPr>
              <w:t xml:space="preserve">, </w:t>
            </w:r>
            <w:r w:rsidRPr="00D34F27">
              <w:rPr>
                <w:rFonts w:ascii="Arial" w:hAnsi="Arial" w:cs="Arial"/>
                <w:bCs/>
                <w:sz w:val="20"/>
                <w:szCs w:val="20"/>
              </w:rPr>
              <w:t xml:space="preserve">so sídlom </w:t>
            </w:r>
            <w:r w:rsidRPr="00D34F27">
              <w:rPr>
                <w:rFonts w:ascii="Arial" w:hAnsi="Arial" w:cs="Arial"/>
                <w:sz w:val="20"/>
                <w:szCs w:val="20"/>
              </w:rPr>
              <w:t>Mlynské Nivy 44/A, 821 09 Bratislava</w:t>
            </w:r>
            <w:r w:rsidRPr="00D34F27">
              <w:rPr>
                <w:rFonts w:ascii="Arial" w:hAnsi="Arial" w:cs="Arial"/>
                <w:bCs/>
                <w:sz w:val="20"/>
                <w:szCs w:val="20"/>
              </w:rPr>
              <w:t xml:space="preserve"> </w:t>
            </w:r>
          </w:p>
          <w:p w14:paraId="28FE4514"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„verejný obstarávateľ“ v príslušnom gramatickom tvare)</w:t>
            </w:r>
          </w:p>
        </w:tc>
      </w:tr>
      <w:tr w:rsidR="006A02D2" w:rsidRPr="00D34F27" w14:paraId="7EC6C8ED" w14:textId="77777777" w:rsidTr="00E11C8E">
        <w:tc>
          <w:tcPr>
            <w:tcW w:w="1397" w:type="pct"/>
            <w:shd w:val="clear" w:color="auto" w:fill="D9D9D9"/>
            <w:vAlign w:val="center"/>
          </w:tcPr>
          <w:p w14:paraId="2BFFF21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shd w:val="clear" w:color="auto" w:fill="auto"/>
            <w:vAlign w:val="center"/>
          </w:tcPr>
          <w:p w14:paraId="14F7BAD2" w14:textId="226A3508"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Pr="00622A9F">
              <w:rPr>
                <w:rFonts w:ascii="Arial" w:eastAsiaTheme="minorEastAsia" w:hAnsi="Arial" w:cs="Arial"/>
                <w:b/>
                <w:sz w:val="20"/>
              </w:rPr>
              <w:t>Zabezpečenie prevádzky podpory a údržby kontrolného systému EDZ</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7 písm. b) zákona o verejnom obstarávaní </w:t>
            </w:r>
            <w:r w:rsidRPr="00D34F27">
              <w:rPr>
                <w:rFonts w:ascii="Arial" w:hAnsi="Arial" w:cs="Arial"/>
                <w:sz w:val="20"/>
                <w:szCs w:val="20"/>
              </w:rPr>
              <w:t>(ďalej ako „verejná súťaž“ v príslušnom gramatickom tvare)</w:t>
            </w:r>
          </w:p>
        </w:tc>
      </w:tr>
    </w:tbl>
    <w:p w14:paraId="2B17269B"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34 ods. 3 zákona o verejnom obstarávaní, ktorej technické a odborné kapacity uchádzač využíva na preukázanie technickej spôsobilosti alebo odbornej spôsobilosti v predmetnej verejnej súťaži</w:t>
      </w:r>
    </w:p>
    <w:p w14:paraId="3230E18D"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18499E84"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inej osoby podľa § 34 ods. 3 zákona o verejnom obstarávaní, ktorú zastupujem:</w:t>
      </w:r>
    </w:p>
    <w:p w14:paraId="5B52DB95"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p>
    <w:p w14:paraId="14BED4B9"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lastRenderedPageBreak/>
        <w:t>☐</w:t>
      </w:r>
      <w:r w:rsidRPr="00D34F27">
        <w:rPr>
          <w:rFonts w:ascii="Arial" w:hAnsi="Arial" w:cs="Arial"/>
          <w:sz w:val="20"/>
          <w:szCs w:val="20"/>
        </w:rPr>
        <w:tab/>
        <w:t>pôsobí nasledujúca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p>
    <w:p w14:paraId="77F37EC4"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5E44CCE1" w14:textId="77777777" w:rsidTr="00E11C8E">
        <w:tc>
          <w:tcPr>
            <w:tcW w:w="391" w:type="pct"/>
            <w:shd w:val="clear" w:color="auto" w:fill="D9D9D9"/>
            <w:vAlign w:val="center"/>
          </w:tcPr>
          <w:p w14:paraId="535322EF"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76FFCDF"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1D91051D" w14:textId="77777777" w:rsidTr="00E11C8E">
        <w:tc>
          <w:tcPr>
            <w:tcW w:w="391" w:type="pct"/>
            <w:shd w:val="clear" w:color="auto" w:fill="auto"/>
            <w:vAlign w:val="center"/>
          </w:tcPr>
          <w:p w14:paraId="1074B3BA"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shd w:val="clear" w:color="auto" w:fill="auto"/>
            <w:vAlign w:val="center"/>
          </w:tcPr>
          <w:p w14:paraId="681F8DD5"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832C55A" w14:textId="77777777" w:rsidTr="00E11C8E">
        <w:tc>
          <w:tcPr>
            <w:tcW w:w="391" w:type="pct"/>
            <w:shd w:val="clear" w:color="auto" w:fill="auto"/>
            <w:vAlign w:val="center"/>
          </w:tcPr>
          <w:p w14:paraId="5F7DF01E"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shd w:val="clear" w:color="auto" w:fill="auto"/>
            <w:vAlign w:val="center"/>
          </w:tcPr>
          <w:p w14:paraId="7D718CC8"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4C1669ED" w14:textId="77777777" w:rsidTr="00E11C8E">
        <w:tc>
          <w:tcPr>
            <w:tcW w:w="391" w:type="pct"/>
            <w:shd w:val="clear" w:color="auto" w:fill="auto"/>
            <w:vAlign w:val="center"/>
          </w:tcPr>
          <w:p w14:paraId="1EC9C85E"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3.</w:t>
            </w:r>
          </w:p>
        </w:tc>
        <w:tc>
          <w:tcPr>
            <w:tcW w:w="4609" w:type="pct"/>
            <w:shd w:val="clear" w:color="auto" w:fill="auto"/>
            <w:vAlign w:val="center"/>
          </w:tcPr>
          <w:p w14:paraId="3E187A3E" w14:textId="77777777" w:rsidR="006A02D2" w:rsidRPr="00D34F27" w:rsidRDefault="006A02D2" w:rsidP="00E11C8E">
            <w:pPr>
              <w:pStyle w:val="Bezriadkovania"/>
              <w:spacing w:before="60"/>
              <w:jc w:val="both"/>
              <w:rPr>
                <w:rFonts w:ascii="Arial" w:hAnsi="Arial" w:cs="Arial"/>
                <w:sz w:val="20"/>
                <w:szCs w:val="20"/>
              </w:rPr>
            </w:pPr>
          </w:p>
        </w:tc>
      </w:tr>
    </w:tbl>
    <w:p w14:paraId="12EA74EE"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47947B0B"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264131C2"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2E1EB45F"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4"/>
        <w:t>1</w:t>
      </w:r>
    </w:p>
    <w:p w14:paraId="6AFA72A1" w14:textId="77777777" w:rsidR="006A02D2" w:rsidRDefault="006A02D2" w:rsidP="006A02D2">
      <w:pPr>
        <w:pStyle w:val="Bezriadkovania"/>
        <w:spacing w:before="60"/>
        <w:jc w:val="both"/>
        <w:rPr>
          <w:rFonts w:ascii="Arial" w:hAnsi="Arial" w:cs="Arial"/>
          <w:color w:val="000000"/>
          <w:sz w:val="20"/>
          <w:szCs w:val="20"/>
        </w:rPr>
      </w:pPr>
    </w:p>
    <w:p w14:paraId="250C8DB1" w14:textId="77777777" w:rsidR="006A02D2" w:rsidRDefault="006A02D2" w:rsidP="006A02D2">
      <w:pPr>
        <w:pStyle w:val="Bezriadkovania"/>
        <w:spacing w:before="60"/>
        <w:jc w:val="both"/>
        <w:rPr>
          <w:rFonts w:ascii="Arial" w:hAnsi="Arial" w:cs="Arial"/>
          <w:color w:val="000000"/>
          <w:sz w:val="20"/>
          <w:szCs w:val="20"/>
        </w:rPr>
      </w:pPr>
    </w:p>
    <w:p w14:paraId="6DA474DF"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34 ods. 3 zákona o verejnom obstarávaní, ktorej technické a odborné kapacity uchádzač využíva na preukázanie technickej spôsobilosti alebo odbornej spôsobilosti v predmetnej verejnej súťaži</w:t>
      </w:r>
    </w:p>
    <w:p w14:paraId="59248A58"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69DC2B35"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 xml:space="preserve">špecifikovaná v § 32 ods. 7 a ods. 8 zákona o verejnom obstarávaní, ktorú </w:t>
      </w:r>
      <w:r w:rsidRPr="00D34F27">
        <w:rPr>
          <w:rFonts w:ascii="Arial" w:hAnsi="Arial" w:cs="Arial"/>
          <w:sz w:val="20"/>
          <w:szCs w:val="20"/>
        </w:rPr>
        <w:t>iná osoba podľa § 34 ods. 3 zákona o verejnom obstarávaní</w:t>
      </w:r>
      <w:r w:rsidRPr="00D34F27">
        <w:rPr>
          <w:rFonts w:ascii="Arial" w:eastAsia="Calibri" w:hAnsi="Arial" w:cs="Arial"/>
          <w:sz w:val="20"/>
          <w:szCs w:val="20"/>
        </w:rPr>
        <w:t xml:space="preserve"> identifikovala vo vyššie uvedenej tabuľke, spĺňa podmienku účasti týkajúcu sa osobného postavenia podľa § 32 ods. 1 písm. a) zákona o verejnom obstarávaní.</w:t>
      </w:r>
    </w:p>
    <w:p w14:paraId="3E7276E8"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48487647"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1EEE4D06"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370DA0B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5"/>
        <w:t>1</w:t>
      </w:r>
    </w:p>
    <w:p w14:paraId="20DC7064" w14:textId="77777777" w:rsidR="006A02D2" w:rsidRPr="00326778" w:rsidRDefault="006A02D2" w:rsidP="006A02D2">
      <w:pPr>
        <w:pStyle w:val="Bezriadkovania"/>
        <w:spacing w:before="60"/>
        <w:jc w:val="both"/>
        <w:rPr>
          <w:rFonts w:ascii="Arial" w:eastAsia="Calibri" w:hAnsi="Arial" w:cs="Arial"/>
          <w:sz w:val="20"/>
          <w:szCs w:val="20"/>
        </w:rPr>
      </w:pPr>
    </w:p>
    <w:p w14:paraId="43D07E3A" w14:textId="77777777" w:rsidR="006A02D2" w:rsidRDefault="006A02D2" w:rsidP="006A02D2"/>
    <w:p w14:paraId="62A47749" w14:textId="77777777" w:rsidR="006C2F37" w:rsidRDefault="006C2F37"/>
    <w:sectPr w:rsidR="006C2F37" w:rsidSect="006A02D2">
      <w:headerReference w:type="default" r:id="rId6"/>
      <w:headerReference w:type="first" r:id="rId7"/>
      <w:pgSz w:w="11906" w:h="16838" w:code="9"/>
      <w:pgMar w:top="1701"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1980" w14:textId="77777777" w:rsidR="00445189" w:rsidRDefault="00445189" w:rsidP="006A02D2">
      <w:r>
        <w:separator/>
      </w:r>
    </w:p>
  </w:endnote>
  <w:endnote w:type="continuationSeparator" w:id="0">
    <w:p w14:paraId="7D1EFAB0" w14:textId="77777777" w:rsidR="00445189" w:rsidRDefault="00445189" w:rsidP="006A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96FEC" w14:textId="77777777" w:rsidR="00445189" w:rsidRDefault="00445189" w:rsidP="006A02D2">
      <w:r>
        <w:separator/>
      </w:r>
    </w:p>
  </w:footnote>
  <w:footnote w:type="continuationSeparator" w:id="0">
    <w:p w14:paraId="6C411913" w14:textId="77777777" w:rsidR="00445189" w:rsidRDefault="00445189" w:rsidP="006A02D2">
      <w:r>
        <w:continuationSeparator/>
      </w:r>
    </w:p>
  </w:footnote>
  <w:footnote w:id="1">
    <w:p w14:paraId="30873F01"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4F88CB3A" w14:textId="77777777" w:rsidR="006A02D2" w:rsidRPr="002D4AC8" w:rsidRDefault="006A02D2" w:rsidP="006A02D2">
      <w:pPr>
        <w:jc w:val="both"/>
        <w:rPr>
          <w:rFonts w:ascii="Arial" w:hAnsi="Arial" w:cs="Arial"/>
          <w:sz w:val="16"/>
          <w:szCs w:val="16"/>
        </w:rPr>
      </w:pPr>
    </w:p>
  </w:footnote>
  <w:footnote w:id="3">
    <w:p w14:paraId="4DE93CF2"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4">
    <w:p w14:paraId="07D3F7B2" w14:textId="77777777" w:rsidR="006A02D2" w:rsidRPr="002D4AC8" w:rsidRDefault="006A02D2" w:rsidP="006A02D2">
      <w:pPr>
        <w:jc w:val="both"/>
        <w:rPr>
          <w:rFonts w:ascii="Arial" w:hAnsi="Arial" w:cs="Arial"/>
          <w:sz w:val="16"/>
          <w:szCs w:val="16"/>
        </w:rPr>
      </w:pPr>
    </w:p>
  </w:footnote>
  <w:footnote w:id="5">
    <w:p w14:paraId="69D20ABA"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C95A" w14:textId="77777777" w:rsidR="006A02D2" w:rsidRPr="00006590" w:rsidRDefault="006A02D2" w:rsidP="006A02D2">
    <w:pPr>
      <w:pStyle w:val="Hlavika"/>
      <w:tabs>
        <w:tab w:val="clear" w:pos="4536"/>
        <w:tab w:val="center" w:pos="9072"/>
      </w:tabs>
      <w:rPr>
        <w:rFonts w:ascii="Arial" w:hAnsi="Arial" w:cs="Arial"/>
        <w:sz w:val="20"/>
      </w:rPr>
    </w:pPr>
    <w:r w:rsidRPr="00006590">
      <w:rPr>
        <w:rFonts w:ascii="Arial" w:hAnsi="Arial" w:cs="Arial"/>
        <w:sz w:val="20"/>
      </w:rPr>
      <w:t>Zabezpečenie prevádzky podpory a údržby kontrolného systému EDZ</w:t>
    </w:r>
    <w:r w:rsidRPr="00006590">
      <w:rPr>
        <w:rFonts w:ascii="Arial" w:hAnsi="Arial" w:cs="Arial"/>
        <w:sz w:val="20"/>
      </w:rPr>
      <w:tab/>
      <w:t xml:space="preserve">Príloha č. </w:t>
    </w:r>
    <w:r>
      <w:rPr>
        <w:rFonts w:ascii="Arial" w:hAnsi="Arial" w:cs="Arial"/>
        <w:sz w:val="20"/>
      </w:rPr>
      <w:t>1</w:t>
    </w:r>
    <w:r w:rsidRPr="00006590">
      <w:rPr>
        <w:rFonts w:ascii="Arial" w:hAnsi="Arial" w:cs="Arial"/>
        <w:sz w:val="20"/>
      </w:rPr>
      <w:t xml:space="preserve"> k časti A.</w:t>
    </w:r>
    <w:r>
      <w:rPr>
        <w:rFonts w:ascii="Arial" w:hAnsi="Arial" w:cs="Arial"/>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7B6B" w14:textId="7F0A328A" w:rsidR="006A02D2" w:rsidRPr="00006590" w:rsidRDefault="006A02D2" w:rsidP="006A02D2">
    <w:pPr>
      <w:pStyle w:val="Hlavika"/>
      <w:tabs>
        <w:tab w:val="clear" w:pos="4536"/>
        <w:tab w:val="center" w:pos="9072"/>
      </w:tabs>
      <w:rPr>
        <w:rFonts w:ascii="Arial" w:hAnsi="Arial" w:cs="Arial"/>
        <w:sz w:val="20"/>
      </w:rPr>
    </w:pPr>
    <w:r w:rsidRPr="00006590">
      <w:rPr>
        <w:rFonts w:ascii="Arial" w:hAnsi="Arial" w:cs="Arial"/>
        <w:sz w:val="20"/>
      </w:rPr>
      <w:t>Zabezpečenie prevádzky podpory a údržby kontrolného systému EDZ</w:t>
    </w:r>
    <w:r w:rsidRPr="00006590">
      <w:rPr>
        <w:rFonts w:ascii="Arial" w:hAnsi="Arial" w:cs="Arial"/>
        <w:sz w:val="20"/>
      </w:rPr>
      <w:tab/>
      <w:t xml:space="preserve">Príloha č. </w:t>
    </w:r>
    <w:r>
      <w:rPr>
        <w:rFonts w:ascii="Arial" w:hAnsi="Arial" w:cs="Arial"/>
        <w:sz w:val="20"/>
      </w:rPr>
      <w:t>1</w:t>
    </w:r>
    <w:r w:rsidRPr="00006590">
      <w:rPr>
        <w:rFonts w:ascii="Arial" w:hAnsi="Arial" w:cs="Arial"/>
        <w:sz w:val="20"/>
      </w:rPr>
      <w:t xml:space="preserve"> k časti A.</w:t>
    </w:r>
    <w:r>
      <w:rPr>
        <w:rFonts w:ascii="Arial" w:hAnsi="Arial" w:cs="Arial"/>
        <w:sz w:val="20"/>
      </w:rPr>
      <w:t>3</w:t>
    </w:r>
  </w:p>
  <w:p w14:paraId="76570923" w14:textId="77777777" w:rsidR="00000000" w:rsidRPr="00C03D58" w:rsidRDefault="00000000" w:rsidP="00C03D58">
    <w:pPr>
      <w:pStyle w:val="Hlavika"/>
      <w:rPr>
        <w:szCs w:val="22"/>
      </w:rPr>
    </w:pPr>
    <w:r>
      <w:rPr>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D2"/>
    <w:rsid w:val="00051AA8"/>
    <w:rsid w:val="00445189"/>
    <w:rsid w:val="00607ABE"/>
    <w:rsid w:val="006A02D2"/>
    <w:rsid w:val="006C2F37"/>
    <w:rsid w:val="00A44F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BC9B"/>
  <w15:chartTrackingRefBased/>
  <w15:docId w15:val="{CB716C41-A8C3-4E63-803D-3346298F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02D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A02D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semiHidden/>
    <w:unhideWhenUsed/>
    <w:qFormat/>
    <w:rsid w:val="006A02D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Nadpis3">
    <w:name w:val="heading 3"/>
    <w:basedOn w:val="Normlny"/>
    <w:next w:val="Normlny"/>
    <w:link w:val="Nadpis3Char"/>
    <w:uiPriority w:val="9"/>
    <w:semiHidden/>
    <w:unhideWhenUsed/>
    <w:qFormat/>
    <w:rsid w:val="006A02D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Nadpis4">
    <w:name w:val="heading 4"/>
    <w:basedOn w:val="Normlny"/>
    <w:next w:val="Normlny"/>
    <w:link w:val="Nadpis4Char"/>
    <w:uiPriority w:val="9"/>
    <w:semiHidden/>
    <w:unhideWhenUsed/>
    <w:qFormat/>
    <w:rsid w:val="006A02D2"/>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Nadpis5">
    <w:name w:val="heading 5"/>
    <w:basedOn w:val="Normlny"/>
    <w:next w:val="Normlny"/>
    <w:link w:val="Nadpis5Char"/>
    <w:uiPriority w:val="9"/>
    <w:semiHidden/>
    <w:unhideWhenUsed/>
    <w:qFormat/>
    <w:rsid w:val="006A02D2"/>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Nadpis6">
    <w:name w:val="heading 6"/>
    <w:basedOn w:val="Normlny"/>
    <w:next w:val="Normlny"/>
    <w:link w:val="Nadpis6Char"/>
    <w:uiPriority w:val="9"/>
    <w:semiHidden/>
    <w:unhideWhenUsed/>
    <w:qFormat/>
    <w:rsid w:val="006A02D2"/>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Nadpis7">
    <w:name w:val="heading 7"/>
    <w:basedOn w:val="Normlny"/>
    <w:next w:val="Normlny"/>
    <w:link w:val="Nadpis7Char"/>
    <w:uiPriority w:val="9"/>
    <w:semiHidden/>
    <w:unhideWhenUsed/>
    <w:qFormat/>
    <w:rsid w:val="006A02D2"/>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Nadpis8">
    <w:name w:val="heading 8"/>
    <w:basedOn w:val="Normlny"/>
    <w:next w:val="Normlny"/>
    <w:link w:val="Nadpis8Char"/>
    <w:uiPriority w:val="9"/>
    <w:semiHidden/>
    <w:unhideWhenUsed/>
    <w:qFormat/>
    <w:rsid w:val="006A02D2"/>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Nadpis9">
    <w:name w:val="heading 9"/>
    <w:basedOn w:val="Normlny"/>
    <w:next w:val="Normlny"/>
    <w:link w:val="Nadpis9Char"/>
    <w:uiPriority w:val="9"/>
    <w:semiHidden/>
    <w:unhideWhenUsed/>
    <w:qFormat/>
    <w:rsid w:val="006A02D2"/>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02D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A02D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A02D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A02D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A02D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A02D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A02D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A02D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A02D2"/>
    <w:rPr>
      <w:rFonts w:eastAsiaTheme="majorEastAsia" w:cstheme="majorBidi"/>
      <w:color w:val="272727" w:themeColor="text1" w:themeTint="D8"/>
    </w:rPr>
  </w:style>
  <w:style w:type="paragraph" w:styleId="Nzov">
    <w:name w:val="Title"/>
    <w:basedOn w:val="Normlny"/>
    <w:next w:val="Normlny"/>
    <w:link w:val="NzovChar"/>
    <w:uiPriority w:val="10"/>
    <w:qFormat/>
    <w:rsid w:val="006A02D2"/>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6A02D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A02D2"/>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PodtitulChar">
    <w:name w:val="Podtitul Char"/>
    <w:basedOn w:val="Predvolenpsmoodseku"/>
    <w:link w:val="Podtitul"/>
    <w:uiPriority w:val="11"/>
    <w:rsid w:val="006A02D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2D2"/>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ciaChar">
    <w:name w:val="Citácia Char"/>
    <w:basedOn w:val="Predvolenpsmoodseku"/>
    <w:link w:val="Citcia"/>
    <w:uiPriority w:val="29"/>
    <w:rsid w:val="006A02D2"/>
    <w:rPr>
      <w:i/>
      <w:iCs/>
      <w:color w:val="404040" w:themeColor="text1" w:themeTint="BF"/>
    </w:rPr>
  </w:style>
  <w:style w:type="paragraph" w:styleId="Odsekzoznamu">
    <w:name w:val="List Paragraph"/>
    <w:basedOn w:val="Normlny"/>
    <w:uiPriority w:val="34"/>
    <w:qFormat/>
    <w:rsid w:val="006A02D2"/>
    <w:pPr>
      <w:spacing w:after="160" w:line="259" w:lineRule="auto"/>
      <w:ind w:left="720"/>
      <w:contextualSpacing/>
    </w:pPr>
    <w:rPr>
      <w:rFonts w:asciiTheme="minorHAnsi" w:eastAsiaTheme="minorHAnsi" w:hAnsiTheme="minorHAnsi" w:cstheme="minorBidi"/>
      <w:sz w:val="22"/>
      <w:szCs w:val="22"/>
      <w:lang w:eastAsia="en-US"/>
    </w:rPr>
  </w:style>
  <w:style w:type="character" w:styleId="Intenzvnezvraznenie">
    <w:name w:val="Intense Emphasis"/>
    <w:basedOn w:val="Predvolenpsmoodseku"/>
    <w:uiPriority w:val="21"/>
    <w:qFormat/>
    <w:rsid w:val="006A02D2"/>
    <w:rPr>
      <w:i/>
      <w:iCs/>
      <w:color w:val="2F5496" w:themeColor="accent1" w:themeShade="BF"/>
    </w:rPr>
  </w:style>
  <w:style w:type="paragraph" w:styleId="Zvraznencitcia">
    <w:name w:val="Intense Quote"/>
    <w:basedOn w:val="Normlny"/>
    <w:next w:val="Normlny"/>
    <w:link w:val="ZvraznencitciaChar"/>
    <w:uiPriority w:val="30"/>
    <w:qFormat/>
    <w:rsid w:val="006A02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ZvraznencitciaChar">
    <w:name w:val="Zvýraznená citácia Char"/>
    <w:basedOn w:val="Predvolenpsmoodseku"/>
    <w:link w:val="Zvraznencitcia"/>
    <w:uiPriority w:val="30"/>
    <w:rsid w:val="006A02D2"/>
    <w:rPr>
      <w:i/>
      <w:iCs/>
      <w:color w:val="2F5496" w:themeColor="accent1" w:themeShade="BF"/>
    </w:rPr>
  </w:style>
  <w:style w:type="character" w:styleId="Zvraznenodkaz">
    <w:name w:val="Intense Reference"/>
    <w:basedOn w:val="Predvolenpsmoodseku"/>
    <w:uiPriority w:val="32"/>
    <w:qFormat/>
    <w:rsid w:val="006A02D2"/>
    <w:rPr>
      <w:b/>
      <w:bCs/>
      <w:smallCaps/>
      <w:color w:val="2F5496" w:themeColor="accent1" w:themeShade="BF"/>
      <w:spacing w:val="5"/>
    </w:rPr>
  </w:style>
  <w:style w:type="paragraph" w:styleId="Hlavika">
    <w:name w:val="header"/>
    <w:aliases w:val=" 1"/>
    <w:basedOn w:val="Normlny"/>
    <w:link w:val="HlavikaChar1"/>
    <w:uiPriority w:val="99"/>
    <w:rsid w:val="006A02D2"/>
    <w:pPr>
      <w:tabs>
        <w:tab w:val="center" w:pos="4536"/>
        <w:tab w:val="right" w:pos="9072"/>
      </w:tabs>
    </w:pPr>
  </w:style>
  <w:style w:type="character" w:customStyle="1" w:styleId="HlavikaChar">
    <w:name w:val="Hlavička Char"/>
    <w:basedOn w:val="Predvolenpsmoodseku"/>
    <w:uiPriority w:val="99"/>
    <w:rsid w:val="006A02D2"/>
    <w:rPr>
      <w:rFonts w:ascii="Times New Roman" w:eastAsia="Times New Roman" w:hAnsi="Times New Roman" w:cs="Times New Roman"/>
      <w:sz w:val="24"/>
      <w:szCs w:val="24"/>
      <w:lang w:eastAsia="sk-SK"/>
    </w:rPr>
  </w:style>
  <w:style w:type="character" w:customStyle="1" w:styleId="HlavikaChar1">
    <w:name w:val="Hlavička Char1"/>
    <w:aliases w:val=" 1 Char"/>
    <w:link w:val="Hlavika"/>
    <w:rsid w:val="006A02D2"/>
    <w:rPr>
      <w:rFonts w:ascii="Times New Roman" w:eastAsia="Times New Roman" w:hAnsi="Times New Roman" w:cs="Times New Roman"/>
      <w:sz w:val="24"/>
      <w:szCs w:val="24"/>
      <w:lang w:eastAsia="sk-SK"/>
    </w:rPr>
  </w:style>
  <w:style w:type="paragraph" w:customStyle="1" w:styleId="wazza01">
    <w:name w:val="wazza_01"/>
    <w:qFormat/>
    <w:rsid w:val="006A02D2"/>
    <w:pPr>
      <w:spacing w:before="240" w:after="0" w:line="240" w:lineRule="auto"/>
      <w:jc w:val="right"/>
    </w:pPr>
    <w:rPr>
      <w:rFonts w:ascii="Arial" w:eastAsia="Times New Roman" w:hAnsi="Arial" w:cs="Arial"/>
      <w:b/>
      <w:bCs/>
      <w:caps/>
      <w:color w:val="808080"/>
      <w:sz w:val="24"/>
      <w:szCs w:val="24"/>
      <w:lang w:eastAsia="cs-CZ"/>
    </w:rPr>
  </w:style>
  <w:style w:type="paragraph" w:customStyle="1" w:styleId="wazza03">
    <w:name w:val="wazza_03"/>
    <w:basedOn w:val="Normlny"/>
    <w:qFormat/>
    <w:rsid w:val="006A02D2"/>
    <w:pPr>
      <w:spacing w:before="120"/>
      <w:jc w:val="center"/>
    </w:pPr>
    <w:rPr>
      <w:rFonts w:ascii="Arial" w:hAnsi="Arial" w:cs="Arial"/>
      <w:b/>
      <w:bCs/>
      <w:caps/>
      <w:color w:val="808080"/>
      <w:sz w:val="22"/>
      <w:lang w:eastAsia="cs-CZ"/>
    </w:rPr>
  </w:style>
  <w:style w:type="character" w:styleId="Odkaznapoznmkupodiarou">
    <w:name w:val="footnote reference"/>
    <w:uiPriority w:val="99"/>
    <w:qFormat/>
    <w:rsid w:val="006A02D2"/>
    <w:rPr>
      <w:vertAlign w:val="superscript"/>
    </w:rPr>
  </w:style>
  <w:style w:type="paragraph" w:styleId="Bezriadkovania">
    <w:name w:val="No Spacing"/>
    <w:aliases w:val="Klasický text,Odsek číslovaný II,odsek,No Spacing"/>
    <w:uiPriority w:val="1"/>
    <w:qFormat/>
    <w:rsid w:val="006A02D2"/>
    <w:pPr>
      <w:spacing w:after="0" w:line="240" w:lineRule="auto"/>
    </w:pPr>
  </w:style>
  <w:style w:type="paragraph" w:styleId="Pta">
    <w:name w:val="footer"/>
    <w:basedOn w:val="Normlny"/>
    <w:link w:val="PtaChar"/>
    <w:uiPriority w:val="99"/>
    <w:unhideWhenUsed/>
    <w:rsid w:val="006A02D2"/>
    <w:pPr>
      <w:tabs>
        <w:tab w:val="center" w:pos="4536"/>
        <w:tab w:val="right" w:pos="9072"/>
      </w:tabs>
    </w:pPr>
  </w:style>
  <w:style w:type="character" w:customStyle="1" w:styleId="PtaChar">
    <w:name w:val="Päta Char"/>
    <w:basedOn w:val="Predvolenpsmoodseku"/>
    <w:link w:val="Pta"/>
    <w:uiPriority w:val="99"/>
    <w:rsid w:val="006A02D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2292</Words>
  <Characters>13070</Characters>
  <Application>Microsoft Office Word</Application>
  <DocSecurity>0</DocSecurity>
  <Lines>108</Lines>
  <Paragraphs>30</Paragraphs>
  <ScaleCrop>false</ScaleCrop>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2025-06-05T13:28:00Z</dcterms:created>
  <dcterms:modified xsi:type="dcterms:W3CDTF">2025-06-05T13:32:00Z</dcterms:modified>
</cp:coreProperties>
</file>