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1783" w14:textId="51993268" w:rsidR="000752A5" w:rsidRPr="000752A5" w:rsidRDefault="000752A5" w:rsidP="007831EF">
      <w:pPr>
        <w:spacing w:after="1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752A5">
        <w:rPr>
          <w:rFonts w:ascii="Times New Roman" w:hAnsi="Times New Roman"/>
          <w:sz w:val="18"/>
          <w:szCs w:val="18"/>
        </w:rPr>
        <w:t>Príloha č. 3</w:t>
      </w:r>
    </w:p>
    <w:p w14:paraId="4BD8B678" w14:textId="4A05AC55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77006C" w:rsidRPr="0077006C">
        <w:rPr>
          <w:rFonts w:ascii="Times New Roman" w:hAnsi="Times New Roman"/>
          <w:b/>
          <w:sz w:val="24"/>
          <w:szCs w:val="24"/>
          <w:highlight w:val="yellow"/>
        </w:rPr>
        <w:t>č. ....</w:t>
      </w:r>
      <w:r w:rsidR="0077006C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353AF2D1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 w:rsidR="00191888"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</w:tbl>
    <w:p w14:paraId="4D382087" w14:textId="77777777" w:rsidR="00727F13" w:rsidRDefault="00727F13" w:rsidP="00164D52">
      <w:pPr>
        <w:pStyle w:val="CTLhead"/>
        <w:rPr>
          <w:sz w:val="24"/>
          <w:szCs w:val="24"/>
        </w:rPr>
      </w:pPr>
    </w:p>
    <w:p w14:paraId="1117810C" w14:textId="3E22843E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65995CF7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4193395F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Pr="00263BC2">
        <w:rPr>
          <w:szCs w:val="24"/>
        </w:rPr>
        <w:t xml:space="preserve"> alebo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="001A6836">
        <w:rPr>
          <w:szCs w:val="24"/>
        </w:rPr>
        <w:t>y</w:t>
      </w:r>
      <w:r w:rsidR="005F7B4E">
        <w:rPr>
          <w:szCs w:val="24"/>
        </w:rPr>
        <w:t xml:space="preserve"> 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</w:t>
      </w:r>
      <w:r w:rsidR="00727F13">
        <w:rPr>
          <w:szCs w:val="24"/>
        </w:rPr>
        <w:t>, spolu s ďalším plneniami súvisiacimi s dodaním Predmetu prevodu, tak ako sú definované v bode 2.3 tohto Článku. Predmetom tejto Dohody je</w:t>
      </w:r>
      <w:r w:rsidRPr="007831EF">
        <w:rPr>
          <w:szCs w:val="24"/>
        </w:rPr>
        <w:t xml:space="preserve"> a</w:t>
      </w:r>
      <w:r w:rsidR="00727F13">
        <w:rPr>
          <w:szCs w:val="24"/>
        </w:rPr>
        <w:t>j</w:t>
      </w:r>
      <w:r w:rsidRPr="007831EF">
        <w:rPr>
          <w:szCs w:val="24"/>
        </w:rPr>
        <w:t xml:space="preserve">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</w:t>
      </w:r>
      <w:r w:rsidR="005C3A41">
        <w:rPr>
          <w:szCs w:val="24"/>
        </w:rPr>
        <w:t xml:space="preserve"> </w:t>
      </w:r>
      <w:r w:rsidR="00974AD3">
        <w:rPr>
          <w:szCs w:val="24"/>
        </w:rPr>
        <w:t>C</w:t>
      </w:r>
      <w:r w:rsidR="00D03416">
        <w:rPr>
          <w:szCs w:val="24"/>
        </w:rPr>
        <w:t>enu podľa čl.</w:t>
      </w:r>
      <w:r w:rsidR="00F27B9F">
        <w:rPr>
          <w:szCs w:val="24"/>
        </w:rPr>
        <w:t xml:space="preserve"> </w:t>
      </w:r>
      <w:r w:rsidR="00974AD3">
        <w:rPr>
          <w:szCs w:val="24"/>
        </w:rPr>
        <w:t xml:space="preserve">II bod 2.3 a čl.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257"/>
        <w:gridCol w:w="6241"/>
      </w:tblGrid>
      <w:tr w:rsidR="00A815E7" w:rsidRPr="00263BC2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55524D">
        <w:tc>
          <w:tcPr>
            <w:tcW w:w="5000" w:type="pct"/>
            <w:gridSpan w:val="2"/>
          </w:tcPr>
          <w:p w14:paraId="46630F4B" w14:textId="649B5DA1" w:rsidR="00A815E7" w:rsidRPr="00C44FC6" w:rsidRDefault="0077006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06C">
              <w:rPr>
                <w:rFonts w:ascii="Times New Roman" w:hAnsi="Times New Roman"/>
                <w:sz w:val="24"/>
                <w:szCs w:val="24"/>
              </w:rPr>
              <w:t xml:space="preserve">Koterce pre služobné policajné psy, súčasťou plnenia je aj dodanie do miesta určeného Kupujúcim a montáž Predmetu prevodu podľa Prílohy č. 1. Predmet prevodu spolu so všetkým plneniami </w:t>
            </w:r>
            <w:r w:rsidR="00712060" w:rsidRPr="0077006C">
              <w:rPr>
                <w:rFonts w:ascii="Times New Roman" w:hAnsi="Times New Roman"/>
                <w:sz w:val="24"/>
                <w:szCs w:val="24"/>
              </w:rPr>
              <w:t>špecifikovaný v</w:t>
            </w:r>
            <w:r w:rsidR="00E51AAE" w:rsidRPr="0077006C">
              <w:rPr>
                <w:rFonts w:ascii="Times New Roman" w:hAnsi="Times New Roman"/>
                <w:sz w:val="24"/>
                <w:szCs w:val="24"/>
              </w:rPr>
              <w:t xml:space="preserve"> Prílohe č. 1 </w:t>
            </w:r>
            <w:r w:rsidR="00712060" w:rsidRPr="0077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0077006C">
        <w:tc>
          <w:tcPr>
            <w:tcW w:w="1328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72" w:type="pct"/>
          </w:tcPr>
          <w:p w14:paraId="40171E54" w14:textId="53B7FDE9" w:rsidR="00A815E7" w:rsidRPr="00263BC2" w:rsidRDefault="00727F13" w:rsidP="0077006C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6C">
              <w:rPr>
                <w:rFonts w:ascii="Times New Roman" w:hAnsi="Times New Roman"/>
                <w:sz w:val="24"/>
                <w:szCs w:val="24"/>
              </w:rPr>
              <w:t>Užívateľská dokumentácia, Technický (produktový) list  a Fotodokumentáciu, tak ako sú tieto definované v Príloha č. 1 Dohody.</w:t>
            </w:r>
          </w:p>
        </w:tc>
      </w:tr>
      <w:tr w:rsidR="00A815E7" w:rsidRPr="00263BC2" w14:paraId="388F1799" w14:textId="77777777" w:rsidTr="0077006C">
        <w:tc>
          <w:tcPr>
            <w:tcW w:w="1328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672" w:type="pct"/>
          </w:tcPr>
          <w:p w14:paraId="05DADE4E" w14:textId="3D8FC693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</w:t>
            </w:r>
            <w:r w:rsidRPr="0077006C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77006C">
              <w:rPr>
                <w:rFonts w:ascii="Times New Roman" w:hAnsi="Times New Roman"/>
                <w:sz w:val="24"/>
                <w:szCs w:val="24"/>
              </w:rPr>
              <w:t>tridsiatich (</w:t>
            </w:r>
            <w:r w:rsidR="00727F13" w:rsidRPr="0077006C">
              <w:rPr>
                <w:rFonts w:ascii="Times New Roman" w:hAnsi="Times New Roman"/>
                <w:sz w:val="24"/>
                <w:szCs w:val="24"/>
              </w:rPr>
              <w:t>30</w:t>
            </w:r>
            <w:r w:rsidR="0077006C">
              <w:rPr>
                <w:rFonts w:ascii="Times New Roman" w:hAnsi="Times New Roman"/>
                <w:sz w:val="24"/>
                <w:szCs w:val="24"/>
              </w:rPr>
              <w:t>)</w:t>
            </w:r>
            <w:r w:rsidRPr="0077006C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 xml:space="preserve">doručenia Objednávky </w:t>
            </w:r>
            <w:r w:rsidR="00B16F5C" w:rsidRPr="00263BC2">
              <w:rPr>
                <w:rFonts w:ascii="Times New Roman" w:hAnsi="Times New Roman"/>
                <w:sz w:val="24"/>
                <w:szCs w:val="24"/>
              </w:rPr>
              <w:t>(a v prípade požiadavky Kupujúceho</w:t>
            </w:r>
            <w:r w:rsidR="0077006C">
              <w:rPr>
                <w:rFonts w:ascii="Times New Roman" w:hAnsi="Times New Roman"/>
                <w:sz w:val="24"/>
                <w:szCs w:val="24"/>
              </w:rPr>
              <w:t xml:space="preserve"> realizovať aj montáž Predmetu prevodu</w:t>
            </w:r>
            <w:r w:rsidR="00B16F5C" w:rsidRPr="00263BC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6F5C" w:rsidRPr="00263BC2" w14:paraId="70BB90CB" w14:textId="77777777" w:rsidTr="0077006C">
        <w:tc>
          <w:tcPr>
            <w:tcW w:w="1328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672" w:type="pct"/>
          </w:tcPr>
          <w:p w14:paraId="7FAB7BDC" w14:textId="7877D6E6" w:rsidR="00B16F5C" w:rsidRPr="00263BC2" w:rsidRDefault="008644F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77006C">
              <w:rPr>
                <w:rFonts w:ascii="Times New Roman" w:hAnsi="Times New Roman"/>
                <w:sz w:val="24"/>
                <w:szCs w:val="24"/>
              </w:rPr>
              <w:t xml:space="preserve">piatich </w:t>
            </w:r>
            <w:r w:rsidR="0077006C" w:rsidRPr="0077006C">
              <w:rPr>
                <w:rFonts w:ascii="Times New Roman" w:hAnsi="Times New Roman"/>
                <w:sz w:val="24"/>
                <w:szCs w:val="24"/>
              </w:rPr>
              <w:t>(</w:t>
            </w:r>
            <w:r w:rsidR="00DE4B29" w:rsidRPr="0077006C">
              <w:rPr>
                <w:rFonts w:ascii="Times New Roman" w:hAnsi="Times New Roman"/>
                <w:sz w:val="24"/>
                <w:szCs w:val="24"/>
              </w:rPr>
              <w:t>5</w:t>
            </w:r>
            <w:r w:rsidR="0077006C">
              <w:rPr>
                <w:rFonts w:ascii="Times New Roman" w:hAnsi="Times New Roman"/>
                <w:sz w:val="24"/>
                <w:szCs w:val="24"/>
              </w:rPr>
              <w:t>)</w:t>
            </w:r>
            <w:r w:rsidR="00B16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>dní písomne potvrdiť prijatie Objednávky</w:t>
            </w:r>
            <w:r w:rsidR="00B16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F13" w:rsidRPr="00263BC2" w14:paraId="65EC91F8" w14:textId="77777777" w:rsidTr="0077006C">
        <w:tc>
          <w:tcPr>
            <w:tcW w:w="1328" w:type="pct"/>
          </w:tcPr>
          <w:p w14:paraId="64892A70" w14:textId="77777777" w:rsidR="00727F13" w:rsidRPr="00263BC2" w:rsidRDefault="00727F13" w:rsidP="00727F1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672" w:type="pct"/>
          </w:tcPr>
          <w:p w14:paraId="7D2DED11" w14:textId="607A014F" w:rsidR="00727F13" w:rsidRPr="0077006C" w:rsidRDefault="00727F13" w:rsidP="0077006C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>Miest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dodania sú uvedené v Prílohe č. 4 Dohody. Kupujúci má právo v rámci jednej Objednávky zadať aj viacero alebo všetky Miesta dodania.  Súčasťou Prílohy č. 4 je aj predpokladaný počet jednotlivých Predmetov prevodu pre konkrétne Miesto dodania, tento údaj nie je pre Účastníkov dohody záväzný,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 Kupujúci má právo kedykoľvek ho zmeniť prostredníctvom Objednávky.</w:t>
            </w:r>
          </w:p>
        </w:tc>
      </w:tr>
      <w:tr w:rsidR="00727F13" w:rsidRPr="00263BC2" w14:paraId="4CF77552" w14:textId="77777777" w:rsidTr="0077006C">
        <w:tc>
          <w:tcPr>
            <w:tcW w:w="1328" w:type="pct"/>
          </w:tcPr>
          <w:p w14:paraId="3FA8CD68" w14:textId="2D77330C" w:rsidR="00727F13" w:rsidRPr="00263BC2" w:rsidRDefault="0077006C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Zaškolenie personálu Kupujúceho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="00727F13">
              <w:rPr>
                <w:rFonts w:ascii="Times New Roman" w:hAnsi="Times New Roman"/>
                <w:b/>
                <w:sz w:val="24"/>
                <w:szCs w:val="24"/>
              </w:rPr>
              <w:t>Ďalšie plnenie súvisiace s dodaním Predmetu prevodu:</w:t>
            </w:r>
          </w:p>
        </w:tc>
        <w:tc>
          <w:tcPr>
            <w:tcW w:w="3672" w:type="pct"/>
          </w:tcPr>
          <w:p w14:paraId="0822D41F" w14:textId="66DEEBA0" w:rsidR="0077006C" w:rsidRDefault="0077006C" w:rsidP="0077006C">
            <w:p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Kupujúci nepožaduje zaškolenie svojho personálu.</w:t>
            </w:r>
          </w:p>
          <w:p w14:paraId="6AC07B9E" w14:textId="77777777" w:rsidR="00727F13" w:rsidRDefault="00727F13" w:rsidP="0077006C">
            <w:p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Súčasťou dodania Predmetu prevodu je aj:</w:t>
            </w:r>
          </w:p>
          <w:p w14:paraId="59CCB4EB" w14:textId="77777777" w:rsidR="0077006C" w:rsidRDefault="0077006C" w:rsidP="0077006C">
            <w:pPr>
              <w:pStyle w:val="Odsekzoznamu"/>
              <w:numPr>
                <w:ilvl w:val="0"/>
                <w:numId w:val="47"/>
              </w:num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078">
              <w:rPr>
                <w:rFonts w:ascii="Times New Roman" w:hAnsi="Times New Roman"/>
                <w:sz w:val="24"/>
                <w:szCs w:val="24"/>
              </w:rPr>
              <w:t>cena dopravy do Miesta Dodania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45944F" w14:textId="77777777" w:rsidR="0077006C" w:rsidRDefault="0077006C" w:rsidP="0077006C">
            <w:pPr>
              <w:pStyle w:val="Odsekzoznamu"/>
              <w:numPr>
                <w:ilvl w:val="0"/>
                <w:numId w:val="47"/>
              </w:num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vyloženie a montáž Predmetu prevodu</w:t>
            </w:r>
            <w:r w:rsidRPr="009C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Mieste dodania podľa v priestoroch určených Kupujúcim; </w:t>
            </w:r>
          </w:p>
          <w:p w14:paraId="39BE19FB" w14:textId="1157549F" w:rsidR="0077006C" w:rsidRPr="0077006C" w:rsidRDefault="0077006C" w:rsidP="0077006C">
            <w:pPr>
              <w:pStyle w:val="Odsekzoznamu"/>
              <w:numPr>
                <w:ilvl w:val="0"/>
                <w:numId w:val="47"/>
              </w:num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6C">
              <w:rPr>
                <w:rFonts w:ascii="Times New Roman" w:hAnsi="Times New Roman"/>
                <w:sz w:val="24"/>
                <w:szCs w:val="24"/>
              </w:rPr>
              <w:t>riadne zabalenie Predmetu prevodu umožňujúce jeho skladovanie počas Záručnej doby;</w:t>
            </w:r>
          </w:p>
        </w:tc>
      </w:tr>
      <w:tr w:rsidR="00727F13" w:rsidRPr="00263BC2" w14:paraId="2FE6D833" w14:textId="77777777" w:rsidTr="0077006C">
        <w:tc>
          <w:tcPr>
            <w:tcW w:w="1328" w:type="pct"/>
          </w:tcPr>
          <w:p w14:paraId="4C5C9B09" w14:textId="0A664665" w:rsidR="00727F13" w:rsidRPr="00263BC2" w:rsidRDefault="00727F13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</w:p>
        </w:tc>
        <w:tc>
          <w:tcPr>
            <w:tcW w:w="3672" w:type="pct"/>
          </w:tcPr>
          <w:p w14:paraId="2B532608" w14:textId="40EBB337" w:rsidR="00727F13" w:rsidRPr="00263BC2" w:rsidRDefault="00727F13" w:rsidP="00727F13">
            <w:pPr>
              <w:pStyle w:val="Textkomentra"/>
              <w:jc w:val="both"/>
            </w:pPr>
            <w:r w:rsidRPr="00AB5855">
              <w:rPr>
                <w:rFonts w:ascii="Times New Roman" w:hAnsi="Times New Roman"/>
                <w:sz w:val="24"/>
                <w:szCs w:val="24"/>
              </w:rPr>
              <w:t>Cena je výsledkom Verejného obstarávania</w:t>
            </w:r>
            <w:r>
              <w:rPr>
                <w:rFonts w:ascii="Times New Roman" w:hAnsi="Times New Roman"/>
                <w:sz w:val="24"/>
                <w:szCs w:val="24"/>
              </w:rPr>
              <w:t>. C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 xml:space="preserve"> za dodanie jednotky Predmetu prevodu podľa tejto Dohody bez </w:t>
            </w:r>
            <w:r>
              <w:rPr>
                <w:rFonts w:ascii="Times New Roman" w:hAnsi="Times New Roman"/>
                <w:sz w:val="24"/>
                <w:szCs w:val="24"/>
              </w:rPr>
              <w:t>dane z pridanej hodnoty (ďalej len „</w:t>
            </w:r>
            <w:r w:rsidRPr="0077006C"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“)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, je špecifikovaná v Prílohe  č. 2 tejto Dohody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(ďalej len „</w:t>
            </w:r>
            <w:r w:rsidRPr="0077006C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“)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F13" w:rsidRPr="00263BC2" w14:paraId="4DF5D916" w14:textId="77777777" w:rsidTr="0077006C">
        <w:tc>
          <w:tcPr>
            <w:tcW w:w="1328" w:type="pct"/>
          </w:tcPr>
          <w:p w14:paraId="4600E775" w14:textId="3E06EBEA" w:rsidR="00727F13" w:rsidRPr="00263BC2" w:rsidRDefault="00727F13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 objednaného  Predmetu prevodu:</w:t>
            </w:r>
          </w:p>
        </w:tc>
        <w:tc>
          <w:tcPr>
            <w:tcW w:w="3672" w:type="pct"/>
          </w:tcPr>
          <w:p w14:paraId="5BD32316" w14:textId="69615AAA" w:rsidR="00727F13" w:rsidRPr="00C5043D" w:rsidRDefault="00727F13" w:rsidP="00727F1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535B51">
              <w:rPr>
                <w:rFonts w:ascii="Times New Roman" w:hAnsi="Times New Roman"/>
                <w:sz w:val="24"/>
                <w:szCs w:val="24"/>
              </w:rPr>
              <w:t>kúpna cena za Predmet prevodu objednaný na základe jednej Objednávky bez DPH; táto cena je rozhodujúca pre výpočet zmluvných pokút  podľa tejto Dohody</w:t>
            </w:r>
            <w:r w:rsidR="00770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F13" w:rsidRPr="00263BC2" w14:paraId="63A01B16" w14:textId="77777777" w:rsidTr="0077006C">
        <w:tc>
          <w:tcPr>
            <w:tcW w:w="1328" w:type="pct"/>
          </w:tcPr>
          <w:p w14:paraId="6B95EF84" w14:textId="77777777" w:rsidR="00727F13" w:rsidRPr="00263BC2" w:rsidRDefault="00727F13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2" w:type="pct"/>
          </w:tcPr>
          <w:p w14:paraId="4B2849B2" w14:textId="7B355B6D" w:rsidR="00727F13" w:rsidRPr="0077006C" w:rsidRDefault="0077006C" w:rsidP="00727F1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6C">
              <w:rPr>
                <w:rFonts w:ascii="Times New Roman" w:hAnsi="Times New Roman"/>
                <w:sz w:val="24"/>
                <w:szCs w:val="24"/>
              </w:rPr>
              <w:t>Tridsať (</w:t>
            </w:r>
            <w:r w:rsidR="00727F13" w:rsidRPr="0077006C">
              <w:rPr>
                <w:rFonts w:ascii="Times New Roman" w:hAnsi="Times New Roman"/>
                <w:sz w:val="24"/>
                <w:szCs w:val="24"/>
              </w:rPr>
              <w:t>30</w:t>
            </w:r>
            <w:r w:rsidRPr="0077006C">
              <w:rPr>
                <w:rFonts w:ascii="Times New Roman" w:hAnsi="Times New Roman"/>
                <w:sz w:val="24"/>
                <w:szCs w:val="24"/>
              </w:rPr>
              <w:t>)</w:t>
            </w:r>
            <w:r w:rsidR="00727F13" w:rsidRPr="0077006C">
              <w:rPr>
                <w:rFonts w:ascii="Times New Roman" w:hAnsi="Times New Roman"/>
                <w:sz w:val="24"/>
                <w:szCs w:val="24"/>
              </w:rPr>
              <w:t xml:space="preserve"> dní odo</w:t>
            </w:r>
            <w:r w:rsidR="00727F13">
              <w:rPr>
                <w:rFonts w:ascii="Times New Roman" w:hAnsi="Times New Roman"/>
                <w:sz w:val="24"/>
                <w:szCs w:val="24"/>
              </w:rPr>
              <w:t xml:space="preserve"> dňa doručenia faktúry Kupujúcemu.</w:t>
            </w:r>
          </w:p>
        </w:tc>
      </w:tr>
      <w:tr w:rsidR="00727F13" w:rsidRPr="00263BC2" w14:paraId="05ED96C5" w14:textId="77777777" w:rsidTr="0077006C">
        <w:tc>
          <w:tcPr>
            <w:tcW w:w="1328" w:type="pct"/>
          </w:tcPr>
          <w:p w14:paraId="103C0AA3" w14:textId="77777777" w:rsidR="00727F13" w:rsidRPr="0077006C" w:rsidRDefault="00727F13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7006C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672" w:type="pct"/>
          </w:tcPr>
          <w:p w14:paraId="069E674D" w14:textId="7716AC41" w:rsidR="00727F13" w:rsidRPr="0077006C" w:rsidRDefault="0077006C" w:rsidP="00727F1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6C">
              <w:rPr>
                <w:rFonts w:ascii="Times New Roman" w:hAnsi="Times New Roman"/>
                <w:sz w:val="24"/>
                <w:szCs w:val="24"/>
              </w:rPr>
              <w:t>Dvadsaťštyri (</w:t>
            </w:r>
            <w:r w:rsidR="00727F13" w:rsidRPr="0077006C">
              <w:rPr>
                <w:rFonts w:ascii="Times New Roman" w:hAnsi="Times New Roman"/>
                <w:sz w:val="24"/>
                <w:szCs w:val="24"/>
              </w:rPr>
              <w:t>24</w:t>
            </w:r>
            <w:r w:rsidRPr="0077006C">
              <w:rPr>
                <w:rFonts w:ascii="Times New Roman" w:hAnsi="Times New Roman"/>
                <w:sz w:val="24"/>
                <w:szCs w:val="24"/>
              </w:rPr>
              <w:t>)</w:t>
            </w:r>
            <w:r w:rsidR="00727F13" w:rsidRPr="0077006C">
              <w:rPr>
                <w:rFonts w:ascii="Times New Roman" w:hAnsi="Times New Roman"/>
                <w:sz w:val="24"/>
                <w:szCs w:val="24"/>
              </w:rPr>
              <w:t xml:space="preserve"> mesiacov odo dňa podpisu </w:t>
            </w:r>
            <w:r w:rsidR="00727F13" w:rsidRPr="0077006C">
              <w:rPr>
                <w:rFonts w:ascii="Times New Roman" w:hAnsi="Times New Roman"/>
                <w:sz w:val="24"/>
                <w:szCs w:val="24"/>
                <w:lang w:eastAsia="en-US"/>
              </w:rPr>
              <w:t>dodacieho listu/preberacieho protokolu podľa čl. IV bod 4.11 Dohody. Záručná doba začína plynúť pre každú časť Predmetu prevodu osobitne odo dňa podpisu príslušného dodacieho listu/preberacieho protokolu.</w:t>
            </w:r>
          </w:p>
        </w:tc>
      </w:tr>
      <w:tr w:rsidR="00727F13" w:rsidRPr="00263BC2" w14:paraId="4FDA6DFE" w14:textId="77777777" w:rsidTr="0077006C">
        <w:tc>
          <w:tcPr>
            <w:tcW w:w="1328" w:type="pct"/>
          </w:tcPr>
          <w:p w14:paraId="06BDB3F9" w14:textId="001DD829" w:rsidR="00727F13" w:rsidRPr="00263BC2" w:rsidRDefault="00727F13" w:rsidP="00727F13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 vady</w:t>
            </w:r>
            <w:r w:rsidR="00AA259B">
              <w:rPr>
                <w:rFonts w:ascii="Times New Roman" w:hAnsi="Times New Roman"/>
                <w:b/>
                <w:sz w:val="24"/>
                <w:szCs w:val="24"/>
              </w:rPr>
              <w:t xml:space="preserve"> počas Záručnej doby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72" w:type="pct"/>
          </w:tcPr>
          <w:p w14:paraId="36AE17F9" w14:textId="4A2BC38A" w:rsidR="00727F13" w:rsidRPr="00263BC2" w:rsidRDefault="00BE2FFC" w:rsidP="00727F1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2FFC">
              <w:rPr>
                <w:rFonts w:ascii="Times New Roman" w:hAnsi="Times New Roman"/>
                <w:sz w:val="24"/>
                <w:szCs w:val="24"/>
                <w:lang w:val="en-US"/>
              </w:rPr>
              <w:t>Tridsať (</w:t>
            </w:r>
            <w:r w:rsidR="00727F13" w:rsidRPr="00BE2FF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BE2FFC">
              <w:rPr>
                <w:rFonts w:ascii="Times New Roman" w:hAnsi="Times New Roman"/>
                <w:sz w:val="24"/>
                <w:szCs w:val="24"/>
              </w:rPr>
              <w:t>)</w:t>
            </w:r>
            <w:r w:rsidR="00727F13" w:rsidRPr="00BE2FFC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="0072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F13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Kupujúcim.</w:t>
            </w:r>
          </w:p>
        </w:tc>
      </w:tr>
      <w:tr w:rsidR="00727F13" w:rsidRPr="00263BC2" w14:paraId="648BC7A3" w14:textId="77777777" w:rsidTr="0077006C">
        <w:tc>
          <w:tcPr>
            <w:tcW w:w="1328" w:type="pct"/>
          </w:tcPr>
          <w:p w14:paraId="706950C1" w14:textId="192F952D" w:rsidR="00727F13" w:rsidRPr="00BE2FFC" w:rsidRDefault="00727F13" w:rsidP="00BE2FF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2" w:type="pct"/>
          </w:tcPr>
          <w:p w14:paraId="134BF892" w14:textId="47BA4015" w:rsidR="00727F13" w:rsidRPr="00BE2FFC" w:rsidRDefault="00BE2FFC" w:rsidP="00BE2FF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tridsaťšesť (</w:t>
            </w:r>
            <w:r w:rsidR="00727F13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2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F13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 vyčerpania finančného limitu  t.</w:t>
            </w:r>
            <w:r w:rsidR="008161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7F13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j. Maximálnej ceny Dohody  podľa toho, ktorá skutočnosť nastane skôr.</w:t>
            </w:r>
          </w:p>
        </w:tc>
      </w:tr>
      <w:tr w:rsidR="00727F13" w:rsidRPr="00263BC2" w14:paraId="653579F8" w14:textId="77777777" w:rsidTr="0077006C">
        <w:tc>
          <w:tcPr>
            <w:tcW w:w="1328" w:type="pct"/>
          </w:tcPr>
          <w:p w14:paraId="798A547D" w14:textId="5BEA422E" w:rsidR="00727F13" w:rsidRPr="00F15788" w:rsidRDefault="00727F13" w:rsidP="00727F1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Maximálna  cena Dohody:</w:t>
            </w:r>
          </w:p>
        </w:tc>
        <w:tc>
          <w:tcPr>
            <w:tcW w:w="3672" w:type="pct"/>
          </w:tcPr>
          <w:p w14:paraId="19622C61" w14:textId="1A19F758" w:rsidR="00727F13" w:rsidRPr="005C3A41" w:rsidRDefault="00727F13" w:rsidP="00727F13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CE">
              <w:rPr>
                <w:rFonts w:ascii="Times New Roman" w:hAnsi="Times New Roman"/>
                <w:sz w:val="24"/>
                <w:szCs w:val="24"/>
              </w:rPr>
              <w:t>Maximálna  cena Dohody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j. hodnota finančného limitu, ktorá môže byť uhradená Kupujúcim na základe tejto Dohody/Objednávok/Jednotlivých kúpnych zmlúv v súlade s výsledkom Verejného obstarávania a s touto Dohodou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Cene uvedenej v Prílohe č. 2 tejto Dohody, ak je táto vyššia ako predpokladaná hodnota zákazky.</w:t>
            </w:r>
          </w:p>
          <w:p w14:paraId="4AD840A9" w14:textId="58B6B51B" w:rsidR="00727F13" w:rsidRPr="00263BC2" w:rsidRDefault="00727F13" w:rsidP="00727F13">
            <w:pPr>
              <w:pStyle w:val="Textkomentra"/>
              <w:jc w:val="both"/>
              <w:rPr>
                <w:szCs w:val="24"/>
                <w:highlight w:val="yellow"/>
              </w:rPr>
            </w:pPr>
          </w:p>
        </w:tc>
      </w:tr>
      <w:tr w:rsidR="00727F13" w:rsidRPr="00263BC2" w14:paraId="680F11BF" w14:textId="77777777" w:rsidTr="0077006C">
        <w:tc>
          <w:tcPr>
            <w:tcW w:w="1328" w:type="pct"/>
          </w:tcPr>
          <w:p w14:paraId="3A595C76" w14:textId="499E9014" w:rsidR="00727F13" w:rsidRPr="005C3A41" w:rsidRDefault="00727F13" w:rsidP="00727F1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Predpokladaná hodnota zákazky Verejného obstarávania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72" w:type="pct"/>
          </w:tcPr>
          <w:p w14:paraId="7735DF02" w14:textId="77777777" w:rsidR="00727F13" w:rsidRPr="00034180" w:rsidRDefault="00727F13" w:rsidP="00727F13">
            <w:pPr>
              <w:pStyle w:val="Textkomentra"/>
              <w:spacing w:beforeLines="40" w:before="96" w:afterLines="40" w:after="96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1.003.824,--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 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>EUR</w:t>
            </w:r>
          </w:p>
          <w:p w14:paraId="52EE3422" w14:textId="19C56584" w:rsidR="00727F13" w:rsidRPr="005C3A41" w:rsidRDefault="00727F13" w:rsidP="00727F13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jeden milión tritisíc osemstodvadsaťštyri euro</w:t>
            </w:r>
          </w:p>
          <w:p w14:paraId="113CE44D" w14:textId="4C512646" w:rsidR="00727F13" w:rsidRPr="00D34956" w:rsidRDefault="00727F13" w:rsidP="00727F13">
            <w:pPr>
              <w:pStyle w:val="Textkomentra"/>
              <w:ind w:left="316" w:hanging="31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9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27F13" w:rsidRPr="00263BC2" w14:paraId="35C37E01" w14:textId="7930F53F" w:rsidTr="0077006C">
        <w:tc>
          <w:tcPr>
            <w:tcW w:w="1328" w:type="pct"/>
          </w:tcPr>
          <w:p w14:paraId="0630A065" w14:textId="327B560D" w:rsidR="00727F13" w:rsidRDefault="00727F13" w:rsidP="00727F1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Európskej únie:</w:t>
            </w:r>
          </w:p>
        </w:tc>
        <w:tc>
          <w:tcPr>
            <w:tcW w:w="3672" w:type="pct"/>
          </w:tcPr>
          <w:p w14:paraId="346288A1" w14:textId="77777777" w:rsidR="00BE2FFC" w:rsidRDefault="00BE2FFC" w:rsidP="00727F13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3C378" w14:textId="58708E13" w:rsidR="00727F13" w:rsidRPr="00F31581" w:rsidRDefault="00727F13" w:rsidP="00727F13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81">
              <w:rPr>
                <w:rFonts w:ascii="Times New Roman" w:hAnsi="Times New Roman"/>
                <w:sz w:val="24"/>
                <w:szCs w:val="24"/>
              </w:rPr>
              <w:t>Nie</w:t>
            </w:r>
            <w:r w:rsidR="00A1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1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uplatňuje sa bod 10.11 Dohody</w:t>
            </w:r>
          </w:p>
          <w:p w14:paraId="1285E589" w14:textId="7F01BCBB" w:rsidR="00727F13" w:rsidRPr="00F31581" w:rsidRDefault="00727F13" w:rsidP="00727F13">
            <w:pPr>
              <w:pStyle w:val="Textkomentra"/>
              <w:jc w:val="both"/>
              <w:rPr>
                <w:i/>
                <w:iCs/>
                <w:szCs w:val="24"/>
                <w:highlight w:val="yellow"/>
              </w:rPr>
            </w:pPr>
            <w:r w:rsidRPr="00EF06A3">
              <w:rPr>
                <w:i/>
                <w:iCs/>
                <w:szCs w:val="24"/>
                <w:highlight w:val="yellow"/>
              </w:rPr>
              <w:t xml:space="preserve"> </w:t>
            </w:r>
            <w:bookmarkStart w:id="2" w:name="_GoBack"/>
            <w:bookmarkEnd w:id="2"/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37C85197" w:rsidR="00375972" w:rsidRPr="00233705" w:rsidRDefault="003610F8" w:rsidP="004B4D57">
      <w:pPr>
        <w:pStyle w:val="Odsekzoznamu"/>
        <w:numPr>
          <w:ilvl w:val="1"/>
          <w:numId w:val="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00233705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Dohode nie je pre Kupujúceho záväzné. </w:t>
      </w:r>
      <w:r w:rsidR="00CB185E">
        <w:rPr>
          <w:rFonts w:ascii="Times New Roman" w:hAnsi="Times New Roman"/>
          <w:sz w:val="24"/>
          <w:szCs w:val="24"/>
          <w:lang w:val="sk-SK" w:eastAsia="en-US"/>
        </w:rPr>
        <w:t>S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o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2F3F28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je predpokladané v tejto </w:t>
      </w:r>
      <w:r w:rsidR="00617F36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 tak, aby bol zachovaný maximálny finančný limit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t.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j. </w:t>
      </w:r>
      <w:r w:rsidR="006255DC">
        <w:rPr>
          <w:rFonts w:ascii="Times New Roman" w:hAnsi="Times New Roman"/>
          <w:sz w:val="24"/>
          <w:szCs w:val="24"/>
          <w:lang w:val="sk-SK" w:eastAsia="en-US"/>
        </w:rPr>
        <w:t>M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aximálna </w:t>
      </w:r>
      <w:r w:rsidR="00F47372">
        <w:rPr>
          <w:rFonts w:ascii="Times New Roman" w:hAnsi="Times New Roman"/>
          <w:sz w:val="24"/>
          <w:szCs w:val="24"/>
          <w:lang w:val="sk-SK" w:eastAsia="en-US"/>
        </w:rPr>
        <w:t>cena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Dohody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II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2.3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ohody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Predmet prevodu.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Predávajúci má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nárok na odplatu, len za skutočne poskytnuté množstvo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prevodu.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2E727143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DB772F">
        <w:rPr>
          <w:rFonts w:ascii="Times New Roman" w:hAnsi="Times New Roman"/>
          <w:sz w:val="24"/>
          <w:szCs w:val="24"/>
          <w:lang w:val="sk-SK" w:eastAsia="en-US"/>
        </w:rPr>
        <w:t xml:space="preserve"> ako aj všetky  doklady </w:t>
      </w:r>
      <w:r w:rsidR="00C406A1">
        <w:rPr>
          <w:rFonts w:ascii="Times New Roman" w:hAnsi="Times New Roman"/>
          <w:sz w:val="24"/>
          <w:szCs w:val="24"/>
          <w:lang w:val="sk-SK" w:eastAsia="en-US"/>
        </w:rPr>
        <w:t>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B75968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3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3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06502563" w:rsidR="00945C5C" w:rsidRDefault="00F15788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>ejto Dohody.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Účastníci dohody sa </w:t>
      </w:r>
      <w:r w:rsidR="00FB22E0">
        <w:rPr>
          <w:rFonts w:ascii="Times New Roman" w:hAnsi="Times New Roman"/>
          <w:sz w:val="24"/>
          <w:szCs w:val="24"/>
          <w:lang w:eastAsia="en-US"/>
        </w:rPr>
        <w:t>doho</w:t>
      </w:r>
      <w:r w:rsidR="005614E3">
        <w:rPr>
          <w:rFonts w:ascii="Times New Roman" w:hAnsi="Times New Roman"/>
          <w:sz w:val="24"/>
          <w:szCs w:val="24"/>
          <w:lang w:eastAsia="en-US"/>
        </w:rPr>
        <w:t>d</w:t>
      </w:r>
      <w:r w:rsidR="00FB22E0">
        <w:rPr>
          <w:rFonts w:ascii="Times New Roman" w:hAnsi="Times New Roman"/>
          <w:sz w:val="24"/>
          <w:szCs w:val="24"/>
          <w:lang w:eastAsia="en-US"/>
        </w:rPr>
        <w:t>l</w:t>
      </w:r>
      <w:r w:rsidR="005614E3">
        <w:rPr>
          <w:rFonts w:ascii="Times New Roman" w:hAnsi="Times New Roman"/>
          <w:sz w:val="24"/>
          <w:szCs w:val="24"/>
          <w:lang w:eastAsia="en-US"/>
        </w:rPr>
        <w:t>i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, že  v prípade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22E0">
        <w:rPr>
          <w:rFonts w:ascii="Times New Roman" w:hAnsi="Times New Roman"/>
          <w:sz w:val="24"/>
          <w:szCs w:val="24"/>
          <w:lang w:eastAsia="en-US"/>
        </w:rPr>
        <w:t>nevyčerpania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515">
        <w:rPr>
          <w:rFonts w:ascii="Times New Roman" w:hAnsi="Times New Roman"/>
          <w:sz w:val="24"/>
          <w:szCs w:val="24"/>
          <w:lang w:eastAsia="en-US"/>
        </w:rPr>
        <w:t>M</w:t>
      </w:r>
      <w:r w:rsidR="00764B00">
        <w:rPr>
          <w:rFonts w:ascii="Times New Roman" w:hAnsi="Times New Roman"/>
          <w:sz w:val="24"/>
          <w:szCs w:val="24"/>
          <w:lang w:eastAsia="en-US"/>
        </w:rPr>
        <w:t xml:space="preserve">aximálnej </w:t>
      </w:r>
      <w:r w:rsidR="00727F13">
        <w:rPr>
          <w:rFonts w:ascii="Times New Roman" w:hAnsi="Times New Roman"/>
          <w:sz w:val="24"/>
          <w:szCs w:val="24"/>
          <w:lang w:eastAsia="en-US"/>
        </w:rPr>
        <w:t xml:space="preserve">ceny  </w:t>
      </w:r>
      <w:r w:rsidR="008C3639">
        <w:rPr>
          <w:rFonts w:ascii="Times New Roman" w:hAnsi="Times New Roman"/>
          <w:sz w:val="24"/>
          <w:szCs w:val="24"/>
          <w:lang w:eastAsia="en-US"/>
        </w:rPr>
        <w:t>D</w:t>
      </w:r>
      <w:r w:rsidR="005614E3">
        <w:rPr>
          <w:rFonts w:ascii="Times New Roman" w:hAnsi="Times New Roman"/>
          <w:sz w:val="24"/>
          <w:szCs w:val="24"/>
          <w:lang w:eastAsia="en-US"/>
        </w:rPr>
        <w:t>ohody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C7A">
        <w:rPr>
          <w:rFonts w:ascii="Times New Roman" w:hAnsi="Times New Roman"/>
          <w:sz w:val="24"/>
          <w:szCs w:val="24"/>
          <w:lang w:eastAsia="en-US"/>
        </w:rPr>
        <w:t>uvedenej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v čl. II bode 2.3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počas </w:t>
      </w:r>
      <w:r w:rsidR="001332BE">
        <w:rPr>
          <w:rFonts w:ascii="Times New Roman" w:hAnsi="Times New Roman"/>
          <w:sz w:val="24"/>
          <w:szCs w:val="24"/>
          <w:lang w:eastAsia="en-US"/>
        </w:rPr>
        <w:t>doby trvania Dohody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, Účastníci dohody </w:t>
      </w:r>
      <w:r w:rsidR="005614E3">
        <w:rPr>
          <w:rFonts w:ascii="Times New Roman" w:hAnsi="Times New Roman"/>
          <w:sz w:val="24"/>
          <w:szCs w:val="24"/>
          <w:lang w:eastAsia="en-US"/>
        </w:rPr>
        <w:t>sú oprávnen</w:t>
      </w:r>
      <w:r w:rsidR="004D6515">
        <w:rPr>
          <w:rFonts w:ascii="Times New Roman" w:hAnsi="Times New Roman"/>
          <w:sz w:val="24"/>
          <w:szCs w:val="24"/>
          <w:lang w:eastAsia="en-US"/>
        </w:rPr>
        <w:t>í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518">
        <w:rPr>
          <w:rFonts w:ascii="Times New Roman" w:hAnsi="Times New Roman"/>
          <w:sz w:val="24"/>
          <w:szCs w:val="24"/>
          <w:lang w:eastAsia="en-US"/>
        </w:rPr>
        <w:t>predĺžiť dobu trvania</w:t>
      </w:r>
      <w:r w:rsidR="009F7EE6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BF7561">
        <w:rPr>
          <w:rFonts w:ascii="Times New Roman" w:hAnsi="Times New Roman"/>
          <w:sz w:val="24"/>
          <w:szCs w:val="24"/>
          <w:lang w:eastAsia="en-US"/>
        </w:rPr>
        <w:t>dvanásť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561">
        <w:rPr>
          <w:rFonts w:ascii="Times New Roman" w:hAnsi="Times New Roman"/>
          <w:sz w:val="24"/>
          <w:szCs w:val="24"/>
          <w:lang w:eastAsia="en-US"/>
        </w:rPr>
        <w:t>(</w:t>
      </w:r>
      <w:r w:rsidR="00917518">
        <w:rPr>
          <w:rFonts w:ascii="Times New Roman" w:hAnsi="Times New Roman"/>
          <w:sz w:val="24"/>
          <w:szCs w:val="24"/>
          <w:lang w:eastAsia="en-US"/>
        </w:rPr>
        <w:t>12</w:t>
      </w:r>
      <w:r w:rsidR="00BF7561">
        <w:rPr>
          <w:rFonts w:ascii="Times New Roman" w:hAnsi="Times New Roman"/>
          <w:sz w:val="24"/>
          <w:szCs w:val="24"/>
          <w:lang w:eastAsia="en-US"/>
        </w:rPr>
        <w:t>)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mesiacov, a to aj opakovane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Zmenu podľa predchádzajúcej vety</w:t>
      </w:r>
      <w:r w:rsidR="00993C28">
        <w:rPr>
          <w:rFonts w:ascii="Times New Roman" w:hAnsi="Times New Roman"/>
          <w:sz w:val="24"/>
          <w:szCs w:val="24"/>
          <w:lang w:eastAsia="en-US"/>
        </w:rPr>
        <w:t xml:space="preserve"> vykonajú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Účastníci dohody </w:t>
      </w:r>
      <w:r w:rsidR="00993C28">
        <w:rPr>
          <w:rFonts w:ascii="Times New Roman" w:hAnsi="Times New Roman"/>
          <w:sz w:val="24"/>
          <w:szCs w:val="24"/>
          <w:lang w:eastAsia="en-US"/>
        </w:rPr>
        <w:t>v</w:t>
      </w:r>
      <w:r w:rsidR="00FD4E6D">
        <w:rPr>
          <w:rFonts w:ascii="Times New Roman" w:hAnsi="Times New Roman"/>
          <w:sz w:val="24"/>
          <w:szCs w:val="24"/>
          <w:lang w:eastAsia="en-US"/>
        </w:rPr>
        <w:t>o forme</w:t>
      </w:r>
      <w:r w:rsidR="001332BE">
        <w:rPr>
          <w:rFonts w:ascii="Times New Roman" w:hAnsi="Times New Roman"/>
          <w:sz w:val="24"/>
          <w:szCs w:val="24"/>
          <w:lang w:eastAsia="en-US"/>
        </w:rPr>
        <w:t xml:space="preserve"> písomného 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dodatku o zmene zmluvy v súlade s § 18 ods. 1 písm</w:t>
      </w:r>
      <w:r w:rsidR="00993C28">
        <w:rPr>
          <w:rFonts w:ascii="Times New Roman" w:hAnsi="Times New Roman"/>
          <w:sz w:val="24"/>
          <w:szCs w:val="24"/>
          <w:lang w:eastAsia="en-US"/>
        </w:rPr>
        <w:t>.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a) </w:t>
      </w:r>
      <w:r w:rsidR="005C3A41">
        <w:rPr>
          <w:rFonts w:ascii="Times New Roman" w:hAnsi="Times New Roman"/>
          <w:sz w:val="24"/>
          <w:szCs w:val="24"/>
          <w:lang w:eastAsia="en-US"/>
        </w:rPr>
        <w:t>zákona o verejnom obstarávaní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D49679" w14:textId="14F6BA4A" w:rsidR="003D344E" w:rsidRPr="00B31AFD" w:rsidRDefault="009203EE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5B51D116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2222B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0BDA7" w14:textId="7C462F8A" w:rsidR="00FC2417" w:rsidRPr="00B31AFD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726EB874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 w:rsidR="00D70EA1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7C341986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="00AA74FC">
        <w:rPr>
          <w:rFonts w:ascii="Times New Roman" w:hAnsi="Times New Roman"/>
          <w:sz w:val="24"/>
          <w:szCs w:val="24"/>
          <w:lang w:val="sk-SK" w:eastAsia="en-US"/>
        </w:rPr>
        <w:t>M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preukázateľne oznámená ako nová kontaktná osoba.</w:t>
      </w:r>
    </w:p>
    <w:p w14:paraId="2FF00138" w14:textId="207618E6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 kontaktnej osoby Kupujúceho podľa tohto článku</w:t>
      </w:r>
      <w:r w:rsidR="00BF7561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1C94D381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</w:t>
      </w:r>
      <w:r w:rsidR="00AE6E8A">
        <w:rPr>
          <w:rFonts w:ascii="Times New Roman" w:hAnsi="Times New Roman"/>
          <w:sz w:val="24"/>
          <w:szCs w:val="24"/>
          <w:lang w:eastAsia="en-US"/>
        </w:rPr>
        <w:t xml:space="preserve">stanovenom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43D37A0D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4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odovzdať Kupujúcemu aj </w:t>
      </w:r>
      <w:r w:rsidR="00727F13">
        <w:rPr>
          <w:rFonts w:ascii="Times New Roman" w:hAnsi="Times New Roman"/>
          <w:sz w:val="24"/>
          <w:szCs w:val="24"/>
          <w:lang w:eastAsia="en-US"/>
        </w:rPr>
        <w:t>D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4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5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5"/>
    </w:p>
    <w:p w14:paraId="215CF88E" w14:textId="09F2B428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</w:t>
      </w:r>
      <w:r w:rsidR="00AA74FC">
        <w:rPr>
          <w:rFonts w:ascii="Times New Roman" w:hAnsi="Times New Roman"/>
          <w:sz w:val="24"/>
          <w:szCs w:val="24"/>
          <w:lang w:eastAsia="en-US"/>
        </w:rPr>
        <w:t xml:space="preserve">Ďalšie plnenia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súvisiace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na </w:t>
      </w:r>
      <w:r w:rsidR="00AA74FC">
        <w:rPr>
          <w:rFonts w:ascii="Times New Roman" w:hAnsi="Times New Roman"/>
          <w:sz w:val="24"/>
          <w:szCs w:val="24"/>
          <w:lang w:eastAsia="en-US"/>
        </w:rPr>
        <w:t>M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6DA5EE44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</w:t>
      </w:r>
      <w:r w:rsidR="00FC1A99">
        <w:rPr>
          <w:rFonts w:ascii="Times New Roman" w:hAnsi="Times New Roman"/>
          <w:sz w:val="24"/>
          <w:szCs w:val="24"/>
          <w:lang w:eastAsia="en-US"/>
        </w:rPr>
        <w:t>/</w:t>
      </w:r>
      <w:r w:rsidRPr="002A34C2">
        <w:rPr>
          <w:rFonts w:ascii="Times New Roman" w:hAnsi="Times New Roman"/>
          <w:sz w:val="24"/>
          <w:szCs w:val="24"/>
          <w:lang w:eastAsia="en-US"/>
        </w:rPr>
        <w:t>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6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6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0130F5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6A5911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94267B">
        <w:rPr>
          <w:rFonts w:ascii="Times New Roman" w:hAnsi="Times New Roman"/>
          <w:sz w:val="24"/>
          <w:szCs w:val="24"/>
          <w:lang w:eastAsia="en-US"/>
        </w:rPr>
        <w:t xml:space="preserve"> a v súlade s touto Dohodou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. V opačnom prípade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lastRenderedPageBreak/>
        <w:t>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453FFC10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339B6A58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</w:t>
      </w:r>
      <w:r w:rsidR="00702434">
        <w:rPr>
          <w:rFonts w:ascii="Times New Roman" w:hAnsi="Times New Roman"/>
          <w:sz w:val="24"/>
          <w:szCs w:val="24"/>
          <w:lang w:eastAsia="en-US"/>
        </w:rPr>
        <w:t xml:space="preserve"> pred plánovanou zmenou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="00F122B9" w:rsidRPr="00F122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122B9" w:rsidRPr="481525B4">
        <w:rPr>
          <w:rFonts w:ascii="Times New Roman" w:hAnsi="Times New Roman"/>
          <w:sz w:val="24"/>
          <w:szCs w:val="24"/>
          <w:lang w:val="sk-SK"/>
        </w:rPr>
        <w:t>na odsúhlasenie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33476416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6FE43DEA" w14:textId="72B98D75" w:rsidR="006F73A7" w:rsidRPr="00AC49F1" w:rsidRDefault="00CA464C" w:rsidP="00AC49F1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V</w:t>
      </w:r>
    </w:p>
    <w:p w14:paraId="43AC1621" w14:textId="785DE69F" w:rsidR="00BF6FAF" w:rsidRPr="00BF6FA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271138F7" w14:textId="570C1615" w:rsidR="00BE2F23" w:rsidRPr="00A84A8E" w:rsidRDefault="00C81F50" w:rsidP="00A84A8E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C</w:t>
      </w:r>
      <w:r w:rsidR="00FC2417" w:rsidRPr="00263BC2">
        <w:rPr>
          <w:szCs w:val="24"/>
        </w:rPr>
        <w:t xml:space="preserve">ena </w:t>
      </w:r>
      <w:r w:rsidR="005D3042">
        <w:rPr>
          <w:szCs w:val="24"/>
        </w:rPr>
        <w:t xml:space="preserve"> </w:t>
      </w:r>
      <w:r w:rsidR="00FC2417" w:rsidRPr="00263BC2">
        <w:rPr>
          <w:szCs w:val="24"/>
        </w:rPr>
        <w:t xml:space="preserve">je stanovená </w:t>
      </w:r>
      <w:r w:rsidR="0024104D">
        <w:rPr>
          <w:szCs w:val="24"/>
        </w:rPr>
        <w:t xml:space="preserve"> </w:t>
      </w:r>
      <w:r w:rsidR="00FC2417"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D5473D" w:rsidRPr="0024104D">
        <w:rPr>
          <w:szCs w:val="24"/>
        </w:rPr>
        <w:t>a vyhlášky Ministerstva financií Slovenskej republiky č. 87/1996 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="00FC2417" w:rsidRPr="0024104D">
        <w:rPr>
          <w:szCs w:val="24"/>
        </w:rPr>
        <w:t>, ako cena kone</w:t>
      </w:r>
      <w:r w:rsidR="001519BB" w:rsidRPr="0024104D">
        <w:rPr>
          <w:szCs w:val="24"/>
        </w:rPr>
        <w:t>čná</w:t>
      </w:r>
      <w:r w:rsidR="00E161E9">
        <w:rPr>
          <w:szCs w:val="24"/>
        </w:rPr>
        <w:t xml:space="preserve">. Cena </w:t>
      </w:r>
      <w:r w:rsidR="00FC2417" w:rsidRPr="0024104D">
        <w:rPr>
          <w:szCs w:val="24"/>
        </w:rPr>
        <w:t xml:space="preserve"> je </w:t>
      </w:r>
      <w:r w:rsidR="00B26E4C">
        <w:rPr>
          <w:szCs w:val="24"/>
        </w:rPr>
        <w:t xml:space="preserve"> výsledkom  Verejného obstarávania  </w:t>
      </w:r>
      <w:r w:rsidR="005D3042">
        <w:rPr>
          <w:szCs w:val="24"/>
        </w:rPr>
        <w:t xml:space="preserve">a je </w:t>
      </w:r>
      <w:r w:rsidR="00FC2417" w:rsidRPr="0024104D">
        <w:rPr>
          <w:szCs w:val="24"/>
        </w:rPr>
        <w:t>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953345"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4104D">
        <w:rPr>
          <w:szCs w:val="24"/>
        </w:rPr>
        <w:t>.</w:t>
      </w:r>
    </w:p>
    <w:p w14:paraId="418F5248" w14:textId="40CBC2C7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C81F50">
        <w:rPr>
          <w:szCs w:val="24"/>
        </w:rPr>
        <w:t>C</w:t>
      </w:r>
      <w:r w:rsidRPr="00263BC2">
        <w:rPr>
          <w:szCs w:val="24"/>
        </w:rPr>
        <w:t xml:space="preserve">ene bude pripočítaná </w:t>
      </w:r>
      <w:r w:rsidR="00727F13">
        <w:rPr>
          <w:szCs w:val="24"/>
        </w:rPr>
        <w:t xml:space="preserve">DPH </w:t>
      </w:r>
      <w:r w:rsidRPr="00263BC2">
        <w:rPr>
          <w:szCs w:val="24"/>
        </w:rPr>
        <w:t xml:space="preserve">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81F50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3A620B57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75968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AE0577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7B637659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AE0577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F06A3">
        <w:rPr>
          <w:szCs w:val="24"/>
        </w:rPr>
        <w:t> záhlaví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EF06A3">
        <w:rPr>
          <w:szCs w:val="24"/>
        </w:rPr>
        <w:t xml:space="preserve"> záhlaví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298058D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>Predávajúci poskytuje na Predmet prevodu</w:t>
      </w:r>
      <w:r w:rsidR="00727F13">
        <w:rPr>
          <w:szCs w:val="24"/>
        </w:rPr>
        <w:t xml:space="preserve"> ako aj Ďalšie plnenia súvisiace s dodaním Predmetu prevodu</w:t>
      </w:r>
      <w:r>
        <w:rPr>
          <w:szCs w:val="24"/>
        </w:rPr>
        <w:t xml:space="preserve">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7E91921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</w:t>
      </w:r>
      <w:r w:rsidR="00AA259B">
        <w:rPr>
          <w:szCs w:val="24"/>
        </w:rPr>
        <w:t xml:space="preserve">vzniku </w:t>
      </w:r>
      <w:r w:rsidRPr="00263BC2">
        <w:rPr>
          <w:szCs w:val="24"/>
        </w:rPr>
        <w:t xml:space="preserve">vady </w:t>
      </w:r>
      <w:r w:rsidR="00AA259B">
        <w:rPr>
          <w:szCs w:val="24"/>
        </w:rPr>
        <w:t xml:space="preserve">počas plynutia Záručnej doby na </w:t>
      </w:r>
      <w:r w:rsidRPr="00263BC2">
        <w:rPr>
          <w:szCs w:val="24"/>
        </w:rPr>
        <w:t xml:space="preserve"> </w:t>
      </w:r>
      <w:r w:rsidR="006F2E7A">
        <w:rPr>
          <w:szCs w:val="24"/>
        </w:rPr>
        <w:t>Predmet</w:t>
      </w:r>
      <w:r w:rsidR="00AA259B">
        <w:rPr>
          <w:szCs w:val="24"/>
        </w:rPr>
        <w:t>e</w:t>
      </w:r>
      <w:r w:rsidR="006F2E7A">
        <w:rPr>
          <w:szCs w:val="24"/>
        </w:rPr>
        <w:t xml:space="preserve"> prevodu</w:t>
      </w:r>
      <w:r w:rsidR="00AA259B">
        <w:rPr>
          <w:szCs w:val="24"/>
        </w:rPr>
        <w:t xml:space="preserve"> alebo na Ďalšom plnení súvisiacom s dodaním 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1E9F05C8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Kupujúci</w:t>
      </w:r>
      <w:r w:rsidR="00CF2518">
        <w:rPr>
          <w:szCs w:val="24"/>
        </w:rPr>
        <w:t xml:space="preserve"> uplatní </w:t>
      </w:r>
      <w:r w:rsidRPr="00263BC2">
        <w:rPr>
          <w:szCs w:val="24"/>
        </w:rPr>
        <w:t xml:space="preserve"> reklamáciu vady </w:t>
      </w:r>
      <w:r w:rsidR="00AA259B">
        <w:rPr>
          <w:szCs w:val="24"/>
        </w:rPr>
        <w:t xml:space="preserve">počas plynutia Záručnej doby </w:t>
      </w:r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AA259B">
        <w:rPr>
          <w:szCs w:val="24"/>
        </w:rPr>
        <w:t xml:space="preserve"> </w:t>
      </w:r>
      <w:r w:rsidR="00AA259B">
        <w:rPr>
          <w:szCs w:val="24"/>
        </w:rPr>
        <w:lastRenderedPageBreak/>
        <w:t>a Ďalších plneniach súvisiacich s dodaním Predmetu prevodu</w:t>
      </w:r>
      <w:r w:rsidRPr="00263BC2">
        <w:rPr>
          <w:szCs w:val="24"/>
        </w:rPr>
        <w:t xml:space="preserve">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297E2A7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AA259B">
        <w:rPr>
          <w:szCs w:val="24"/>
        </w:rPr>
        <w:t xml:space="preserve"> a Ďalších plneniach súvisiacich s dodaním 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59B81A5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AA259B">
        <w:rPr>
          <w:szCs w:val="24"/>
        </w:rPr>
        <w:t xml:space="preserve"> a Ďalších plnení súvisiacich s dodaním Predmetu prevodu</w:t>
      </w:r>
      <w:r w:rsidRPr="00263BC2">
        <w:rPr>
          <w:szCs w:val="24"/>
        </w:rPr>
        <w:t xml:space="preserve">, ak sú </w:t>
      </w:r>
      <w:r w:rsidR="00AA259B">
        <w:rPr>
          <w:szCs w:val="24"/>
        </w:rPr>
        <w:t xml:space="preserve">odstrániteľné alebo </w:t>
      </w:r>
      <w:r w:rsidRPr="00263BC2">
        <w:rPr>
          <w:szCs w:val="24"/>
        </w:rPr>
        <w:t>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339C2FCB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AE0577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601662E0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</w:t>
      </w:r>
      <w:r w:rsidR="00AA259B">
        <w:rPr>
          <w:szCs w:val="24"/>
        </w:rPr>
        <w:t>až</w:t>
      </w:r>
      <w:r w:rsidR="004A6B85">
        <w:rPr>
          <w:szCs w:val="24"/>
        </w:rPr>
        <w:t xml:space="preserve">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07D4168D" w14:textId="6F74CEBF" w:rsidR="003964EF" w:rsidRDefault="006B01F7" w:rsidP="003964EF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Tento bod sa uplatňuje iba v prípade úhrady </w:t>
      </w:r>
      <w:r w:rsidR="00AE0577">
        <w:rPr>
          <w:szCs w:val="24"/>
        </w:rPr>
        <w:t>C</w:t>
      </w:r>
      <w:r>
        <w:rPr>
          <w:szCs w:val="24"/>
        </w:rPr>
        <w:t xml:space="preserve">eny aj z finančných prostriedkov 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191C89">
        <w:rPr>
          <w:szCs w:val="24"/>
        </w:rPr>
        <w:t>.</w:t>
      </w:r>
      <w:r w:rsidR="0020674B">
        <w:rPr>
          <w:szCs w:val="24"/>
        </w:rPr>
        <w:t xml:space="preserve"> </w:t>
      </w:r>
      <w:r w:rsidR="003964EF">
        <w:rPr>
          <w:szCs w:val="24"/>
        </w:rPr>
        <w:t xml:space="preserve">Predávajúci berie na vedomie, že finančné prostriedky Kupujúceho určené na zaplatenie </w:t>
      </w:r>
      <w:r w:rsidR="00953345">
        <w:rPr>
          <w:szCs w:val="24"/>
        </w:rPr>
        <w:t>C</w:t>
      </w:r>
      <w:r w:rsidR="003964EF">
        <w:rPr>
          <w:szCs w:val="24"/>
        </w:rPr>
        <w:t>eny sú verejnými prostriedkami, a sú sčasti prostriedkami z</w:t>
      </w:r>
      <w:r w:rsidR="00A84A8E">
        <w:rPr>
          <w:szCs w:val="24"/>
        </w:rPr>
        <w:t> 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3964EF">
        <w:rPr>
          <w:szCs w:val="24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>
        <w:rPr>
          <w:szCs w:val="24"/>
        </w:rPr>
        <w:t xml:space="preserve"> príslušného operačného p</w:t>
      </w:r>
      <w:r w:rsidR="003964EF">
        <w:rPr>
          <w:szCs w:val="24"/>
        </w:rPr>
        <w:t>rogramu .</w:t>
      </w:r>
    </w:p>
    <w:p w14:paraId="3A60D22F" w14:textId="5DEBECEC" w:rsidR="003964EF" w:rsidRDefault="003964EF" w:rsidP="003964EF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>Zmluvné strany sa dohodli, že obsah všetkých dokumentov, ktoré ustanovujú pravidlá použitia prostriedkov poskytnutých z rozpočtu Európskej únie na vykonanie</w:t>
      </w:r>
      <w:r w:rsidR="00191C89">
        <w:rPr>
          <w:szCs w:val="24"/>
        </w:rPr>
        <w:t xml:space="preserve"> príslušného  operačného p</w:t>
      </w:r>
      <w:r>
        <w:rPr>
          <w:szCs w:val="24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</w:t>
      </w:r>
      <w:r>
        <w:rPr>
          <w:szCs w:val="24"/>
        </w:rPr>
        <w:lastRenderedPageBreak/>
        <w:t xml:space="preserve">zverejnené spôsobom, ktorý je Predávajúceho dostupný. </w:t>
      </w:r>
    </w:p>
    <w:p w14:paraId="6D003232" w14:textId="3BFCF8B6" w:rsidR="002C31AE" w:rsidRPr="007831EF" w:rsidRDefault="002C31AE" w:rsidP="003964EF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>
        <w:rPr>
          <w:szCs w:val="24"/>
        </w:rPr>
        <w:t>príslušného programu</w:t>
      </w:r>
      <w:r w:rsidR="003964EF">
        <w:rPr>
          <w:szCs w:val="24"/>
        </w:rPr>
        <w:t>, v rámci ktor</w:t>
      </w:r>
      <w:r w:rsidR="00191C89">
        <w:rPr>
          <w:szCs w:val="24"/>
        </w:rPr>
        <w:t>ého</w:t>
      </w:r>
      <w:r w:rsidR="003964EF">
        <w:rPr>
          <w:szCs w:val="24"/>
        </w:rPr>
        <w:t xml:space="preserve">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710BEEA0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178FDA1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4256C234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2B28DE6F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06A071C3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2282848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4C3B98C0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3C8AF61D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26351EEE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25C52DCD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3A16021D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539F720B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29194D5" w:rsidR="003964EF" w:rsidRDefault="003964EF" w:rsidP="00F232B9">
      <w:pPr>
        <w:pStyle w:val="CTL"/>
        <w:numPr>
          <w:ilvl w:val="0"/>
          <w:numId w:val="39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AE68079" w14:textId="486B6A5F" w:rsidR="00E1084D" w:rsidRDefault="00E1084D" w:rsidP="003F5809">
      <w:pPr>
        <w:pStyle w:val="CTL"/>
        <w:numPr>
          <w:ilvl w:val="1"/>
          <w:numId w:val="48"/>
        </w:numPr>
        <w:ind w:left="567" w:hanging="567"/>
      </w:pPr>
      <w:r w:rsidRPr="0062303F">
        <w:t>Účastníci  dohody sa výslovne dohodli, že Predávajúci  nie je oprávnený bez predchádzajúceho písomného súhlasu</w:t>
      </w:r>
      <w:r w:rsidR="003332BA" w:rsidRPr="0062303F">
        <w:t xml:space="preserve"> Kupujúceho </w:t>
      </w:r>
      <w:r w:rsidRPr="0062303F">
        <w:t>postúpiť na tretiu osobou</w:t>
      </w:r>
      <w:r w:rsidR="007C1570">
        <w:t xml:space="preserve">, </w:t>
      </w:r>
      <w:r w:rsidRPr="0062303F">
        <w:t xml:space="preserve">založiť </w:t>
      </w:r>
      <w:r w:rsidR="003332BA" w:rsidRPr="0062303F">
        <w:t xml:space="preserve"> </w:t>
      </w:r>
      <w:r w:rsidR="007C1570">
        <w:t xml:space="preserve">alebo </w:t>
      </w:r>
      <w:r w:rsidR="003332BA" w:rsidRPr="0062303F">
        <w:t xml:space="preserve">  započítať </w:t>
      </w:r>
      <w:r w:rsidRPr="0062303F">
        <w:t xml:space="preserve">akékoľvek svoje pohľadávky vzniknuté na základe alebo v súvislosti s touto </w:t>
      </w:r>
      <w:r w:rsidR="00D21C71">
        <w:t>D</w:t>
      </w:r>
      <w:r w:rsidRPr="0062303F">
        <w:t xml:space="preserve">ohodou alebo plnením záväzkov podľa tejto </w:t>
      </w:r>
      <w:r w:rsidR="00D21C71">
        <w:t>D</w:t>
      </w:r>
      <w:r w:rsidRPr="0062303F">
        <w:t xml:space="preserve">ohody. </w:t>
      </w:r>
    </w:p>
    <w:p w14:paraId="1A438B24" w14:textId="39735AD3" w:rsidR="00EF3599" w:rsidRDefault="00EF3599" w:rsidP="003F5809">
      <w:pPr>
        <w:pStyle w:val="CTL"/>
        <w:numPr>
          <w:ilvl w:val="1"/>
          <w:numId w:val="48"/>
        </w:numPr>
        <w:ind w:left="567" w:hanging="567"/>
      </w:pPr>
      <w:r>
        <w:t xml:space="preserve">Predávajúci podpisom Dohody prehlasuje, že Predmet prevodu v čase uzatvorenia Dohody plne zodpovedá všetkým požiadavkám, ktoré sú stanovené príslušnými právnymi predpismi na Predmet prevodu (napr. vyhláška Ministerstva pôdohospodárstva a rozvoja vidieka Slovenskej republiky č. 283/2020 Z. z. o podrobnostiach o ochrane spoločenských zvierat, požiadavkách na odchyt túlavých zvierat a požiadavkách na karanténne stanice a útulky pre zvieratá v znení neskorších predpisov). Predávajúci sa zaväzuje počas trvania Dohody zabezpečiť, aby ním dodaný Predmet prevodu bol v súlade s príslušnými právnymi predpismi. V prípade zmeny predpisov upravujúcich </w:t>
      </w:r>
      <w:r>
        <w:lastRenderedPageBreak/>
        <w:t>požiadavky na Predmet prevodu je povinný o tejto skutočnosti bezodkladne upovedomiť Kupujúceho, a Účastníci dohody budú postupovať spôsobom uvedeným v čl. II bod 2.5 Dohody.</w:t>
      </w:r>
    </w:p>
    <w:p w14:paraId="59877DA2" w14:textId="77777777" w:rsidR="00EF3599" w:rsidRPr="0062303F" w:rsidRDefault="00EF3599" w:rsidP="003F5809">
      <w:pPr>
        <w:pStyle w:val="CTL"/>
        <w:numPr>
          <w:ilvl w:val="0"/>
          <w:numId w:val="0"/>
        </w:numPr>
        <w:ind w:left="567"/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4CCD2FB1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AA259B">
        <w:rPr>
          <w:szCs w:val="24"/>
        </w:rPr>
        <w:t>si</w:t>
      </w:r>
      <w:r w:rsidR="0077096A" w:rsidRPr="00263BC2">
        <w:rPr>
          <w:szCs w:val="24"/>
        </w:rPr>
        <w:t xml:space="preserve"> </w:t>
      </w:r>
      <w:r w:rsidR="00044113">
        <w:rPr>
          <w:szCs w:val="24"/>
        </w:rPr>
        <w:t>K</w:t>
      </w:r>
      <w:r w:rsidR="0077096A" w:rsidRPr="00263BC2">
        <w:rPr>
          <w:szCs w:val="24"/>
        </w:rPr>
        <w:t>upujúci  uplatn</w:t>
      </w:r>
      <w:r w:rsidR="00AA259B">
        <w:rPr>
          <w:szCs w:val="24"/>
        </w:rPr>
        <w:t xml:space="preserve">í </w:t>
      </w:r>
      <w:r w:rsidR="0077096A" w:rsidRPr="00263BC2">
        <w:rPr>
          <w:szCs w:val="24"/>
        </w:rPr>
        <w:t xml:space="preserve">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191C89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  <w:r w:rsidR="001F30A6">
        <w:rPr>
          <w:szCs w:val="24"/>
        </w:rPr>
        <w:t>alebo</w:t>
      </w:r>
    </w:p>
    <w:p w14:paraId="4A34D1DF" w14:textId="2E81C02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AA259B">
        <w:rPr>
          <w:szCs w:val="24"/>
        </w:rPr>
        <w:t>si</w:t>
      </w:r>
      <w:r w:rsidR="00EB3353">
        <w:rPr>
          <w:szCs w:val="24"/>
        </w:rPr>
        <w:t xml:space="preserve"> K</w:t>
      </w:r>
      <w:r w:rsidRPr="00263BC2">
        <w:rPr>
          <w:szCs w:val="24"/>
        </w:rPr>
        <w:t>upujúci  uplatn</w:t>
      </w:r>
      <w:r w:rsidR="00AA259B">
        <w:rPr>
          <w:szCs w:val="24"/>
        </w:rPr>
        <w:t xml:space="preserve">í </w:t>
      </w:r>
      <w:r w:rsidRPr="00263BC2">
        <w:rPr>
          <w:szCs w:val="24"/>
        </w:rPr>
        <w:t xml:space="preserve">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84A8E">
        <w:rPr>
          <w:szCs w:val="24"/>
        </w:rPr>
        <w:t xml:space="preserve">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47E86F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32F1CC7A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AA259B">
        <w:rPr>
          <w:szCs w:val="24"/>
        </w:rPr>
        <w:t>si</w:t>
      </w:r>
      <w:r w:rsidR="00EB3353">
        <w:rPr>
          <w:szCs w:val="24"/>
        </w:rPr>
        <w:t xml:space="preserve"> K</w:t>
      </w:r>
      <w:r w:rsidRPr="00263BC2">
        <w:rPr>
          <w:szCs w:val="24"/>
        </w:rPr>
        <w:t>upujúci  uplatn</w:t>
      </w:r>
      <w:r w:rsidR="00AA259B">
        <w:rPr>
          <w:szCs w:val="24"/>
        </w:rPr>
        <w:t xml:space="preserve">í </w:t>
      </w:r>
      <w:r w:rsidRPr="00263BC2">
        <w:rPr>
          <w:szCs w:val="24"/>
        </w:rPr>
        <w:t xml:space="preserve">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> </w:t>
      </w:r>
      <w:r w:rsidR="00191C89">
        <w:rPr>
          <w:szCs w:val="24"/>
        </w:rPr>
        <w:t>C</w:t>
      </w:r>
      <w:r w:rsidR="00AD44DF" w:rsidRPr="00263BC2">
        <w:rPr>
          <w:szCs w:val="24"/>
        </w:rPr>
        <w:t>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lastRenderedPageBreak/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7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7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48EC9EB5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</w:t>
      </w:r>
      <w:r w:rsidR="003F5809">
        <w:rPr>
          <w:szCs w:val="24"/>
        </w:rPr>
        <w:t>;</w:t>
      </w:r>
      <w:r w:rsidRPr="00263BC2">
        <w:rPr>
          <w:szCs w:val="24"/>
        </w:rPr>
        <w:t xml:space="preserve"> </w:t>
      </w:r>
    </w:p>
    <w:p w14:paraId="680DB1CE" w14:textId="3E0CD056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B75968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3F5809">
        <w:rPr>
          <w:szCs w:val="24"/>
        </w:rPr>
        <w:t>;</w:t>
      </w:r>
    </w:p>
    <w:p w14:paraId="050FA063" w14:textId="211FE6EF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3F5809">
        <w:rPr>
          <w:szCs w:val="24"/>
        </w:rPr>
        <w:t>;</w:t>
      </w:r>
      <w:r w:rsidR="001F30A6">
        <w:rPr>
          <w:szCs w:val="24"/>
        </w:rPr>
        <w:t xml:space="preserve"> alebo </w:t>
      </w:r>
    </w:p>
    <w:p w14:paraId="0B712A08" w14:textId="5FEB307F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0A7A29" w:rsidRPr="000A7A29">
        <w:rPr>
          <w:szCs w:val="24"/>
        </w:rPr>
        <w:t xml:space="preserve"> </w:t>
      </w:r>
      <w:r w:rsidR="000A7A29">
        <w:rPr>
          <w:szCs w:val="24"/>
        </w:rPr>
        <w:t>a to aj napriek písomnej výzve Predávajúceho s  určením  náhradnej lehoty na  vykonanie nápravy</w:t>
      </w:r>
      <w:r w:rsidR="003F5809">
        <w:rPr>
          <w:szCs w:val="24"/>
        </w:rPr>
        <w:t>;</w:t>
      </w:r>
      <w:r w:rsidR="00DC6150">
        <w:rPr>
          <w:szCs w:val="24"/>
        </w:rPr>
        <w:t xml:space="preserve"> alebo </w:t>
      </w:r>
    </w:p>
    <w:p w14:paraId="3273886F" w14:textId="73347644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3F5809">
        <w:rPr>
          <w:szCs w:val="24"/>
        </w:rPr>
        <w:t>;</w:t>
      </w:r>
      <w:r w:rsidR="00730F63">
        <w:rPr>
          <w:szCs w:val="24"/>
        </w:rPr>
        <w:t xml:space="preserve"> </w:t>
      </w:r>
      <w:r w:rsidR="00DC6150">
        <w:rPr>
          <w:szCs w:val="24"/>
        </w:rPr>
        <w:t>alebo</w:t>
      </w:r>
    </w:p>
    <w:p w14:paraId="7AAF7208" w14:textId="78E3663B" w:rsidR="00730F63" w:rsidRPr="00730F63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povinnosť doplniť</w:t>
      </w:r>
      <w:r w:rsidRPr="00E74324">
        <w:rPr>
          <w:szCs w:val="24"/>
        </w:rPr>
        <w:t xml:space="preserve"> </w:t>
      </w:r>
      <w:r w:rsidR="00210845">
        <w:rPr>
          <w:szCs w:val="24"/>
        </w:rPr>
        <w:t>V</w:t>
      </w:r>
      <w:r w:rsidRPr="00E74324">
        <w:rPr>
          <w:szCs w:val="24"/>
        </w:rPr>
        <w:t>ýkonovú zábezpeku</w:t>
      </w:r>
      <w:r>
        <w:rPr>
          <w:szCs w:val="24"/>
        </w:rPr>
        <w:t xml:space="preserve"> </w:t>
      </w:r>
      <w:r w:rsidR="00F508E0">
        <w:rPr>
          <w:szCs w:val="24"/>
        </w:rPr>
        <w:t xml:space="preserve">v prípade jej zníženia </w:t>
      </w:r>
      <w:r>
        <w:rPr>
          <w:szCs w:val="24"/>
        </w:rPr>
        <w:t xml:space="preserve">do </w:t>
      </w:r>
      <w:r w:rsidR="00F508E0">
        <w:rPr>
          <w:szCs w:val="24"/>
        </w:rPr>
        <w:t>dohodnutej výšky</w:t>
      </w:r>
      <w:r w:rsidR="006A1861">
        <w:rPr>
          <w:szCs w:val="24"/>
        </w:rPr>
        <w:t xml:space="preserve"> podľa čl. VII, bodu 7.10</w:t>
      </w:r>
      <w:r w:rsidR="00F508E0">
        <w:rPr>
          <w:szCs w:val="24"/>
        </w:rPr>
        <w:t xml:space="preserve">, pokiaľ sa </w:t>
      </w:r>
      <w:r w:rsidR="00210845">
        <w:rPr>
          <w:szCs w:val="24"/>
        </w:rPr>
        <w:t>V</w:t>
      </w:r>
      <w:r w:rsidR="00F508E0">
        <w:rPr>
          <w:szCs w:val="24"/>
        </w:rPr>
        <w:t xml:space="preserve">ýkonová zábezpeka podľa tejto </w:t>
      </w:r>
      <w:r w:rsidR="003610F8">
        <w:rPr>
          <w:szCs w:val="24"/>
        </w:rPr>
        <w:t>Dohody</w:t>
      </w:r>
      <w:r w:rsidR="00F508E0">
        <w:rPr>
          <w:szCs w:val="24"/>
        </w:rPr>
        <w:t xml:space="preserve"> vyžaduje. </w:t>
      </w:r>
      <w:r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505FE7C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1D251D">
        <w:rPr>
          <w:szCs w:val="24"/>
        </w:rPr>
        <w:t xml:space="preserve"> alebo</w:t>
      </w:r>
    </w:p>
    <w:p w14:paraId="7192EF39" w14:textId="7417CEA8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1D251D">
        <w:rPr>
          <w:szCs w:val="24"/>
        </w:rPr>
        <w:t xml:space="preserve"> alebo 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1E50BC6C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EB5A63">
        <w:rPr>
          <w:rFonts w:ascii="Times New Roman" w:hAnsi="Times New Roman"/>
          <w:sz w:val="24"/>
          <w:szCs w:val="24"/>
        </w:rPr>
        <w:t xml:space="preserve"> je oprávnený </w:t>
      </w:r>
      <w:r>
        <w:rPr>
          <w:rFonts w:ascii="Times New Roman" w:hAnsi="Times New Roman"/>
          <w:sz w:val="24"/>
          <w:szCs w:val="24"/>
        </w:rPr>
        <w:t xml:space="preserve"> odstúpi</w:t>
      </w:r>
      <w:r w:rsidR="00EB5A63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 tejto Dohody v prípade, ak: </w:t>
      </w:r>
    </w:p>
    <w:p w14:paraId="404E4C13" w14:textId="169849E8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8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</w:t>
      </w:r>
      <w:r w:rsidR="003F5809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podľa § 40 ods. 8 </w:t>
      </w:r>
      <w:r w:rsidR="003F5809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F3158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>alebo</w:t>
      </w:r>
    </w:p>
    <w:p w14:paraId="0181BD8A" w14:textId="0C14954D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 xml:space="preserve"> alebo</w:t>
      </w:r>
    </w:p>
    <w:p w14:paraId="37176C11" w14:textId="66CBB881" w:rsidR="00DB5F7D" w:rsidRDefault="00DB5F7D" w:rsidP="00F232B9">
      <w:pPr>
        <w:pStyle w:val="Odsekzoznamu"/>
        <w:numPr>
          <w:ilvl w:val="0"/>
          <w:numId w:val="40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0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10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038BDB06" w:rsidR="006705DE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 w:rsidR="001D251D" w:rsidRPr="001D2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251D">
        <w:rPr>
          <w:rFonts w:ascii="Times New Roman" w:hAnsi="Times New Roman"/>
          <w:sz w:val="24"/>
          <w:szCs w:val="24"/>
          <w:lang w:eastAsia="en-US"/>
        </w:rPr>
        <w:t>a to aj napriek písomnej výzve Predávajúceho s  určením  náhradnej lehoty na  vykonanie nápravy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E7642F5" w:rsidR="006705DE" w:rsidRPr="007E0FCA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E0FCA">
        <w:rPr>
          <w:rFonts w:ascii="Times New Roman" w:hAnsi="Times New Roman"/>
          <w:sz w:val="24"/>
          <w:szCs w:val="24"/>
          <w:lang w:eastAsia="en-US"/>
        </w:rPr>
        <w:lastRenderedPageBreak/>
        <w:t>ak Kupujúci neprevzal riadne poskytnutý predmet prevodu v súlade s čl. I</w:t>
      </w:r>
      <w:r w:rsidR="00413804" w:rsidRPr="007E0FCA">
        <w:rPr>
          <w:rFonts w:ascii="Times New Roman" w:hAnsi="Times New Roman"/>
          <w:sz w:val="24"/>
          <w:szCs w:val="24"/>
          <w:lang w:eastAsia="en-US"/>
        </w:rPr>
        <w:t>II</w:t>
      </w:r>
      <w:r w:rsidRPr="007E0FC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007E0FCA">
        <w:rPr>
          <w:rFonts w:ascii="Times New Roman" w:hAnsi="Times New Roman"/>
          <w:sz w:val="24"/>
          <w:szCs w:val="24"/>
          <w:lang w:eastAsia="en-US"/>
        </w:rPr>
        <w:t>Dohody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044EB" w:rsidRPr="007E0FCA">
        <w:rPr>
          <w:rFonts w:ascii="Times New Roman" w:hAnsi="Times New Roman"/>
          <w:sz w:val="24"/>
          <w:szCs w:val="24"/>
          <w:lang w:eastAsia="en-US"/>
        </w:rPr>
        <w:t xml:space="preserve">a to ani opakovane 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 aj napriek  opakovanej písomnej výzve </w:t>
      </w:r>
      <w:r w:rsidR="003E73C6" w:rsidRPr="007E0F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7CF0" w:rsidRPr="007E0FCA">
        <w:rPr>
          <w:rFonts w:ascii="Times New Roman" w:hAnsi="Times New Roman"/>
          <w:sz w:val="24"/>
          <w:szCs w:val="24"/>
          <w:lang w:eastAsia="en-US"/>
        </w:rPr>
        <w:t xml:space="preserve">Predávajúceho s uvedením náhradnej   lehoty dodania Predmetu prevodu. 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1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1"/>
      <w:r>
        <w:rPr>
          <w:rFonts w:ascii="Times New Roman" w:hAnsi="Times New Roman"/>
          <w:sz w:val="24"/>
          <w:szCs w:val="24"/>
        </w:rPr>
        <w:t>.</w:t>
      </w:r>
    </w:p>
    <w:p w14:paraId="122FCA5B" w14:textId="77777F1C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2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191C89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12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13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13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05154274" w14:textId="77777777" w:rsidR="00A57226" w:rsidRPr="00A57226" w:rsidRDefault="00A57226" w:rsidP="00A57226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7226">
        <w:rPr>
          <w:rFonts w:ascii="Times New Roman" w:hAnsi="Times New Roman"/>
          <w:sz w:val="24"/>
          <w:szCs w:val="24"/>
          <w:lang w:eastAsia="en-US"/>
        </w:rPr>
        <w:t>Pre vylúčenie pochybností sa za písomnú formu  považuje aj forma   bežného emailu spolu s jeho prílohami vrátane scanov.</w:t>
      </w:r>
    </w:p>
    <w:p w14:paraId="5EF940FB" w14:textId="6CFB4604" w:rsidR="003E66C6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F232B9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D7B2E80" w:rsidR="00705430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bankového spojenia alebo čísla účtu, oznámi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>, ktorej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</w:t>
      </w:r>
      <w:r w:rsidR="001E5F43" w:rsidRPr="00210845">
        <w:rPr>
          <w:rFonts w:ascii="Times New Roman" w:hAnsi="Times New Roman"/>
          <w:sz w:val="24"/>
          <w:szCs w:val="24"/>
        </w:rPr>
        <w:lastRenderedPageBreak/>
        <w:t xml:space="preserve">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Default="003610F8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2DE5B145" w14:textId="77777777" w:rsid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477BC3" w:rsidRPr="00EF06A3">
        <w:rPr>
          <w:rFonts w:ascii="Times New Roman" w:hAnsi="Times New Roman"/>
          <w:sz w:val="24"/>
          <w:szCs w:val="24"/>
        </w:rPr>
        <w:t>Účastníkmi dohody</w:t>
      </w:r>
      <w:r w:rsidRPr="00EF06A3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  <w:r w:rsidR="00B30996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721EC9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30996" w:rsidRPr="00EF06A3">
        <w:rPr>
          <w:rFonts w:ascii="Times New Roman" w:hAnsi="Times New Roman"/>
          <w:sz w:val="24"/>
          <w:szCs w:val="24"/>
        </w:rPr>
        <w:t xml:space="preserve">, </w:t>
      </w:r>
      <w:r w:rsidR="00C6486A" w:rsidRPr="00EF06A3">
        <w:rPr>
          <w:rFonts w:ascii="Times New Roman" w:hAnsi="Times New Roman"/>
          <w:sz w:val="24"/>
          <w:szCs w:val="24"/>
        </w:rPr>
        <w:t xml:space="preserve">ak </w:t>
      </w:r>
      <w:r w:rsidR="00F5313A" w:rsidRPr="00EF06A3">
        <w:rPr>
          <w:rFonts w:ascii="Times New Roman" w:hAnsi="Times New Roman"/>
          <w:sz w:val="24"/>
          <w:szCs w:val="24"/>
        </w:rPr>
        <w:t>Predmet</w:t>
      </w:r>
      <w:r w:rsidR="00C6486A" w:rsidRPr="00EF06A3">
        <w:rPr>
          <w:rFonts w:ascii="Times New Roman" w:hAnsi="Times New Roman"/>
          <w:sz w:val="24"/>
          <w:szCs w:val="24"/>
        </w:rPr>
        <w:t xml:space="preserve"> prevodu nie je </w:t>
      </w:r>
      <w:r w:rsidR="00F5313A" w:rsidRPr="00EF06A3">
        <w:rPr>
          <w:rFonts w:ascii="Times New Roman" w:hAnsi="Times New Roman"/>
          <w:sz w:val="24"/>
          <w:szCs w:val="24"/>
        </w:rPr>
        <w:t>financovaný</w:t>
      </w:r>
      <w:r w:rsidR="00C6486A" w:rsidRPr="00EF06A3">
        <w:rPr>
          <w:rFonts w:ascii="Times New Roman" w:hAnsi="Times New Roman"/>
          <w:sz w:val="24"/>
          <w:szCs w:val="24"/>
        </w:rPr>
        <w:t xml:space="preserve"> z fond</w:t>
      </w:r>
      <w:r w:rsidR="00F5313A" w:rsidRPr="00EF06A3">
        <w:rPr>
          <w:rFonts w:ascii="Times New Roman" w:hAnsi="Times New Roman"/>
          <w:sz w:val="24"/>
          <w:szCs w:val="24"/>
        </w:rPr>
        <w:t>ov E</w:t>
      </w:r>
      <w:r w:rsidR="00721EC9" w:rsidRPr="00EF06A3">
        <w:rPr>
          <w:rFonts w:ascii="Times New Roman" w:hAnsi="Times New Roman"/>
          <w:sz w:val="24"/>
          <w:szCs w:val="24"/>
        </w:rPr>
        <w:t>urópskej únie,</w:t>
      </w:r>
      <w:r w:rsidR="00F5313A" w:rsidRPr="00EF06A3">
        <w:rPr>
          <w:rFonts w:ascii="Times New Roman" w:hAnsi="Times New Roman"/>
          <w:sz w:val="24"/>
          <w:szCs w:val="24"/>
        </w:rPr>
        <w:t xml:space="preserve"> tak ako je uvedené v čl. II bod</w:t>
      </w:r>
      <w:r w:rsidR="00721EC9" w:rsidRPr="00EF06A3">
        <w:rPr>
          <w:rFonts w:ascii="Times New Roman" w:hAnsi="Times New Roman"/>
          <w:sz w:val="24"/>
          <w:szCs w:val="24"/>
        </w:rPr>
        <w:t>e</w:t>
      </w:r>
      <w:r w:rsidR="00F5313A" w:rsidRPr="00EF06A3">
        <w:rPr>
          <w:rFonts w:ascii="Times New Roman" w:hAnsi="Times New Roman"/>
          <w:sz w:val="24"/>
          <w:szCs w:val="24"/>
        </w:rPr>
        <w:t xml:space="preserve"> 2.3</w:t>
      </w:r>
      <w:r w:rsidR="00721EC9" w:rsidRPr="00EF06A3">
        <w:rPr>
          <w:rFonts w:ascii="Times New Roman" w:hAnsi="Times New Roman"/>
          <w:sz w:val="24"/>
          <w:szCs w:val="24"/>
        </w:rPr>
        <w:t xml:space="preserve"> Dohody.</w:t>
      </w:r>
      <w:r w:rsidR="00F5313A" w:rsidRPr="00EF06A3">
        <w:rPr>
          <w:rFonts w:ascii="Times New Roman" w:hAnsi="Times New Roman"/>
          <w:sz w:val="24"/>
          <w:szCs w:val="24"/>
        </w:rPr>
        <w:t xml:space="preserve"> </w:t>
      </w:r>
      <w:bookmarkStart w:id="14" w:name="_Hlk182907843"/>
    </w:p>
    <w:p w14:paraId="382B5466" w14:textId="3443D68C" w:rsidR="00BC6200" w:rsidRP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podlieha  zverejneniu  v zmysle zákona č. 211/2000 Z. z o slobodnom prístupe k informáciám  v platnom znení a nadobúda účinnosť až  deň  po  jej zverejnení  v Centrálnom registri zmlúv v zmysle  zák</w:t>
      </w:r>
      <w:r w:rsidR="00683A4C" w:rsidRPr="00EF06A3">
        <w:rPr>
          <w:rFonts w:ascii="Times New Roman" w:hAnsi="Times New Roman"/>
          <w:sz w:val="24"/>
          <w:szCs w:val="24"/>
        </w:rPr>
        <w:t>ona</w:t>
      </w:r>
      <w:r w:rsidRPr="00EF06A3">
        <w:rPr>
          <w:rFonts w:ascii="Times New Roman" w:hAnsi="Times New Roman"/>
          <w:sz w:val="24"/>
          <w:szCs w:val="24"/>
        </w:rPr>
        <w:t xml:space="preserve"> č. 40/1964 Zb. Občiansky  zákonník v znení  neskorších predpisov (ďalej aj „</w:t>
      </w:r>
      <w:r w:rsidRPr="00EF06A3">
        <w:rPr>
          <w:rFonts w:ascii="Times New Roman" w:hAnsi="Times New Roman"/>
          <w:b/>
          <w:bCs/>
          <w:sz w:val="24"/>
          <w:szCs w:val="24"/>
        </w:rPr>
        <w:t>Občiansky zákonník</w:t>
      </w:r>
      <w:r w:rsidRPr="00EF06A3">
        <w:rPr>
          <w:rFonts w:ascii="Times New Roman" w:hAnsi="Times New Roman"/>
          <w:sz w:val="24"/>
          <w:szCs w:val="24"/>
        </w:rPr>
        <w:t>“). Pre vylúčenie pochybností</w:t>
      </w:r>
      <w:r w:rsidR="00EE5A39" w:rsidRPr="00EF06A3">
        <w:rPr>
          <w:rFonts w:ascii="Times New Roman" w:hAnsi="Times New Roman"/>
          <w:sz w:val="24"/>
          <w:szCs w:val="24"/>
        </w:rPr>
        <w:t>,</w:t>
      </w:r>
      <w:r w:rsidRPr="00EF06A3">
        <w:rPr>
          <w:rFonts w:ascii="Times New Roman" w:hAnsi="Times New Roman"/>
          <w:sz w:val="24"/>
          <w:szCs w:val="24"/>
        </w:rPr>
        <w:t xml:space="preserve"> účinnosť tejto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je podmienená  odkladacou podmienkou  uvedenou v tomto bode. Vzhľadom na  financovanie predmetu zákazky zo  štrukturálnych fondov E</w:t>
      </w:r>
      <w:r w:rsidR="00EF06A3">
        <w:rPr>
          <w:rFonts w:ascii="Times New Roman" w:hAnsi="Times New Roman"/>
          <w:sz w:val="24"/>
          <w:szCs w:val="24"/>
        </w:rPr>
        <w:t>urópskej únie</w:t>
      </w:r>
      <w:r w:rsidRPr="00EF06A3">
        <w:rPr>
          <w:rFonts w:ascii="Times New Roman" w:hAnsi="Times New Roman"/>
          <w:sz w:val="24"/>
          <w:szCs w:val="24"/>
        </w:rPr>
        <w:t xml:space="preserve"> sa </w:t>
      </w:r>
      <w:r w:rsidR="003610F8" w:rsidRPr="00EF06A3">
        <w:rPr>
          <w:rFonts w:ascii="Times New Roman" w:hAnsi="Times New Roman"/>
          <w:sz w:val="24"/>
          <w:szCs w:val="24"/>
        </w:rPr>
        <w:t>Účastníci dohody</w:t>
      </w:r>
      <w:r w:rsidRPr="00EF06A3">
        <w:rPr>
          <w:rFonts w:ascii="Times New Roman" w:hAnsi="Times New Roman"/>
          <w:sz w:val="24"/>
          <w:szCs w:val="24"/>
        </w:rPr>
        <w:t xml:space="preserve"> v súlade s ust</w:t>
      </w:r>
      <w:r w:rsidR="00EE5A39" w:rsidRPr="00EF06A3">
        <w:rPr>
          <w:rFonts w:ascii="Times New Roman" w:hAnsi="Times New Roman"/>
          <w:sz w:val="24"/>
          <w:szCs w:val="24"/>
        </w:rPr>
        <w:t>anovením</w:t>
      </w:r>
      <w:r w:rsidRPr="00EF06A3">
        <w:rPr>
          <w:rFonts w:ascii="Times New Roman" w:hAnsi="Times New Roman"/>
          <w:sz w:val="24"/>
          <w:szCs w:val="24"/>
        </w:rPr>
        <w:t xml:space="preserve"> § 47a ods. 2 Občianskeho zákonníka dohodli, že 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EF06A3">
        <w:rPr>
          <w:rFonts w:ascii="Times New Roman" w:hAnsi="Times New Roman"/>
          <w:sz w:val="24"/>
          <w:szCs w:val="24"/>
        </w:rPr>
        <w:t>Kupujúcemu</w:t>
      </w:r>
      <w:r w:rsidRPr="00EF06A3">
        <w:rPr>
          <w:rFonts w:ascii="Times New Roman" w:hAnsi="Times New Roman"/>
          <w:sz w:val="24"/>
          <w:szCs w:val="24"/>
        </w:rPr>
        <w:t xml:space="preserve"> ako prijímateľovi v súlade s príslušnou </w:t>
      </w:r>
      <w:r w:rsidR="003610F8" w:rsidRPr="00EF06A3">
        <w:rPr>
          <w:rFonts w:ascii="Times New Roman" w:hAnsi="Times New Roman"/>
          <w:sz w:val="24"/>
          <w:szCs w:val="24"/>
        </w:rPr>
        <w:t>Dohodou</w:t>
      </w:r>
      <w:r w:rsidRPr="00EF06A3">
        <w:rPr>
          <w:rFonts w:ascii="Times New Roman" w:hAnsi="Times New Roman"/>
          <w:sz w:val="24"/>
          <w:szCs w:val="24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momentom doručenia písomnej akceptácie navrhovanej ex ante finančnej opravy uvedenej v správe z kontroly vypracovanej poskytovateľom finančných prostriedkov a kumulatívneho splnenia podmienky na uplatnenie ex ante finančnej opravy v súlade s príslušnou </w:t>
      </w:r>
      <w:r w:rsidR="00EE5A39" w:rsidRPr="00EF06A3">
        <w:rPr>
          <w:rFonts w:ascii="Times New Roman" w:hAnsi="Times New Roman"/>
          <w:sz w:val="24"/>
          <w:szCs w:val="24"/>
        </w:rPr>
        <w:t>Zmluvou</w:t>
      </w:r>
      <w:r w:rsidRPr="00EF06A3">
        <w:rPr>
          <w:rFonts w:ascii="Times New Roman" w:hAnsi="Times New Roman"/>
          <w:sz w:val="24"/>
          <w:szCs w:val="24"/>
        </w:rPr>
        <w:t xml:space="preserve"> o poskytnutí NFP. </w:t>
      </w:r>
      <w:bookmarkEnd w:id="14"/>
      <w:r w:rsidR="00EE5A39" w:rsidRPr="00EF06A3">
        <w:rPr>
          <w:rFonts w:ascii="Times New Roman" w:hAnsi="Times New Roman"/>
          <w:sz w:val="24"/>
          <w:szCs w:val="24"/>
        </w:rPr>
        <w:t>Dohodu</w:t>
      </w:r>
      <w:r w:rsidRPr="00EF06A3">
        <w:rPr>
          <w:rFonts w:ascii="Times New Roman" w:hAnsi="Times New Roman"/>
          <w:sz w:val="24"/>
          <w:szCs w:val="24"/>
        </w:rPr>
        <w:t xml:space="preserve"> zverejní Kupujúci.</w:t>
      </w:r>
      <w:r w:rsidR="00BC6200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A84A8E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C6200" w:rsidRPr="00EF06A3">
        <w:rPr>
          <w:rFonts w:ascii="Times New Roman" w:hAnsi="Times New Roman"/>
          <w:sz w:val="24"/>
          <w:szCs w:val="24"/>
        </w:rPr>
        <w:t>, ak Predmet prevodu je financovaný z fondov E</w:t>
      </w:r>
      <w:r w:rsidR="00A84A8E" w:rsidRPr="00EF06A3">
        <w:rPr>
          <w:rFonts w:ascii="Times New Roman" w:hAnsi="Times New Roman"/>
          <w:sz w:val="24"/>
          <w:szCs w:val="24"/>
        </w:rPr>
        <w:t>urópskej únie,</w:t>
      </w:r>
      <w:r w:rsidR="00BC6200" w:rsidRPr="00EF06A3">
        <w:rPr>
          <w:rFonts w:ascii="Times New Roman" w:hAnsi="Times New Roman"/>
          <w:sz w:val="24"/>
          <w:szCs w:val="24"/>
        </w:rPr>
        <w:t xml:space="preserve"> tak ako je uvedené v čl. II bod</w:t>
      </w:r>
      <w:r w:rsidR="00A84A8E" w:rsidRPr="00EF06A3">
        <w:rPr>
          <w:rFonts w:ascii="Times New Roman" w:hAnsi="Times New Roman"/>
          <w:sz w:val="24"/>
          <w:szCs w:val="24"/>
        </w:rPr>
        <w:t>e</w:t>
      </w:r>
      <w:r w:rsidR="00BC6200" w:rsidRPr="00EF06A3">
        <w:rPr>
          <w:rFonts w:ascii="Times New Roman" w:hAnsi="Times New Roman"/>
          <w:sz w:val="24"/>
          <w:szCs w:val="24"/>
        </w:rPr>
        <w:t xml:space="preserve"> 2.3</w:t>
      </w:r>
      <w:r w:rsidR="00A84A8E" w:rsidRPr="00EF06A3">
        <w:rPr>
          <w:rFonts w:ascii="Times New Roman" w:hAnsi="Times New Roman"/>
          <w:sz w:val="24"/>
          <w:szCs w:val="24"/>
        </w:rPr>
        <w:t xml:space="preserve"> Dohody.</w:t>
      </w:r>
      <w:r w:rsidR="00BC6200" w:rsidRPr="00EF06A3">
        <w:rPr>
          <w:rFonts w:ascii="Times New Roman" w:hAnsi="Times New Roman"/>
          <w:sz w:val="24"/>
          <w:szCs w:val="24"/>
        </w:rPr>
        <w:t xml:space="preserve"> </w:t>
      </w:r>
    </w:p>
    <w:p w14:paraId="400636F7" w14:textId="6646DA69" w:rsidR="00ED60F7" w:rsidRDefault="00EC3704" w:rsidP="00F232B9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</w:t>
      </w:r>
      <w:r w:rsidRPr="00A863AE">
        <w:rPr>
          <w:szCs w:val="24"/>
        </w:rPr>
        <w:lastRenderedPageBreak/>
        <w:t>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F232B9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589326E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191C89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5822DF3A" w:rsidR="00D42093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7CA8B443" w14:textId="48F4039C" w:rsidR="00AA259B" w:rsidRPr="00164D52" w:rsidRDefault="00AA259B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>
        <w:rPr>
          <w:szCs w:val="24"/>
        </w:rPr>
        <w:t>Príloha č. 4 – Miesta dodania Predmetu prevodu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DC2178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878A0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B8D88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5B5DC3" w14:textId="2EA53E44" w:rsidR="004759A9" w:rsidRPr="004759A9" w:rsidRDefault="00EE5A3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5" w:name="_Hlk180573564"/>
      <w:r>
        <w:rPr>
          <w:rFonts w:ascii="Times New Roman" w:hAnsi="Times New Roman"/>
          <w:b/>
          <w:sz w:val="24"/>
          <w:szCs w:val="24"/>
        </w:rPr>
        <w:br w:type="page"/>
      </w:r>
      <w:r w:rsidR="004759A9"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="004759A9"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2047FDA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5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A63A7A" w:rsidRDefault="00307ED8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="00A63A7A"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  <w:r w:rsidR="002F0105">
              <w:rPr>
                <w:rFonts w:ascii="Times New Roman" w:hAnsi="Times New Roman"/>
                <w:b/>
                <w:bCs/>
                <w:color w:val="000000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8253476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F9457CA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7A59E8C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13D3D5E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6318C78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EA79BB2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8034314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F0E73EE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AA0AE5C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1559F5D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6910B8D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4BDFD12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CA0B161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F844CD6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3947956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9D29C20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A87A61E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D1BB2C7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C17B2F2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E548B52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6D3443C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C24D6A9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866A4A4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09142EC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42148ED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B7C4330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970B652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681043D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FDB3AB1" w14:textId="77777777" w:rsidR="00727F13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D11E7DD" w14:textId="77777777" w:rsidR="00727F13" w:rsidRPr="00816129" w:rsidRDefault="00727F13" w:rsidP="00727F13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816129">
        <w:rPr>
          <w:rFonts w:ascii="Times New Roman" w:hAnsi="Times New Roman"/>
          <w:b/>
          <w:sz w:val="24"/>
          <w:szCs w:val="24"/>
        </w:rPr>
        <w:lastRenderedPageBreak/>
        <w:t>PRÍLOHA č. 4</w:t>
      </w:r>
    </w:p>
    <w:p w14:paraId="32F90405" w14:textId="77777777" w:rsidR="00727F13" w:rsidRPr="00816129" w:rsidRDefault="00727F13" w:rsidP="00727F13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16129">
        <w:rPr>
          <w:rFonts w:ascii="Times New Roman" w:hAnsi="Times New Roman"/>
          <w:b/>
          <w:sz w:val="24"/>
          <w:szCs w:val="24"/>
          <w:lang w:val="sk-SK"/>
        </w:rPr>
        <w:t>MIESTA DODANIA PREDMETU PREVODU</w:t>
      </w:r>
    </w:p>
    <w:p w14:paraId="161BFBAD" w14:textId="77777777" w:rsidR="00727F13" w:rsidRPr="00816129" w:rsidRDefault="00727F13" w:rsidP="00727F13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4A92D6BE" w14:textId="77777777" w:rsidR="00727F13" w:rsidRPr="00816129" w:rsidRDefault="00727F13" w:rsidP="00727F13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E450804" w14:textId="77777777" w:rsidR="00727F13" w:rsidRPr="00816129" w:rsidRDefault="00727F13" w:rsidP="00727F1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9518F38" w14:textId="7011A0EB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816129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- </w:t>
      </w:r>
      <w:r w:rsidR="003F5809" w:rsidRPr="00816129">
        <w:rPr>
          <w:rFonts w:ascii="Times New Roman" w:hAnsi="Times New Roman" w:cs="Times New Roman"/>
          <w:sz w:val="24"/>
          <w:szCs w:val="24"/>
          <w:lang w:val="sk-SK" w:eastAsia="sk-SK"/>
        </w:rPr>
        <w:tab/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OSK Liptovský Mikuláš - Pod Stráňami 3, Liptovský Mikuláš – 8ks</w:t>
      </w:r>
    </w:p>
    <w:p w14:paraId="08F0244C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Žilina - Turie 491, Žilina – 4ks</w:t>
      </w:r>
    </w:p>
    <w:p w14:paraId="7FAD3FFD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Martin - Hlboká 18 Martin – 3ks</w:t>
      </w:r>
    </w:p>
    <w:p w14:paraId="347CB895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Spišská Nová Ves - ul. Radlinského  č. 34, 052 01, Spišská Nová Ves – 2ks</w:t>
      </w:r>
    </w:p>
    <w:p w14:paraId="2FC206B8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Michalovce - ul. Štúrová č. 1, Michalovce – 3ks</w:t>
      </w:r>
    </w:p>
    <w:p w14:paraId="41888B79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Trebišov - obec Čerhov, 076 81, okr. Trebišov – 4ks</w:t>
      </w:r>
    </w:p>
    <w:p w14:paraId="2E5B7780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Rožňava - Námestie 1. mája  č. 3, Rožňava – 3ks</w:t>
      </w:r>
    </w:p>
    <w:p w14:paraId="06043B7A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Svidník - Sov. Hrdinov č. 200/35, 089 01 Svidník – 6ks</w:t>
      </w:r>
    </w:p>
    <w:p w14:paraId="6B6A5FDB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Humenné - Nemocničná č. 1, 066 01 Humenné – 1ks</w:t>
      </w:r>
    </w:p>
    <w:p w14:paraId="6AEC38A9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Vranov nad Topľou - Nemocničná č. 578/4, 093 01 Vranov nad Topľou – 2ks</w:t>
      </w:r>
    </w:p>
    <w:p w14:paraId="03469F03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Bardejov - Partizánska č. 42, 085 03 Bardejov – 2ks</w:t>
      </w:r>
    </w:p>
    <w:p w14:paraId="474EF40E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Prešov - Ovocinárska č. 25, 083 01 Sabinov – 4ks</w:t>
      </w:r>
    </w:p>
    <w:p w14:paraId="3AF59F3F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Poprad - Poprad-Kvetnica č. 4047, 058 01 Poprad – 6ks</w:t>
      </w:r>
    </w:p>
    <w:p w14:paraId="7BEAFC6A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Kežmarok - Nižná brána č. 6, 060 01 Kežmarok – 6ks</w:t>
      </w:r>
    </w:p>
    <w:p w14:paraId="00E2681F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Stará Ľubovňa - Levočská č. 393/5702, 065 41 Stará Ľubovňa – 3ks</w:t>
      </w:r>
    </w:p>
    <w:p w14:paraId="08C11940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Bratislava - Vývojová č. 585, Rusovce 851 10 – 25ks</w:t>
      </w:r>
    </w:p>
    <w:p w14:paraId="72F25143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RHCP BA - Letisko M. R. Štefánika, Ivanská cesta, 820 01 Bratislava – 10ks</w:t>
      </w:r>
    </w:p>
    <w:p w14:paraId="552478B4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RHCP PO (Prešov) - Letisko Poprad - Tatry, Na letisko 100, 058 89 Poprad – 3ks</w:t>
      </w:r>
    </w:p>
    <w:p w14:paraId="73376F46" w14:textId="77777777" w:rsidR="00727F13" w:rsidRPr="00AC49F1" w:rsidRDefault="00727F13" w:rsidP="00727F13">
      <w:pPr>
        <w:pStyle w:val="Zkladntext3"/>
        <w:spacing w:after="60"/>
        <w:ind w:left="709" w:hanging="709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RHCP PO (Košice) - Medzinárodné letisko Košice, K letisku 6, 040 17  Košice – Barca 4ks</w:t>
      </w:r>
    </w:p>
    <w:p w14:paraId="30B4C120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Poriečne oddelenie - Prístavná 776, 821 09 Bratislava – 2ks</w:t>
      </w:r>
    </w:p>
    <w:p w14:paraId="2161A34C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UOU -  Vranovská 1, Bratislava 85101 – 4ks</w:t>
      </w:r>
    </w:p>
    <w:p w14:paraId="39C256B4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OPI Slovenské Ďarmoty - Slovenské Ďarmoty 55, 99107 – 2ks</w:t>
      </w:r>
    </w:p>
    <w:p w14:paraId="6F8504CA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OPI Košice - Lorinčík 150, Košice - Pereš , 040 01 – 1ks</w:t>
      </w:r>
    </w:p>
    <w:p w14:paraId="5D15AB92" w14:textId="6ED3520F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Galanta - Oddelenie sl. kynol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>ó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gie PZ, Matúškovská cesta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 xml:space="preserve"> 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878/5, Galanta – 10ks</w:t>
      </w:r>
    </w:p>
    <w:p w14:paraId="2363F95A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Trnava - Oddelenie sl. kynológie, Priemyselná 7, Trnava – 7ks</w:t>
      </w:r>
    </w:p>
    <w:p w14:paraId="4D61A818" w14:textId="3F695549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Dunajská Streda - Oddelenie sl. kynológie, Ádorská 34, Dun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>ajská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 xml:space="preserve"> Streda – 7ks</w:t>
      </w:r>
    </w:p>
    <w:p w14:paraId="367A759D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Trenčín - Jilemnického 1, Trenčín – 16ks</w:t>
      </w:r>
    </w:p>
    <w:p w14:paraId="12FEDA29" w14:textId="75624D7A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Pov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>ažská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 xml:space="preserve"> Bystrica - Kukučínova 186/1, Pov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>ažská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 xml:space="preserve"> Bystrica – 5ks</w:t>
      </w:r>
    </w:p>
    <w:p w14:paraId="56040D5E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Prievidza - Riečna 14, Prievidza – 6ks</w:t>
      </w:r>
    </w:p>
    <w:p w14:paraId="7481AB02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Lučenec - Begova 33, Lučenec 984 01 – 5ks</w:t>
      </w:r>
    </w:p>
    <w:p w14:paraId="2D8A6017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Brezno - Šrámkova 3, Brezno 977 01 – 2ks</w:t>
      </w:r>
    </w:p>
    <w:p w14:paraId="30952FA4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Zvolen - Borovnianská cesta 58, Zvolen 960 01 – 5ks</w:t>
      </w:r>
    </w:p>
    <w:p w14:paraId="665185E3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OSK Veľký Krtíš - Banícka 20, Veľký Krtíš 990 01 – 6ks</w:t>
      </w:r>
    </w:p>
    <w:p w14:paraId="608A311A" w14:textId="77777777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SKV OKH PPZ - Malé Leváre 467, Malé Leváre – 55ks</w:t>
      </w:r>
    </w:p>
    <w:p w14:paraId="308A91E8" w14:textId="574330F6" w:rsidR="00727F13" w:rsidRPr="00AC49F1" w:rsidRDefault="00727F13" w:rsidP="00727F13">
      <w:pPr>
        <w:pStyle w:val="Zkladntext3"/>
        <w:spacing w:after="6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SCHSP OKH PPZ - miesto zloženia kotercov -</w:t>
      </w:r>
      <w:r w:rsidR="00816129" w:rsidRPr="00AC49F1">
        <w:rPr>
          <w:rFonts w:ascii="Times New Roman" w:hAnsi="Times New Roman" w:cs="Times New Roman"/>
          <w:sz w:val="23"/>
          <w:szCs w:val="23"/>
          <w:lang w:val="sk-SK" w:eastAsia="sk-SK"/>
        </w:rPr>
        <w:t xml:space="preserve"> 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Vápencova 36, 840 09 Bratislava – 45ks</w:t>
      </w:r>
    </w:p>
    <w:p w14:paraId="4F0C347E" w14:textId="77777777" w:rsidR="00727F13" w:rsidRPr="00AC49F1" w:rsidRDefault="00727F13" w:rsidP="00727F13">
      <w:pPr>
        <w:pStyle w:val="Zkladntext3"/>
        <w:spacing w:after="240"/>
        <w:jc w:val="both"/>
        <w:rPr>
          <w:rFonts w:ascii="Times New Roman" w:hAnsi="Times New Roman" w:cs="Times New Roman"/>
          <w:sz w:val="23"/>
          <w:szCs w:val="23"/>
          <w:lang w:val="sk-SK" w:eastAsia="sk-SK"/>
        </w:rPr>
      </w:pP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>-</w:t>
      </w:r>
      <w:r w:rsidRPr="00AC49F1">
        <w:rPr>
          <w:rFonts w:ascii="Times New Roman" w:hAnsi="Times New Roman" w:cs="Times New Roman"/>
          <w:sz w:val="23"/>
          <w:szCs w:val="23"/>
          <w:lang w:val="sk-SK" w:eastAsia="sk-SK"/>
        </w:rPr>
        <w:tab/>
        <w:t>SŠV OKH PPZ - Vápencova 36, 840 09 Bratislava – 23ks</w:t>
      </w:r>
    </w:p>
    <w:p w14:paraId="22469CFE" w14:textId="77777777" w:rsidR="00727F13" w:rsidRPr="00816129" w:rsidRDefault="00727F13" w:rsidP="00727F1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6FF594E" w14:textId="77777777" w:rsidR="00727F13" w:rsidRPr="00816129" w:rsidRDefault="00727F13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727F13" w:rsidRPr="00816129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E134" w14:textId="77777777" w:rsidR="00FE11A3" w:rsidRDefault="00FE11A3" w:rsidP="00983CE3">
      <w:r>
        <w:separator/>
      </w:r>
    </w:p>
  </w:endnote>
  <w:endnote w:type="continuationSeparator" w:id="0">
    <w:p w14:paraId="6A91D238" w14:textId="77777777" w:rsidR="00FE11A3" w:rsidRDefault="00FE11A3" w:rsidP="00983CE3">
      <w:r>
        <w:continuationSeparator/>
      </w:r>
    </w:p>
  </w:endnote>
  <w:endnote w:type="continuationNotice" w:id="1">
    <w:p w14:paraId="1EEB5DB1" w14:textId="77777777" w:rsidR="00FE11A3" w:rsidRDefault="00FE1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0F856F8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5926DB">
          <w:rPr>
            <w:rFonts w:ascii="Times New Roman" w:hAnsi="Times New Roman"/>
            <w:noProof/>
          </w:rPr>
          <w:t>4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1DCD7200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A10D1A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B3FC" w14:textId="77777777" w:rsidR="00FE11A3" w:rsidRDefault="00FE11A3" w:rsidP="00983CE3">
      <w:r>
        <w:separator/>
      </w:r>
    </w:p>
  </w:footnote>
  <w:footnote w:type="continuationSeparator" w:id="0">
    <w:p w14:paraId="3F9592B7" w14:textId="77777777" w:rsidR="00FE11A3" w:rsidRDefault="00FE11A3" w:rsidP="00983CE3">
      <w:r>
        <w:continuationSeparator/>
      </w:r>
    </w:p>
  </w:footnote>
  <w:footnote w:type="continuationNotice" w:id="1">
    <w:p w14:paraId="37E86787" w14:textId="77777777" w:rsidR="00FE11A3" w:rsidRDefault="00FE1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4821DBE"/>
    <w:multiLevelType w:val="hybridMultilevel"/>
    <w:tmpl w:val="C41CD7DC"/>
    <w:lvl w:ilvl="0" w:tplc="EECA7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73900"/>
    <w:multiLevelType w:val="multilevel"/>
    <w:tmpl w:val="9FB8D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489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4A14339"/>
    <w:multiLevelType w:val="multilevel"/>
    <w:tmpl w:val="9A7C0574"/>
    <w:lvl w:ilvl="0">
      <w:start w:val="1"/>
      <w:numFmt w:val="decimal"/>
      <w:pStyle w:val="MLNadpislnku"/>
      <w:lvlText w:val="%1."/>
      <w:lvlJc w:val="left"/>
      <w:pPr>
        <w:tabs>
          <w:tab w:val="num" w:pos="1445"/>
        </w:tabs>
        <w:ind w:left="1304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446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97"/>
      </w:pPr>
      <w:rPr>
        <w:rFonts w:ascii="Arial Narrow" w:eastAsia="Times New Roman" w:hAnsi="Arial Narrow" w:cstheme="minorHAnsi" w:hint="default"/>
        <w:b w:val="0"/>
        <w:strike w:val="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52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9" w:hanging="708"/>
      </w:pPr>
      <w:rPr>
        <w:rFonts w:hint="default"/>
      </w:rPr>
    </w:lvl>
  </w:abstractNum>
  <w:abstractNum w:abstractNumId="35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6C54027"/>
    <w:multiLevelType w:val="multilevel"/>
    <w:tmpl w:val="CC881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44"/>
    <w:lvlOverride w:ilvl="0">
      <w:startOverride w:val="1"/>
    </w:lvlOverride>
  </w:num>
  <w:num w:numId="14">
    <w:abstractNumId w:val="27"/>
  </w:num>
  <w:num w:numId="15">
    <w:abstractNumId w:val="32"/>
  </w:num>
  <w:num w:numId="16">
    <w:abstractNumId w:val="21"/>
  </w:num>
  <w:num w:numId="17">
    <w:abstractNumId w:val="23"/>
  </w:num>
  <w:num w:numId="18">
    <w:abstractNumId w:val="31"/>
  </w:num>
  <w:num w:numId="19">
    <w:abstractNumId w:val="39"/>
  </w:num>
  <w:num w:numId="20">
    <w:abstractNumId w:val="13"/>
  </w:num>
  <w:num w:numId="21">
    <w:abstractNumId w:val="17"/>
  </w:num>
  <w:num w:numId="22">
    <w:abstractNumId w:val="35"/>
  </w:num>
  <w:num w:numId="23">
    <w:abstractNumId w:val="25"/>
  </w:num>
  <w:num w:numId="24">
    <w:abstractNumId w:val="26"/>
  </w:num>
  <w:num w:numId="25">
    <w:abstractNumId w:val="16"/>
  </w:num>
  <w:num w:numId="26">
    <w:abstractNumId w:val="28"/>
  </w:num>
  <w:num w:numId="27">
    <w:abstractNumId w:val="41"/>
  </w:num>
  <w:num w:numId="28">
    <w:abstractNumId w:val="33"/>
  </w:num>
  <w:num w:numId="29">
    <w:abstractNumId w:val="37"/>
  </w:num>
  <w:num w:numId="30">
    <w:abstractNumId w:val="20"/>
  </w:num>
  <w:num w:numId="31">
    <w:abstractNumId w:val="43"/>
  </w:num>
  <w:num w:numId="32">
    <w:abstractNumId w:val="40"/>
  </w:num>
  <w:num w:numId="33">
    <w:abstractNumId w:val="36"/>
  </w:num>
  <w:num w:numId="34">
    <w:abstractNumId w:val="18"/>
  </w:num>
  <w:num w:numId="35">
    <w:abstractNumId w:val="11"/>
  </w:num>
  <w:num w:numId="36">
    <w:abstractNumId w:val="19"/>
  </w:num>
  <w:num w:numId="37">
    <w:abstractNumId w:val="22"/>
  </w:num>
  <w:num w:numId="38">
    <w:abstractNumId w:val="38"/>
  </w:num>
  <w:num w:numId="39">
    <w:abstractNumId w:val="15"/>
  </w:num>
  <w:num w:numId="40">
    <w:abstractNumId w:val="30"/>
  </w:num>
  <w:num w:numId="41">
    <w:abstractNumId w:val="29"/>
  </w:num>
  <w:num w:numId="42">
    <w:abstractNumId w:val="1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4F60"/>
    <w:rsid w:val="00015DCB"/>
    <w:rsid w:val="000173AD"/>
    <w:rsid w:val="00022909"/>
    <w:rsid w:val="0002635E"/>
    <w:rsid w:val="000264F5"/>
    <w:rsid w:val="00026D99"/>
    <w:rsid w:val="000307FC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095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3C43"/>
    <w:rsid w:val="000752A5"/>
    <w:rsid w:val="0007612C"/>
    <w:rsid w:val="000779D1"/>
    <w:rsid w:val="00082B15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F0810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3FB3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5263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4EE1"/>
    <w:rsid w:val="00202661"/>
    <w:rsid w:val="002036A5"/>
    <w:rsid w:val="00204982"/>
    <w:rsid w:val="0020674B"/>
    <w:rsid w:val="00210387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539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EAC"/>
    <w:rsid w:val="0032696A"/>
    <w:rsid w:val="0032780F"/>
    <w:rsid w:val="0033125E"/>
    <w:rsid w:val="00331860"/>
    <w:rsid w:val="003320A5"/>
    <w:rsid w:val="003330EB"/>
    <w:rsid w:val="003332BA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69CC"/>
    <w:rsid w:val="00367DA8"/>
    <w:rsid w:val="00372CE7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4C27"/>
    <w:rsid w:val="003C5D88"/>
    <w:rsid w:val="003C60EC"/>
    <w:rsid w:val="003C6ED0"/>
    <w:rsid w:val="003D1B32"/>
    <w:rsid w:val="003D2BC7"/>
    <w:rsid w:val="003D2F55"/>
    <w:rsid w:val="003D344E"/>
    <w:rsid w:val="003D4BA0"/>
    <w:rsid w:val="003D7909"/>
    <w:rsid w:val="003E3A47"/>
    <w:rsid w:val="003E3D07"/>
    <w:rsid w:val="003E4024"/>
    <w:rsid w:val="003E4F6E"/>
    <w:rsid w:val="003E57C9"/>
    <w:rsid w:val="003E5B18"/>
    <w:rsid w:val="003E66C6"/>
    <w:rsid w:val="003E73C6"/>
    <w:rsid w:val="003F06C6"/>
    <w:rsid w:val="003F2862"/>
    <w:rsid w:val="003F4609"/>
    <w:rsid w:val="003F57DF"/>
    <w:rsid w:val="003F5809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BC6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57531"/>
    <w:rsid w:val="00462A0C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6E20"/>
    <w:rsid w:val="004C72A9"/>
    <w:rsid w:val="004C7A84"/>
    <w:rsid w:val="004D1E22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02CF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D35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596B"/>
    <w:rsid w:val="00576159"/>
    <w:rsid w:val="00582DCF"/>
    <w:rsid w:val="00583BDD"/>
    <w:rsid w:val="005843E7"/>
    <w:rsid w:val="00584DC5"/>
    <w:rsid w:val="005852B2"/>
    <w:rsid w:val="00586818"/>
    <w:rsid w:val="00586B2F"/>
    <w:rsid w:val="00591629"/>
    <w:rsid w:val="00592100"/>
    <w:rsid w:val="005926DB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5A00"/>
    <w:rsid w:val="005B6A6B"/>
    <w:rsid w:val="005C23A0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50C"/>
    <w:rsid w:val="006216E3"/>
    <w:rsid w:val="00622487"/>
    <w:rsid w:val="00622DC5"/>
    <w:rsid w:val="0062303F"/>
    <w:rsid w:val="00624F33"/>
    <w:rsid w:val="006255DC"/>
    <w:rsid w:val="0062777D"/>
    <w:rsid w:val="00631FF6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87E"/>
    <w:rsid w:val="006D0CCF"/>
    <w:rsid w:val="006D44E1"/>
    <w:rsid w:val="006D4661"/>
    <w:rsid w:val="006E3EB2"/>
    <w:rsid w:val="006E4DBF"/>
    <w:rsid w:val="006E5EA8"/>
    <w:rsid w:val="006E757E"/>
    <w:rsid w:val="006F010B"/>
    <w:rsid w:val="006F1081"/>
    <w:rsid w:val="006F23C1"/>
    <w:rsid w:val="006F2E7A"/>
    <w:rsid w:val="006F73A7"/>
    <w:rsid w:val="007018D8"/>
    <w:rsid w:val="00701D18"/>
    <w:rsid w:val="00702434"/>
    <w:rsid w:val="007044EB"/>
    <w:rsid w:val="00705430"/>
    <w:rsid w:val="00705B37"/>
    <w:rsid w:val="00706EF3"/>
    <w:rsid w:val="00712060"/>
    <w:rsid w:val="00712663"/>
    <w:rsid w:val="0071550C"/>
    <w:rsid w:val="007170D3"/>
    <w:rsid w:val="007174F2"/>
    <w:rsid w:val="00721EC9"/>
    <w:rsid w:val="00722E45"/>
    <w:rsid w:val="00723252"/>
    <w:rsid w:val="00724E06"/>
    <w:rsid w:val="00727F13"/>
    <w:rsid w:val="007301F2"/>
    <w:rsid w:val="00730F63"/>
    <w:rsid w:val="00731AFA"/>
    <w:rsid w:val="00732533"/>
    <w:rsid w:val="00732CF0"/>
    <w:rsid w:val="00734EA2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06C"/>
    <w:rsid w:val="0077096A"/>
    <w:rsid w:val="00772AE8"/>
    <w:rsid w:val="007738E5"/>
    <w:rsid w:val="00775F46"/>
    <w:rsid w:val="00781E57"/>
    <w:rsid w:val="007831EF"/>
    <w:rsid w:val="00785D30"/>
    <w:rsid w:val="00785D9A"/>
    <w:rsid w:val="0079307B"/>
    <w:rsid w:val="007958C4"/>
    <w:rsid w:val="0079652E"/>
    <w:rsid w:val="00797317"/>
    <w:rsid w:val="00797AF4"/>
    <w:rsid w:val="007A0832"/>
    <w:rsid w:val="007A08E0"/>
    <w:rsid w:val="007A1F40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1570"/>
    <w:rsid w:val="007C6E17"/>
    <w:rsid w:val="007D02A8"/>
    <w:rsid w:val="007D30ED"/>
    <w:rsid w:val="007D5642"/>
    <w:rsid w:val="007D7D4C"/>
    <w:rsid w:val="007E0FCA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129"/>
    <w:rsid w:val="00816278"/>
    <w:rsid w:val="0081701C"/>
    <w:rsid w:val="008204CB"/>
    <w:rsid w:val="00822475"/>
    <w:rsid w:val="00837CFC"/>
    <w:rsid w:val="00843177"/>
    <w:rsid w:val="008434BF"/>
    <w:rsid w:val="00846D32"/>
    <w:rsid w:val="008503DC"/>
    <w:rsid w:val="00850EBD"/>
    <w:rsid w:val="008511ED"/>
    <w:rsid w:val="008515F0"/>
    <w:rsid w:val="00853F92"/>
    <w:rsid w:val="0085513A"/>
    <w:rsid w:val="008644FE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94E5A"/>
    <w:rsid w:val="00896AD4"/>
    <w:rsid w:val="00896E3F"/>
    <w:rsid w:val="008A0C9D"/>
    <w:rsid w:val="008A3759"/>
    <w:rsid w:val="008A7202"/>
    <w:rsid w:val="008A780A"/>
    <w:rsid w:val="008B3BDB"/>
    <w:rsid w:val="008B47C9"/>
    <w:rsid w:val="008B5D71"/>
    <w:rsid w:val="008C28B2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5056"/>
    <w:rsid w:val="008F5236"/>
    <w:rsid w:val="00900956"/>
    <w:rsid w:val="00903207"/>
    <w:rsid w:val="00903979"/>
    <w:rsid w:val="00905EB9"/>
    <w:rsid w:val="00906A07"/>
    <w:rsid w:val="009108B7"/>
    <w:rsid w:val="0091184A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257DE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79E9"/>
    <w:rsid w:val="00990C35"/>
    <w:rsid w:val="00990E8E"/>
    <w:rsid w:val="00992633"/>
    <w:rsid w:val="009938E1"/>
    <w:rsid w:val="00993C28"/>
    <w:rsid w:val="0099491D"/>
    <w:rsid w:val="00997F19"/>
    <w:rsid w:val="009C34EA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F0C40"/>
    <w:rsid w:val="009F13D9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D1A"/>
    <w:rsid w:val="00A10ECD"/>
    <w:rsid w:val="00A11BC4"/>
    <w:rsid w:val="00A11CE6"/>
    <w:rsid w:val="00A12E47"/>
    <w:rsid w:val="00A152F1"/>
    <w:rsid w:val="00A17434"/>
    <w:rsid w:val="00A20278"/>
    <w:rsid w:val="00A20905"/>
    <w:rsid w:val="00A24B2E"/>
    <w:rsid w:val="00A25BC2"/>
    <w:rsid w:val="00A26E82"/>
    <w:rsid w:val="00A26FED"/>
    <w:rsid w:val="00A27AC1"/>
    <w:rsid w:val="00A31526"/>
    <w:rsid w:val="00A339D2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EAA"/>
    <w:rsid w:val="00A904A5"/>
    <w:rsid w:val="00A960D6"/>
    <w:rsid w:val="00A96CEC"/>
    <w:rsid w:val="00A97579"/>
    <w:rsid w:val="00A97B98"/>
    <w:rsid w:val="00AA03AD"/>
    <w:rsid w:val="00AA04A6"/>
    <w:rsid w:val="00AA259B"/>
    <w:rsid w:val="00AA4C53"/>
    <w:rsid w:val="00AA5611"/>
    <w:rsid w:val="00AA6E6F"/>
    <w:rsid w:val="00AA71CA"/>
    <w:rsid w:val="00AA74FC"/>
    <w:rsid w:val="00AB119A"/>
    <w:rsid w:val="00AB1D1F"/>
    <w:rsid w:val="00AB420C"/>
    <w:rsid w:val="00AB4226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243A"/>
    <w:rsid w:val="00AC49F1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DEF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6E4C"/>
    <w:rsid w:val="00B30996"/>
    <w:rsid w:val="00B31AFD"/>
    <w:rsid w:val="00B34A97"/>
    <w:rsid w:val="00B34C37"/>
    <w:rsid w:val="00B34D0A"/>
    <w:rsid w:val="00B34F54"/>
    <w:rsid w:val="00B370BA"/>
    <w:rsid w:val="00B41DF6"/>
    <w:rsid w:val="00B51ABA"/>
    <w:rsid w:val="00B52AB5"/>
    <w:rsid w:val="00B545DB"/>
    <w:rsid w:val="00B54A2F"/>
    <w:rsid w:val="00B55CAF"/>
    <w:rsid w:val="00B55CE8"/>
    <w:rsid w:val="00B562CF"/>
    <w:rsid w:val="00B57CF0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2865"/>
    <w:rsid w:val="00BA72F0"/>
    <w:rsid w:val="00BA75E5"/>
    <w:rsid w:val="00BB1E4D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148D"/>
    <w:rsid w:val="00BD7B3F"/>
    <w:rsid w:val="00BD7C74"/>
    <w:rsid w:val="00BE1E37"/>
    <w:rsid w:val="00BE2F23"/>
    <w:rsid w:val="00BE2FFC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27121"/>
    <w:rsid w:val="00C30E73"/>
    <w:rsid w:val="00C31708"/>
    <w:rsid w:val="00C31BF8"/>
    <w:rsid w:val="00C33AE6"/>
    <w:rsid w:val="00C33B6F"/>
    <w:rsid w:val="00C348A1"/>
    <w:rsid w:val="00C406A1"/>
    <w:rsid w:val="00C42307"/>
    <w:rsid w:val="00C437A5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4F48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21C71"/>
    <w:rsid w:val="00D23C2E"/>
    <w:rsid w:val="00D2492E"/>
    <w:rsid w:val="00D304BC"/>
    <w:rsid w:val="00D30BF8"/>
    <w:rsid w:val="00D30D7A"/>
    <w:rsid w:val="00D30F21"/>
    <w:rsid w:val="00D31C84"/>
    <w:rsid w:val="00D32D80"/>
    <w:rsid w:val="00D32D88"/>
    <w:rsid w:val="00D33777"/>
    <w:rsid w:val="00D34956"/>
    <w:rsid w:val="00D3510C"/>
    <w:rsid w:val="00D41054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7AA8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B772F"/>
    <w:rsid w:val="00DC151D"/>
    <w:rsid w:val="00DC1745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5CC"/>
    <w:rsid w:val="00DF60AF"/>
    <w:rsid w:val="00DF6877"/>
    <w:rsid w:val="00DF70CA"/>
    <w:rsid w:val="00E028B4"/>
    <w:rsid w:val="00E0405C"/>
    <w:rsid w:val="00E05266"/>
    <w:rsid w:val="00E06AEC"/>
    <w:rsid w:val="00E06EF8"/>
    <w:rsid w:val="00E1084D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489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36A"/>
    <w:rsid w:val="00EA4777"/>
    <w:rsid w:val="00EA4ACD"/>
    <w:rsid w:val="00EA5F24"/>
    <w:rsid w:val="00EB3353"/>
    <w:rsid w:val="00EB5A63"/>
    <w:rsid w:val="00EC0CB7"/>
    <w:rsid w:val="00EC0CF1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3599"/>
    <w:rsid w:val="00EF79AA"/>
    <w:rsid w:val="00EF7F7E"/>
    <w:rsid w:val="00F00911"/>
    <w:rsid w:val="00F01D61"/>
    <w:rsid w:val="00F0274A"/>
    <w:rsid w:val="00F07F10"/>
    <w:rsid w:val="00F11C47"/>
    <w:rsid w:val="00F122B9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8E0"/>
    <w:rsid w:val="00F50D9F"/>
    <w:rsid w:val="00F521C7"/>
    <w:rsid w:val="00F5313A"/>
    <w:rsid w:val="00F545FC"/>
    <w:rsid w:val="00F560BE"/>
    <w:rsid w:val="00F56899"/>
    <w:rsid w:val="00F57CCB"/>
    <w:rsid w:val="00F62D10"/>
    <w:rsid w:val="00F64EC7"/>
    <w:rsid w:val="00F67C00"/>
    <w:rsid w:val="00F72109"/>
    <w:rsid w:val="00F72802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064B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4989"/>
    <w:rsid w:val="00FD4E6D"/>
    <w:rsid w:val="00FE11A3"/>
    <w:rsid w:val="00FE1659"/>
    <w:rsid w:val="00FE37BD"/>
    <w:rsid w:val="00FE5AB2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customStyle="1" w:styleId="MLNadpislnku">
    <w:name w:val="ML Nadpis článku"/>
    <w:basedOn w:val="Normlny"/>
    <w:qFormat/>
    <w:rsid w:val="00E1084D"/>
    <w:pPr>
      <w:keepNext/>
      <w:numPr>
        <w:numId w:val="45"/>
      </w:numPr>
      <w:tabs>
        <w:tab w:val="clear" w:pos="2160"/>
        <w:tab w:val="clear" w:pos="2880"/>
        <w:tab w:val="clear" w:pos="4500"/>
      </w:tabs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E1084D"/>
    <w:pPr>
      <w:numPr>
        <w:ilvl w:val="1"/>
        <w:numId w:val="45"/>
      </w:numPr>
      <w:tabs>
        <w:tab w:val="clear" w:pos="2160"/>
        <w:tab w:val="clear" w:pos="2880"/>
        <w:tab w:val="clear" w:pos="4500"/>
      </w:tabs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link w:val="MLOdsek"/>
    <w:rsid w:val="00E1084D"/>
    <w:rPr>
      <w:rFonts w:asciiTheme="minorHAnsi" w:eastAsia="Times New Roman" w:hAnsiTheme="minorHAnsi" w:cs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f:fields xmlns:f="http://schemas.fabasoft.com/folio/2007/field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AACF5F4-6796-4AA4-9E50-8504C0EC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89AF58-F50D-48D4-B3A2-9D46F27114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441E11A-900A-4AA5-8737-AA9BF5F706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Škvarka</cp:lastModifiedBy>
  <cp:revision>3</cp:revision>
  <cp:lastPrinted>2025-01-29T09:56:00Z</cp:lastPrinted>
  <dcterms:created xsi:type="dcterms:W3CDTF">2025-07-24T07:14:00Z</dcterms:created>
  <dcterms:modified xsi:type="dcterms:W3CDTF">2025-07-24T11:46:00Z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