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AE1CE8">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CB3213">
              <w:rPr>
                <w:rFonts w:ascii="Arial" w:eastAsia="Times New Roman" w:hAnsi="Arial" w:cs="Arial"/>
                <w:lang w:eastAsia="cs-CZ"/>
              </w:rPr>
              <w:t>20</w:t>
            </w:r>
            <w:r w:rsidR="00AE1CE8">
              <w:rPr>
                <w:rFonts w:ascii="Arial" w:eastAsia="Times New Roman" w:hAnsi="Arial" w:cs="Arial"/>
                <w:lang w:eastAsia="cs-CZ"/>
              </w:rPr>
              <w:t>20</w:t>
            </w:r>
            <w:r>
              <w:rPr>
                <w:rFonts w:ascii="Arial" w:eastAsia="Times New Roman" w:hAnsi="Arial" w:cs="Arial"/>
                <w:lang w:eastAsia="cs-CZ"/>
              </w:rPr>
              <w:t>-</w:t>
            </w:r>
            <w:r w:rsidR="001102F9">
              <w:rPr>
                <w:rFonts w:ascii="Arial" w:eastAsia="Times New Roman" w:hAnsi="Arial" w:cs="Arial"/>
                <w:lang w:eastAsia="cs-CZ"/>
              </w:rPr>
              <w:t>0</w:t>
            </w:r>
            <w:r w:rsidR="00AE1CE8">
              <w:rPr>
                <w:rFonts w:ascii="Arial" w:eastAsia="Times New Roman" w:hAnsi="Arial" w:cs="Arial"/>
                <w:lang w:eastAsia="cs-CZ"/>
              </w:rPr>
              <w:t>08</w:t>
            </w:r>
            <w:r w:rsidR="00CB3213">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AE1CE8" w:rsidP="008B7C3C">
            <w:pPr>
              <w:spacing w:after="0" w:line="240" w:lineRule="auto"/>
              <w:jc w:val="both"/>
              <w:rPr>
                <w:rFonts w:ascii="Arial" w:eastAsia="Times New Roman" w:hAnsi="Arial" w:cs="Arial"/>
                <w:lang w:eastAsia="cs-CZ"/>
              </w:rPr>
            </w:pPr>
            <w:r w:rsidRPr="00AE1CE8">
              <w:rPr>
                <w:rFonts w:ascii="Arial" w:eastAsia="Times New Roman" w:hAnsi="Arial" w:cs="Arial"/>
                <w:lang w:eastAsia="cs-CZ"/>
              </w:rPr>
              <w:t>Oprava střechy okresního archivu – Divišovo náměstí Znojmo</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1027BF" w:rsidRDefault="00811E76" w:rsidP="00A742CF">
            <w:pPr>
              <w:spacing w:after="0" w:line="240" w:lineRule="auto"/>
              <w:jc w:val="both"/>
              <w:rPr>
                <w:rFonts w:ascii="Arial" w:eastAsia="Times New Roman" w:hAnsi="Arial" w:cs="Arial"/>
                <w:lang w:eastAsia="cs-CZ"/>
              </w:rPr>
            </w:pPr>
            <w:proofErr w:type="gramStart"/>
            <w:r>
              <w:rPr>
                <w:rFonts w:ascii="Arial" w:eastAsia="Times New Roman" w:hAnsi="Arial" w:cs="Arial"/>
                <w:lang w:eastAsia="cs-CZ"/>
              </w:rPr>
              <w:t>13.3.2020</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165665">
        <w:trPr>
          <w:trHeight w:val="110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787F32" w:rsidRPr="001C035F" w:rsidRDefault="00787F32" w:rsidP="00787F32">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p w:rsidR="00983B18" w:rsidRPr="001C035F" w:rsidRDefault="00983B18" w:rsidP="0054178C">
            <w:pPr>
              <w:spacing w:after="0" w:line="240" w:lineRule="auto"/>
              <w:jc w:val="both"/>
              <w:rPr>
                <w:rFonts w:ascii="Arial" w:eastAsia="Times New Roman" w:hAnsi="Arial" w:cs="Arial"/>
                <w:lang w:eastAsia="cs-CZ"/>
              </w:rPr>
            </w:pP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074CE7">
            <w:pPr>
              <w:pStyle w:val="Default"/>
              <w:jc w:val="both"/>
              <w:rPr>
                <w:sz w:val="22"/>
                <w:szCs w:val="22"/>
              </w:rPr>
            </w:pPr>
            <w:r w:rsidRPr="001C035F">
              <w:rPr>
                <w:sz w:val="22"/>
                <w:szCs w:val="22"/>
                <w:lang w:eastAsia="cs-CZ"/>
              </w:rPr>
              <w:t>Lhůta pro podání nabídek končí</w:t>
            </w:r>
            <w:r w:rsidR="000D7E49">
              <w:rPr>
                <w:sz w:val="22"/>
                <w:szCs w:val="22"/>
                <w:lang w:eastAsia="cs-CZ"/>
              </w:rPr>
              <w:t xml:space="preserve"> </w:t>
            </w:r>
            <w:r w:rsidR="00811E76" w:rsidRPr="00811E76">
              <w:rPr>
                <w:sz w:val="22"/>
                <w:szCs w:val="22"/>
                <w:lang w:eastAsia="cs-CZ"/>
              </w:rPr>
              <w:t>2</w:t>
            </w:r>
            <w:r w:rsidR="00074CE7">
              <w:rPr>
                <w:sz w:val="22"/>
                <w:szCs w:val="22"/>
                <w:lang w:eastAsia="cs-CZ"/>
              </w:rPr>
              <w:t>3</w:t>
            </w:r>
            <w:bookmarkStart w:id="0" w:name="_GoBack"/>
            <w:bookmarkEnd w:id="0"/>
            <w:r w:rsidR="00811E76" w:rsidRPr="00811E76">
              <w:rPr>
                <w:sz w:val="22"/>
                <w:szCs w:val="22"/>
                <w:lang w:eastAsia="cs-CZ"/>
              </w:rPr>
              <w:t>.3.2020</w:t>
            </w:r>
            <w:r w:rsidR="004837DB" w:rsidRPr="00811E76">
              <w:rPr>
                <w:sz w:val="22"/>
                <w:szCs w:val="22"/>
                <w:lang w:eastAsia="cs-CZ"/>
              </w:rPr>
              <w:t xml:space="preserve"> v 8</w:t>
            </w:r>
            <w:r w:rsidR="001C035F" w:rsidRPr="00811E76">
              <w:rPr>
                <w:sz w:val="22"/>
                <w:szCs w:val="22"/>
                <w:lang w:eastAsia="cs-CZ"/>
              </w:rPr>
              <w:t>:00:00</w:t>
            </w:r>
            <w:r w:rsidR="00C50B2C" w:rsidRPr="00811E76">
              <w:rPr>
                <w:sz w:val="22"/>
                <w:szCs w:val="22"/>
                <w:lang w:eastAsia="cs-CZ"/>
              </w:rPr>
              <w:t>.</w:t>
            </w:r>
            <w:r w:rsidR="00C50B2C" w:rsidRPr="00811E76">
              <w:t xml:space="preserve"> </w:t>
            </w:r>
            <w:r w:rsidR="0081058D" w:rsidRPr="00811E76">
              <w:rPr>
                <w:sz w:val="22"/>
                <w:szCs w:val="22"/>
              </w:rPr>
              <w:t>Výzvu k účasti v elektronické aukci vč. přístupových údajů obdrží</w:t>
            </w:r>
            <w:r w:rsidR="0081058D" w:rsidRPr="0081058D">
              <w:rPr>
                <w:sz w:val="22"/>
                <w:szCs w:val="22"/>
              </w:rPr>
              <w:t xml:space="preserve">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983B18" w:rsidRDefault="00AE1CE8" w:rsidP="007E0509">
            <w:pPr>
              <w:pStyle w:val="Default"/>
              <w:jc w:val="both"/>
              <w:rPr>
                <w:sz w:val="22"/>
                <w:szCs w:val="22"/>
              </w:rPr>
            </w:pPr>
            <w:r w:rsidRPr="00AE1CE8">
              <w:rPr>
                <w:sz w:val="22"/>
                <w:szCs w:val="22"/>
              </w:rPr>
              <w:t>Jedná se o realizaci opravy střechy spočívající ve výměně laťování, krytiny statickém vyztužení krovu</w:t>
            </w:r>
            <w:r>
              <w:rPr>
                <w:sz w:val="22"/>
                <w:szCs w:val="22"/>
              </w:rPr>
              <w:t xml:space="preserve"> dle přiložené PD</w:t>
            </w:r>
            <w:r w:rsidR="005E4818">
              <w:rPr>
                <w:sz w:val="22"/>
                <w:szCs w:val="22"/>
              </w:rPr>
              <w:t>.</w:t>
            </w:r>
          </w:p>
          <w:p w:rsidR="005E4818" w:rsidRPr="005E4818" w:rsidRDefault="005E4818" w:rsidP="005E4818">
            <w:pPr>
              <w:pStyle w:val="Default"/>
              <w:jc w:val="both"/>
              <w:rPr>
                <w:b/>
                <w:sz w:val="22"/>
                <w:szCs w:val="22"/>
                <w:u w:val="single"/>
              </w:rPr>
            </w:pPr>
            <w:r w:rsidRPr="005E4818">
              <w:rPr>
                <w:b/>
                <w:sz w:val="22"/>
                <w:szCs w:val="22"/>
                <w:u w:val="single"/>
              </w:rPr>
              <w:t xml:space="preserve">UPOZORNĚNÍ PRO UCHAZEČE: JEDNÁ SE O BUDOVU </w:t>
            </w:r>
            <w:r>
              <w:rPr>
                <w:b/>
                <w:sz w:val="22"/>
                <w:szCs w:val="22"/>
                <w:u w:val="single"/>
              </w:rPr>
              <w:lastRenderedPageBreak/>
              <w:t>OKESN</w:t>
            </w:r>
            <w:r w:rsidRPr="005E4818">
              <w:rPr>
                <w:b/>
                <w:sz w:val="22"/>
                <w:szCs w:val="22"/>
                <w:u w:val="single"/>
              </w:rPr>
              <w:t xml:space="preserve">ÍHO ARCHIVU, KTERÝ OBSAHUJE DEPOZITÁŘ S VELMI VZÁCNÝMI RELIKVIEMI. JE TEDY NUTNÉ PROVÁDĚT REAZITACI AKCE </w:t>
            </w:r>
            <w:r>
              <w:rPr>
                <w:b/>
                <w:sz w:val="22"/>
                <w:szCs w:val="22"/>
                <w:u w:val="single"/>
              </w:rPr>
              <w:t>ZA POMOCI</w:t>
            </w:r>
            <w:r w:rsidRPr="005E4818">
              <w:rPr>
                <w:b/>
                <w:sz w:val="22"/>
                <w:szCs w:val="22"/>
                <w:u w:val="single"/>
              </w:rPr>
              <w:t xml:space="preserve"> </w:t>
            </w:r>
            <w:r>
              <w:rPr>
                <w:b/>
                <w:sz w:val="22"/>
                <w:szCs w:val="22"/>
                <w:u w:val="single"/>
              </w:rPr>
              <w:t>KVALITNÍHO ZABEZPEČENÍ</w:t>
            </w:r>
            <w:r w:rsidRPr="005E4818">
              <w:rPr>
                <w:b/>
                <w:sz w:val="22"/>
                <w:szCs w:val="22"/>
                <w:u w:val="single"/>
              </w:rPr>
              <w:t xml:space="preserve"> STŘECHY PROTI ZATEČENÍ DEŠŤOVÉ VODY</w:t>
            </w:r>
            <w:r>
              <w:rPr>
                <w:b/>
                <w:sz w:val="22"/>
                <w:szCs w:val="22"/>
                <w:u w:val="single"/>
              </w:rPr>
              <w:t xml:space="preserve"> PŘI REALIZACI</w:t>
            </w:r>
            <w:r w:rsidRPr="005E4818">
              <w:rPr>
                <w:b/>
                <w:sz w:val="22"/>
                <w:szCs w:val="22"/>
                <w:u w:val="single"/>
              </w:rPr>
              <w:t>, TAK ABY NEDOŠLO K POŠKOZENÍ RELIKVIÍ ULOŽENÝCH V TÉTO BUDOVĚ.</w:t>
            </w:r>
          </w:p>
        </w:tc>
      </w:tr>
      <w:tr w:rsidR="00983B18" w:rsidRPr="001C035F" w:rsidTr="00165665">
        <w:trPr>
          <w:trHeight w:val="1045"/>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284FE6" w:rsidP="00AE1CE8">
            <w:pPr>
              <w:spacing w:after="0" w:line="240" w:lineRule="auto"/>
              <w:jc w:val="both"/>
              <w:rPr>
                <w:rFonts w:ascii="Arial" w:eastAsia="Times New Roman" w:hAnsi="Arial" w:cs="Arial"/>
                <w:lang w:eastAsia="cs-CZ"/>
              </w:rPr>
            </w:pPr>
            <w:r>
              <w:rPr>
                <w:rFonts w:ascii="Arial" w:eastAsia="Times New Roman" w:hAnsi="Arial" w:cs="Arial"/>
                <w:lang w:eastAsia="cs-CZ"/>
              </w:rPr>
              <w:t>Z</w:t>
            </w:r>
            <w:r w:rsidR="00C50B2C">
              <w:rPr>
                <w:rFonts w:ascii="Arial" w:eastAsia="Times New Roman" w:hAnsi="Arial" w:cs="Arial"/>
                <w:lang w:eastAsia="cs-CZ"/>
              </w:rPr>
              <w:t>akázka bude předána objednateli</w:t>
            </w:r>
            <w:r w:rsidR="005857E6">
              <w:rPr>
                <w:rFonts w:ascii="Arial" w:eastAsia="Times New Roman" w:hAnsi="Arial" w:cs="Arial"/>
                <w:lang w:eastAsia="cs-CZ"/>
              </w:rPr>
              <w:t xml:space="preserve"> do </w:t>
            </w:r>
            <w:r w:rsidR="00AE1CE8">
              <w:rPr>
                <w:rFonts w:ascii="Arial" w:eastAsia="Times New Roman" w:hAnsi="Arial" w:cs="Arial"/>
                <w:lang w:eastAsia="cs-CZ"/>
              </w:rPr>
              <w:t>3</w:t>
            </w:r>
            <w:r w:rsidR="006A280B">
              <w:rPr>
                <w:rFonts w:ascii="Arial" w:eastAsia="Times New Roman" w:hAnsi="Arial" w:cs="Arial"/>
                <w:lang w:eastAsia="cs-CZ"/>
              </w:rPr>
              <w:t xml:space="preserve"> měsíců </w:t>
            </w:r>
            <w:r w:rsidR="005857E6">
              <w:rPr>
                <w:rFonts w:ascii="Arial" w:eastAsia="Times New Roman" w:hAnsi="Arial" w:cs="Arial"/>
                <w:lang w:eastAsia="cs-CZ"/>
              </w:rPr>
              <w:t xml:space="preserve">od </w:t>
            </w:r>
            <w:r w:rsidR="00AE1CE8">
              <w:rPr>
                <w:rFonts w:ascii="Arial" w:eastAsia="Times New Roman" w:hAnsi="Arial" w:cs="Arial"/>
                <w:lang w:eastAsia="cs-CZ"/>
              </w:rPr>
              <w:t xml:space="preserve">podpisu </w:t>
            </w:r>
            <w:proofErr w:type="spellStart"/>
            <w:r w:rsidR="00AE1CE8">
              <w:rPr>
                <w:rFonts w:ascii="Arial" w:eastAsia="Times New Roman" w:hAnsi="Arial" w:cs="Arial"/>
                <w:lang w:eastAsia="cs-CZ"/>
              </w:rPr>
              <w:t>SoD</w:t>
            </w:r>
            <w:proofErr w:type="spellEnd"/>
            <w:r w:rsidR="005857E6">
              <w:rPr>
                <w:rFonts w:ascii="Arial" w:eastAsia="Times New Roman" w:hAnsi="Arial" w:cs="Arial"/>
                <w:lang w:eastAsia="cs-CZ"/>
              </w:rPr>
              <w:t>, místo plnění je uvedeno v ZD</w:t>
            </w:r>
          </w:p>
        </w:tc>
      </w:tr>
      <w:tr w:rsidR="00983B18" w:rsidRPr="001C035F" w:rsidTr="00165665">
        <w:trPr>
          <w:trHeight w:val="84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AE1CE8" w:rsidP="00404817">
            <w:pPr>
              <w:spacing w:after="0" w:line="240" w:lineRule="auto"/>
              <w:jc w:val="both"/>
              <w:rPr>
                <w:rFonts w:ascii="Arial" w:eastAsia="Times New Roman" w:hAnsi="Arial" w:cs="Arial"/>
                <w:lang w:eastAsia="cs-CZ"/>
              </w:rPr>
            </w:pPr>
            <w:r w:rsidRPr="00AE1CE8">
              <w:rPr>
                <w:rFonts w:ascii="Arial" w:eastAsia="Times New Roman" w:hAnsi="Arial" w:cs="Arial"/>
                <w:lang w:eastAsia="cs-CZ"/>
              </w:rPr>
              <w:t>2 443 389</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E1CE8" w:rsidP="001C035F">
            <w:pPr>
              <w:spacing w:after="0" w:line="240" w:lineRule="auto"/>
              <w:jc w:val="both"/>
              <w:rPr>
                <w:rFonts w:ascii="Arial" w:eastAsia="Times New Roman" w:hAnsi="Arial" w:cs="Arial"/>
                <w:lang w:eastAsia="cs-CZ"/>
              </w:rPr>
            </w:pPr>
            <w:r w:rsidRPr="003C2316">
              <w:rPr>
                <w:rFonts w:ascii="Arial" w:eastAsia="Times New Roman" w:hAnsi="Arial" w:cs="Arial"/>
                <w:lang w:eastAsia="cs-CZ"/>
              </w:rPr>
              <w:t>Prohlídka místa plnění proběhne dne</w:t>
            </w:r>
            <w:r w:rsidR="003C2316" w:rsidRPr="003C2316">
              <w:rPr>
                <w:rFonts w:ascii="Arial" w:eastAsia="Times New Roman" w:hAnsi="Arial" w:cs="Arial"/>
                <w:lang w:eastAsia="cs-CZ"/>
              </w:rPr>
              <w:t xml:space="preserve"> </w:t>
            </w:r>
            <w:proofErr w:type="gramStart"/>
            <w:r w:rsidR="003C2316" w:rsidRPr="003C2316">
              <w:rPr>
                <w:rFonts w:ascii="Arial" w:eastAsia="Times New Roman" w:hAnsi="Arial" w:cs="Arial"/>
                <w:lang w:eastAsia="cs-CZ"/>
              </w:rPr>
              <w:t>18.3.2020</w:t>
            </w:r>
            <w:proofErr w:type="gramEnd"/>
            <w:r w:rsidRPr="003C2316">
              <w:rPr>
                <w:rFonts w:ascii="Arial" w:eastAsia="Times New Roman" w:hAnsi="Arial" w:cs="Arial"/>
                <w:lang w:eastAsia="cs-CZ"/>
              </w:rPr>
              <w:t xml:space="preserve"> v</w:t>
            </w:r>
            <w:r w:rsidR="003C2316" w:rsidRPr="003C2316">
              <w:rPr>
                <w:rFonts w:ascii="Arial" w:eastAsia="Times New Roman" w:hAnsi="Arial" w:cs="Arial"/>
                <w:lang w:eastAsia="cs-CZ"/>
              </w:rPr>
              <w:t> 9:00</w:t>
            </w:r>
            <w:r w:rsidRPr="003C2316">
              <w:rPr>
                <w:rFonts w:ascii="Arial" w:eastAsia="Times New Roman" w:hAnsi="Arial" w:cs="Arial"/>
                <w:lang w:eastAsia="cs-CZ"/>
              </w:rPr>
              <w:t>hod</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AE1CE8" w:rsidRPr="001C035F" w:rsidRDefault="00AE1CE8" w:rsidP="0054178C">
            <w:pPr>
              <w:pStyle w:val="Odstavecseseznamem"/>
              <w:numPr>
                <w:ilvl w:val="0"/>
                <w:numId w:val="1"/>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doklad o prokázání realizace 2 střech domů v MPR, nebo kulturních památkách v období 3 let zpětně od vypsání toho VŘ.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Vysvětlení zadávacích </w:t>
            </w:r>
            <w:r w:rsidRPr="001C035F">
              <w:rPr>
                <w:rFonts w:ascii="Arial" w:eastAsia="Times New Roman" w:hAnsi="Arial" w:cs="Arial"/>
                <w:b/>
                <w:lang w:eastAsia="cs-CZ"/>
              </w:rPr>
              <w:lastRenderedPageBreak/>
              <w:t>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lastRenderedPageBreak/>
              <w:t xml:space="preserve">Dodavatel je oprávněn po zadavateli požadovat písemně vysvětlení zadávacích podmínek. Písemná žádost musí být zadavateli </w:t>
            </w:r>
            <w:r w:rsidRPr="001C035F">
              <w:rPr>
                <w:rFonts w:ascii="Arial" w:hAnsi="Arial" w:cs="Arial"/>
              </w:rPr>
              <w:lastRenderedPageBreak/>
              <w:t xml:space="preserve">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Zadavatel si vyhrazuje právo zadávací řízení do podpisu smlouvy </w:t>
            </w:r>
            <w:r w:rsidRPr="001C035F">
              <w:rPr>
                <w:rFonts w:ascii="Arial" w:eastAsia="Times New Roman" w:hAnsi="Arial" w:cs="Arial"/>
                <w:lang w:eastAsia="cs-CZ"/>
              </w:rPr>
              <w:lastRenderedPageBreak/>
              <w:t>s uchazečem kdykoliv zrušit.</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Příloha č. 4 – JOSEPHINE Návod </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990" w:rsidRDefault="009D5990" w:rsidP="007465B2">
      <w:pPr>
        <w:spacing w:after="0" w:line="240" w:lineRule="auto"/>
      </w:pPr>
      <w:r>
        <w:separator/>
      </w:r>
    </w:p>
  </w:endnote>
  <w:endnote w:type="continuationSeparator" w:id="0">
    <w:p w:rsidR="009D5990" w:rsidRDefault="009D5990"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7E0509"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64669E">
                                <w:pPr>
                                  <w:jc w:val="center"/>
                                </w:pPr>
                                <w:r>
                                  <w:fldChar w:fldCharType="begin"/>
                                </w:r>
                                <w:r w:rsidR="00764E7D">
                                  <w:instrText xml:space="preserve"> PAGE    \* MERGEFORMAT </w:instrText>
                                </w:r>
                                <w:r>
                                  <w:fldChar w:fldCharType="separate"/>
                                </w:r>
                                <w:r w:rsidR="00074CE7" w:rsidRPr="00074CE7">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64669E">
                          <w:pPr>
                            <w:jc w:val="center"/>
                          </w:pPr>
                          <w:r>
                            <w:fldChar w:fldCharType="begin"/>
                          </w:r>
                          <w:r w:rsidR="00764E7D">
                            <w:instrText xml:space="preserve"> PAGE    \* MERGEFORMAT </w:instrText>
                          </w:r>
                          <w:r>
                            <w:fldChar w:fldCharType="separate"/>
                          </w:r>
                          <w:r w:rsidR="00074CE7" w:rsidRPr="00074CE7">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990" w:rsidRDefault="009D5990" w:rsidP="007465B2">
      <w:pPr>
        <w:spacing w:after="0" w:line="240" w:lineRule="auto"/>
      </w:pPr>
      <w:r>
        <w:separator/>
      </w:r>
    </w:p>
  </w:footnote>
  <w:footnote w:type="continuationSeparator" w:id="0">
    <w:p w:rsidR="009D5990" w:rsidRDefault="009D5990"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8"/>
    <w:rsid w:val="00001375"/>
    <w:rsid w:val="0000275D"/>
    <w:rsid w:val="00016D48"/>
    <w:rsid w:val="00074CE7"/>
    <w:rsid w:val="000A1599"/>
    <w:rsid w:val="000D7E49"/>
    <w:rsid w:val="00100852"/>
    <w:rsid w:val="001027BF"/>
    <w:rsid w:val="001102F9"/>
    <w:rsid w:val="00115D27"/>
    <w:rsid w:val="00165665"/>
    <w:rsid w:val="0017576D"/>
    <w:rsid w:val="001C035F"/>
    <w:rsid w:val="002750D7"/>
    <w:rsid w:val="00284FE6"/>
    <w:rsid w:val="0029479E"/>
    <w:rsid w:val="00332458"/>
    <w:rsid w:val="003A0236"/>
    <w:rsid w:val="003C2316"/>
    <w:rsid w:val="00404817"/>
    <w:rsid w:val="00430E01"/>
    <w:rsid w:val="0045141E"/>
    <w:rsid w:val="004837DB"/>
    <w:rsid w:val="00486D9F"/>
    <w:rsid w:val="004A26D5"/>
    <w:rsid w:val="004C14DC"/>
    <w:rsid w:val="004E7C75"/>
    <w:rsid w:val="004F388C"/>
    <w:rsid w:val="00534D5A"/>
    <w:rsid w:val="00541780"/>
    <w:rsid w:val="005857E6"/>
    <w:rsid w:val="0058594D"/>
    <w:rsid w:val="0059179F"/>
    <w:rsid w:val="005E23F9"/>
    <w:rsid w:val="005E46A5"/>
    <w:rsid w:val="005E4818"/>
    <w:rsid w:val="0064669E"/>
    <w:rsid w:val="006A280B"/>
    <w:rsid w:val="006E50D3"/>
    <w:rsid w:val="00716B73"/>
    <w:rsid w:val="00721848"/>
    <w:rsid w:val="00734E54"/>
    <w:rsid w:val="007465B2"/>
    <w:rsid w:val="00764E7D"/>
    <w:rsid w:val="00787F32"/>
    <w:rsid w:val="007B520D"/>
    <w:rsid w:val="007E0509"/>
    <w:rsid w:val="007F275B"/>
    <w:rsid w:val="0081058D"/>
    <w:rsid w:val="00811E76"/>
    <w:rsid w:val="008151C3"/>
    <w:rsid w:val="00816F46"/>
    <w:rsid w:val="008267BD"/>
    <w:rsid w:val="00834E3F"/>
    <w:rsid w:val="008360FD"/>
    <w:rsid w:val="00894C12"/>
    <w:rsid w:val="008B7C3C"/>
    <w:rsid w:val="00921AEB"/>
    <w:rsid w:val="00983B18"/>
    <w:rsid w:val="009C5F23"/>
    <w:rsid w:val="009D5990"/>
    <w:rsid w:val="00A02328"/>
    <w:rsid w:val="00A64E51"/>
    <w:rsid w:val="00A742CF"/>
    <w:rsid w:val="00A92DC4"/>
    <w:rsid w:val="00AD2725"/>
    <w:rsid w:val="00AE1CE8"/>
    <w:rsid w:val="00AE5561"/>
    <w:rsid w:val="00B532B2"/>
    <w:rsid w:val="00BD269A"/>
    <w:rsid w:val="00BE2B5E"/>
    <w:rsid w:val="00BE42AA"/>
    <w:rsid w:val="00BF2E7A"/>
    <w:rsid w:val="00C111EA"/>
    <w:rsid w:val="00C50B2C"/>
    <w:rsid w:val="00CB3213"/>
    <w:rsid w:val="00D203C9"/>
    <w:rsid w:val="00D9741E"/>
    <w:rsid w:val="00DA3973"/>
    <w:rsid w:val="00DB242D"/>
    <w:rsid w:val="00DB54E9"/>
    <w:rsid w:val="00E05947"/>
    <w:rsid w:val="00F80A4E"/>
    <w:rsid w:val="00F9651F"/>
    <w:rsid w:val="00FD43F8"/>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850</Words>
  <Characters>5015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14</cp:revision>
  <cp:lastPrinted>2019-11-18T11:14:00Z</cp:lastPrinted>
  <dcterms:created xsi:type="dcterms:W3CDTF">2019-07-25T08:43:00Z</dcterms:created>
  <dcterms:modified xsi:type="dcterms:W3CDTF">2020-03-20T08:28:00Z</dcterms:modified>
</cp:coreProperties>
</file>