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62EDF6D5"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w:t>
      </w:r>
      <w:r w:rsidR="002100FC">
        <w:rPr>
          <w:rFonts w:ascii="Arial Narrow" w:hAnsi="Arial Narrow"/>
          <w:b/>
          <w:bCs/>
          <w:sz w:val="28"/>
          <w:szCs w:val="28"/>
        </w:rPr>
        <w:t>5</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3E04904F"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2100FC">
        <w:rPr>
          <w:rFonts w:ascii="Arial Narrow" w:hAnsi="Arial Narrow"/>
          <w:b/>
          <w:sz w:val="28"/>
          <w:szCs w:val="28"/>
        </w:rPr>
        <w:t>5</w:t>
      </w:r>
      <w:r w:rsidRPr="003229A2">
        <w:rPr>
          <w:rFonts w:ascii="Arial Narrow" w:hAnsi="Arial Narrow"/>
          <w:b/>
          <w:sz w:val="28"/>
          <w:szCs w:val="28"/>
        </w:rPr>
        <w:t xml:space="preserve"> „</w:t>
      </w:r>
      <w:proofErr w:type="spellStart"/>
      <w:r w:rsidR="00DE366F">
        <w:rPr>
          <w:rFonts w:ascii="Arial Narrow" w:hAnsi="Arial Narrow"/>
          <w:sz w:val="28"/>
          <w:szCs w:val="28"/>
        </w:rPr>
        <w:t>Mäso</w:t>
      </w:r>
      <w:r w:rsidR="002100FC">
        <w:rPr>
          <w:rFonts w:ascii="Arial Narrow" w:hAnsi="Arial Narrow"/>
          <w:sz w:val="28"/>
          <w:szCs w:val="28"/>
        </w:rPr>
        <w:t>vé</w:t>
      </w:r>
      <w:proofErr w:type="spellEnd"/>
      <w:r w:rsidR="002100FC">
        <w:rPr>
          <w:rFonts w:ascii="Arial Narrow" w:hAnsi="Arial Narrow"/>
          <w:sz w:val="28"/>
          <w:szCs w:val="28"/>
        </w:rPr>
        <w:t xml:space="preserve"> </w:t>
      </w:r>
      <w:proofErr w:type="spellStart"/>
      <w:proofErr w:type="gramStart"/>
      <w:r w:rsidR="002100FC">
        <w:rPr>
          <w:rFonts w:ascii="Arial Narrow" w:hAnsi="Arial Narrow"/>
          <w:sz w:val="28"/>
          <w:szCs w:val="28"/>
        </w:rPr>
        <w:t>výrobky</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1AA8A073"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104D58A8"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ED6937">
        <w:rPr>
          <w:rFonts w:ascii="Arial Narrow" w:hAnsi="Arial Narrow" w:cs="Calibri"/>
        </w:rPr>
        <w:t xml:space="preserve"> </w:t>
      </w:r>
      <w:r w:rsidR="002100FC">
        <w:rPr>
          <w:rFonts w:ascii="Arial Narrow" w:hAnsi="Arial Narrow" w:cs="Calibri"/>
        </w:rPr>
        <w:t>5</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DE366F" w:rsidRPr="00DE366F">
        <w:rPr>
          <w:rFonts w:ascii="Arial Narrow" w:hAnsi="Arial Narrow"/>
        </w:rPr>
        <w:t>Mäs</w:t>
      </w:r>
      <w:r w:rsidR="002100FC">
        <w:rPr>
          <w:rFonts w:ascii="Arial Narrow" w:hAnsi="Arial Narrow"/>
        </w:rPr>
        <w:t>ové výrobky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4F1A3835"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w:t>
      </w:r>
      <w:r w:rsidRPr="00570FBC">
        <w:rPr>
          <w:rFonts w:ascii="Arial Narrow" w:hAnsi="Arial Narrow" w:cs="Calibri"/>
          <w:b/>
          <w:bCs/>
          <w:szCs w:val="24"/>
        </w:rPr>
        <w:t>Kategória č</w:t>
      </w:r>
      <w:r w:rsidR="008D0A88" w:rsidRPr="00570FBC">
        <w:rPr>
          <w:rFonts w:ascii="Arial Narrow" w:hAnsi="Arial Narrow" w:cs="Calibri"/>
          <w:b/>
          <w:bCs/>
          <w:szCs w:val="24"/>
        </w:rPr>
        <w:t xml:space="preserve">. </w:t>
      </w:r>
      <w:r w:rsidR="002100FC">
        <w:rPr>
          <w:rFonts w:ascii="Arial Narrow" w:hAnsi="Arial Narrow" w:cs="Calibri"/>
          <w:b/>
          <w:bCs/>
          <w:szCs w:val="24"/>
        </w:rPr>
        <w:t>5</w:t>
      </w:r>
      <w:r w:rsidRPr="00570FBC">
        <w:rPr>
          <w:rFonts w:ascii="Arial Narrow" w:hAnsi="Arial Narrow" w:cs="Calibri"/>
          <w:b/>
          <w:bCs/>
          <w:szCs w:val="24"/>
        </w:rPr>
        <w:t xml:space="preserve"> „</w:t>
      </w:r>
      <w:r w:rsidR="00DE366F">
        <w:rPr>
          <w:rFonts w:ascii="Arial Narrow" w:hAnsi="Arial Narrow" w:cs="Calibri"/>
          <w:b/>
          <w:bCs/>
          <w:szCs w:val="24"/>
        </w:rPr>
        <w:t>Mäso</w:t>
      </w:r>
      <w:r w:rsidR="002100FC">
        <w:rPr>
          <w:rFonts w:ascii="Arial Narrow" w:hAnsi="Arial Narrow" w:cs="Calibri"/>
          <w:b/>
          <w:bCs/>
          <w:szCs w:val="24"/>
        </w:rPr>
        <w:t>vé výrobky</w:t>
      </w:r>
      <w:r w:rsidRPr="00570FBC">
        <w:rPr>
          <w:rFonts w:ascii="Arial Narrow" w:hAnsi="Arial Narrow" w:cs="Calibri"/>
          <w:b/>
          <w:bCs/>
          <w:szCs w:val="24"/>
        </w:rPr>
        <w:t>“</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2E55C971" w14:textId="483FC2DE" w:rsidR="005C0E93"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 xml:space="preserve">Za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 xml:space="preserve">Za </w:t>
      </w:r>
      <w:proofErr w:type="spellStart"/>
      <w:r w:rsidRPr="003229A2">
        <w:rPr>
          <w:rFonts w:ascii="Arial Narrow" w:hAnsi="Arial Narrow"/>
        </w:rPr>
        <w:t>Predávajúceho</w:t>
      </w:r>
      <w:proofErr w:type="spellEnd"/>
      <w:r w:rsidRPr="003229A2">
        <w:rPr>
          <w:rFonts w:ascii="Arial Narrow" w:hAnsi="Arial Narrow"/>
        </w:rPr>
        <w:t>:</w:t>
      </w:r>
    </w:p>
    <w:p w14:paraId="0F3C6E0F" w14:textId="77777777" w:rsidR="00D222A8" w:rsidRPr="00AD1355" w:rsidRDefault="00D222A8" w:rsidP="005C0E93">
      <w:pPr>
        <w:tabs>
          <w:tab w:val="center" w:pos="1701"/>
          <w:tab w:val="center" w:pos="5670"/>
        </w:tabs>
        <w:spacing w:after="60" w:line="264" w:lineRule="auto"/>
        <w:jc w:val="both"/>
        <w:rPr>
          <w:rFonts w:ascii="Arial Narrow" w:hAnsi="Arial Narrow"/>
        </w:rPr>
      </w:pPr>
    </w:p>
    <w:p w14:paraId="2C1DCB1E" w14:textId="28C0895B"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49AF2C27" w14:textId="53CF4036" w:rsidR="00ED6937" w:rsidRDefault="00ED6937" w:rsidP="005C0E93">
      <w:pPr>
        <w:tabs>
          <w:tab w:val="center" w:pos="1701"/>
          <w:tab w:val="center" w:pos="5670"/>
        </w:tabs>
        <w:spacing w:after="60" w:line="264" w:lineRule="auto"/>
        <w:jc w:val="both"/>
        <w:rPr>
          <w:rFonts w:ascii="Arial Narrow" w:hAnsi="Arial Narrow"/>
        </w:rPr>
      </w:pPr>
      <w:r>
        <w:rPr>
          <w:rFonts w:ascii="Arial Narrow" w:hAnsi="Arial Narrow"/>
        </w:rPr>
        <w:t xml:space="preserve">               Mgr. Jozef Daňo </w:t>
      </w:r>
      <w:r>
        <w:rPr>
          <w:rFonts w:ascii="Arial Narrow" w:hAnsi="Arial Narrow"/>
        </w:rPr>
        <w:tab/>
      </w:r>
      <w:r>
        <w:rPr>
          <w:rFonts w:ascii="Arial Narrow" w:hAnsi="Arial Narrow"/>
        </w:rPr>
        <w:tab/>
      </w:r>
      <w:r>
        <w:rPr>
          <w:rFonts w:ascii="Arial Narrow" w:hAnsi="Arial Narrow"/>
        </w:rPr>
        <w:tab/>
        <w:t xml:space="preserve">   p. </w:t>
      </w:r>
      <w:r w:rsidRPr="00ED6937">
        <w:rPr>
          <w:rFonts w:ascii="Arial Narrow" w:hAnsi="Arial Narrow"/>
          <w:highlight w:val="yellow"/>
        </w:rPr>
        <w:t>xxx</w:t>
      </w:r>
    </w:p>
    <w:p w14:paraId="7C96118B" w14:textId="7B98A792" w:rsidR="00ED6937" w:rsidRPr="00AD1355" w:rsidRDefault="00ED6937" w:rsidP="005C0E93">
      <w:pPr>
        <w:tabs>
          <w:tab w:val="center" w:pos="1701"/>
          <w:tab w:val="center" w:pos="5670"/>
        </w:tabs>
        <w:spacing w:after="60" w:line="264" w:lineRule="auto"/>
        <w:jc w:val="both"/>
        <w:rPr>
          <w:rFonts w:ascii="Arial Narrow" w:hAnsi="Arial Narrow"/>
          <w:b/>
        </w:rPr>
      </w:pPr>
      <w:proofErr w:type="spellStart"/>
      <w:r>
        <w:rPr>
          <w:rFonts w:ascii="Arial Narrow" w:hAnsi="Arial Narrow"/>
        </w:rPr>
        <w:t>Riaditeľ</w:t>
      </w:r>
      <w:proofErr w:type="spellEnd"/>
      <w:r>
        <w:rPr>
          <w:rFonts w:ascii="Arial Narrow" w:hAnsi="Arial Narrow"/>
        </w:rPr>
        <w:t xml:space="preserve"> </w:t>
      </w:r>
      <w:proofErr w:type="spellStart"/>
      <w:r>
        <w:rPr>
          <w:rFonts w:ascii="Arial Narrow" w:hAnsi="Arial Narrow"/>
        </w:rPr>
        <w:t>zariadenia</w:t>
      </w:r>
      <w:proofErr w:type="spellEnd"/>
      <w:r>
        <w:rPr>
          <w:rFonts w:ascii="Arial Narrow" w:hAnsi="Arial Narrow"/>
        </w:rPr>
        <w:t xml:space="preserve"> LIKAVA – CSS</w:t>
      </w:r>
      <w:r>
        <w:rPr>
          <w:rFonts w:ascii="Arial Narrow" w:hAnsi="Arial Narrow"/>
        </w:rPr>
        <w:tab/>
      </w:r>
      <w:r>
        <w:rPr>
          <w:rFonts w:ascii="Arial Narrow" w:hAnsi="Arial Narrow"/>
        </w:rPr>
        <w:tab/>
        <w:t xml:space="preserve">     </w:t>
      </w:r>
      <w:proofErr w:type="spellStart"/>
      <w:r>
        <w:rPr>
          <w:rFonts w:ascii="Arial Narrow" w:hAnsi="Arial Narrow"/>
        </w:rPr>
        <w:t>Kontate</w:t>
      </w:r>
      <w:r w:rsidRPr="00ED6937">
        <w:rPr>
          <w:rFonts w:ascii="Arial Narrow" w:hAnsi="Arial Narrow"/>
          <w:highlight w:val="yellow"/>
        </w:rPr>
        <w:t>ľ</w:t>
      </w:r>
      <w:proofErr w:type="spellEnd"/>
      <w:r w:rsidRPr="00ED6937">
        <w:rPr>
          <w:rFonts w:ascii="Arial Narrow" w:hAnsi="Arial Narrow"/>
          <w:highlight w:val="yellow"/>
        </w:rPr>
        <w:t>/ka</w:t>
      </w:r>
      <w:r>
        <w:rPr>
          <w:rFonts w:ascii="Arial Narrow" w:hAnsi="Arial Narrow"/>
        </w:rPr>
        <w:t xml:space="preserve"> </w:t>
      </w:r>
      <w:proofErr w:type="spellStart"/>
      <w:r>
        <w:rPr>
          <w:rFonts w:ascii="Arial Narrow" w:hAnsi="Arial Narrow"/>
        </w:rPr>
        <w:t>spoločnosti</w:t>
      </w:r>
      <w:proofErr w:type="spellEnd"/>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F8F2540"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570FBC">
        <w:rPr>
          <w:rFonts w:ascii="Arial Narrow" w:hAnsi="Arial Narrow"/>
          <w:b/>
          <w:bCs/>
        </w:rPr>
        <w:t>jednej</w:t>
      </w:r>
      <w:proofErr w:type="spellEnd"/>
      <w:r w:rsidR="00570FBC">
        <w:rPr>
          <w:rFonts w:ascii="Arial Narrow" w:hAnsi="Arial Narrow"/>
          <w:b/>
          <w:bCs/>
        </w:rPr>
        <w:t xml:space="preserve"> </w:t>
      </w:r>
      <w:proofErr w:type="spellStart"/>
      <w:r w:rsidR="00DE366F">
        <w:rPr>
          <w:rFonts w:ascii="Arial Narrow" w:hAnsi="Arial Narrow"/>
          <w:b/>
          <w:bCs/>
        </w:rPr>
        <w:t>tretiny</w:t>
      </w:r>
      <w:proofErr w:type="spellEnd"/>
      <w:r w:rsidRPr="00C82D0F">
        <w:rPr>
          <w:rFonts w:ascii="Arial Narrow" w:hAnsi="Arial Narrow"/>
          <w:b/>
          <w:bCs/>
        </w:rPr>
        <w:t xml:space="preserve"> (</w:t>
      </w:r>
      <w:r w:rsidR="00ED6937">
        <w:rPr>
          <w:rFonts w:ascii="Arial Narrow" w:hAnsi="Arial Narrow"/>
          <w:b/>
          <w:bCs/>
        </w:rPr>
        <w:t>1</w:t>
      </w:r>
      <w:r w:rsidR="00AF7758" w:rsidRPr="00C82D0F">
        <w:rPr>
          <w:rFonts w:ascii="Arial Narrow" w:hAnsi="Arial Narrow"/>
          <w:b/>
          <w:bCs/>
        </w:rPr>
        <w:t>/</w:t>
      </w:r>
      <w:r w:rsidR="00DE366F">
        <w:rPr>
          <w:rFonts w:ascii="Arial Narrow" w:hAnsi="Arial Narrow"/>
          <w:b/>
          <w:bCs/>
        </w:rPr>
        <w:t>3</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ED6937">
        <w:rPr>
          <w:rFonts w:ascii="Arial Narrow" w:hAnsi="Arial Narrow" w:cs="Arial"/>
          <w:b/>
          <w:bCs/>
        </w:rPr>
        <w:t>p. Ingrid Cigaňáková</w:t>
      </w:r>
      <w:r w:rsidR="00C82B97" w:rsidRPr="00912B85">
        <w:rPr>
          <w:rFonts w:ascii="Arial Narrow" w:hAnsi="Arial Narrow" w:cs="Arial"/>
        </w:rPr>
        <w:t xml:space="preserve">,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xml:space="preserve">.: </w:t>
      </w:r>
      <w:r w:rsidR="00C82B97" w:rsidRPr="00ED6937">
        <w:rPr>
          <w:rFonts w:ascii="Arial Narrow" w:hAnsi="Arial Narrow" w:cs="Arial"/>
          <w:b/>
          <w:bCs/>
        </w:rPr>
        <w:t>0905 632 493</w:t>
      </w:r>
      <w:r w:rsidR="00C82B97">
        <w:rPr>
          <w:rFonts w:ascii="Arial Narrow" w:hAnsi="Arial Narrow" w:cs="Arial"/>
        </w:rPr>
        <w:t>.</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Default="005C0E93" w:rsidP="005C0E93">
      <w:pPr>
        <w:tabs>
          <w:tab w:val="center" w:pos="1701"/>
          <w:tab w:val="center" w:pos="5670"/>
        </w:tabs>
        <w:spacing w:after="60" w:line="264" w:lineRule="auto"/>
        <w:jc w:val="both"/>
        <w:rPr>
          <w:rFonts w:ascii="Arial Narrow" w:hAnsi="Arial Narrow"/>
          <w:b/>
        </w:rPr>
      </w:pPr>
    </w:p>
    <w:p w14:paraId="40FE0B4F" w14:textId="77777777" w:rsidR="00ED6937" w:rsidRDefault="00ED6937" w:rsidP="005C0E93">
      <w:pPr>
        <w:tabs>
          <w:tab w:val="center" w:pos="1701"/>
          <w:tab w:val="center" w:pos="5670"/>
        </w:tabs>
        <w:spacing w:after="60" w:line="264" w:lineRule="auto"/>
        <w:jc w:val="both"/>
        <w:rPr>
          <w:rFonts w:ascii="Arial Narrow" w:hAnsi="Arial Narrow"/>
          <w:b/>
        </w:rPr>
      </w:pPr>
    </w:p>
    <w:p w14:paraId="1F552804" w14:textId="77777777" w:rsidR="00ED6937" w:rsidRDefault="00ED6937" w:rsidP="005C0E93">
      <w:pPr>
        <w:tabs>
          <w:tab w:val="center" w:pos="1701"/>
          <w:tab w:val="center" w:pos="5670"/>
        </w:tabs>
        <w:spacing w:after="60" w:line="264" w:lineRule="auto"/>
        <w:jc w:val="both"/>
        <w:rPr>
          <w:rFonts w:ascii="Arial Narrow" w:hAnsi="Arial Narrow"/>
          <w:b/>
        </w:rPr>
      </w:pPr>
    </w:p>
    <w:p w14:paraId="446D3883" w14:textId="77777777" w:rsidR="00ED6937" w:rsidRDefault="00ED6937" w:rsidP="005C0E93">
      <w:pPr>
        <w:tabs>
          <w:tab w:val="center" w:pos="1701"/>
          <w:tab w:val="center" w:pos="5670"/>
        </w:tabs>
        <w:spacing w:after="60" w:line="264" w:lineRule="auto"/>
        <w:jc w:val="both"/>
        <w:rPr>
          <w:rFonts w:ascii="Arial Narrow" w:hAnsi="Arial Narrow"/>
          <w:b/>
        </w:rPr>
      </w:pPr>
    </w:p>
    <w:p w14:paraId="424C35C2" w14:textId="77777777" w:rsidR="00ED6937" w:rsidRDefault="00ED6937" w:rsidP="005C0E93">
      <w:pPr>
        <w:tabs>
          <w:tab w:val="center" w:pos="1701"/>
          <w:tab w:val="center" w:pos="5670"/>
        </w:tabs>
        <w:spacing w:after="60" w:line="264" w:lineRule="auto"/>
        <w:jc w:val="both"/>
        <w:rPr>
          <w:rFonts w:ascii="Arial Narrow" w:hAnsi="Arial Narrow"/>
          <w:b/>
        </w:rPr>
      </w:pPr>
    </w:p>
    <w:p w14:paraId="1C08CF2F" w14:textId="77777777" w:rsidR="00ED6937" w:rsidRPr="00AD1355" w:rsidRDefault="00ED6937" w:rsidP="005C0E93">
      <w:pPr>
        <w:tabs>
          <w:tab w:val="center" w:pos="1701"/>
          <w:tab w:val="center" w:pos="5670"/>
        </w:tabs>
        <w:spacing w:after="60" w:line="264" w:lineRule="auto"/>
        <w:jc w:val="both"/>
        <w:rPr>
          <w:rFonts w:ascii="Arial Narrow" w:hAnsi="Arial Narrow"/>
          <w:b/>
        </w:rPr>
      </w:pPr>
    </w:p>
    <w:bookmarkEnd w:id="0"/>
    <w:p w14:paraId="32F991E2" w14:textId="77777777" w:rsidR="00ED6937" w:rsidRDefault="00ED6937" w:rsidP="00ED6937">
      <w:pPr>
        <w:pStyle w:val="text-Normlny"/>
        <w:rPr>
          <w:rFonts w:ascii="Calibri" w:eastAsia="Arial Unicode MS" w:hAnsi="Calibri" w:cs="Calibri"/>
          <w:sz w:val="24"/>
          <w:szCs w:val="24"/>
        </w:rPr>
      </w:pPr>
    </w:p>
    <w:p w14:paraId="44B29B98" w14:textId="38E136A1" w:rsidR="00ED6937" w:rsidRPr="006E4847" w:rsidRDefault="00ED6937" w:rsidP="00ED6937">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1307FADA" w14:textId="77777777" w:rsidR="00ED6937" w:rsidRPr="006E4847" w:rsidRDefault="00ED6937" w:rsidP="00ED6937">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42F2E80" w14:textId="77777777" w:rsidR="00ED6937" w:rsidRPr="006E4847" w:rsidRDefault="00ED6937" w:rsidP="00ED6937">
      <w:pPr>
        <w:pStyle w:val="text-Normlny"/>
        <w:rPr>
          <w:rFonts w:ascii="Calibri" w:hAnsi="Calibri" w:cs="Calibri"/>
          <w:sz w:val="24"/>
          <w:szCs w:val="24"/>
        </w:rPr>
      </w:pPr>
    </w:p>
    <w:p w14:paraId="1117ABE9" w14:textId="77777777" w:rsidR="00ED6937" w:rsidRPr="006E4847" w:rsidRDefault="00ED6937" w:rsidP="00ED6937">
      <w:pPr>
        <w:pStyle w:val="text-Normlny"/>
        <w:rPr>
          <w:rFonts w:ascii="Calibri" w:hAnsi="Calibri" w:cs="Calibri"/>
          <w:sz w:val="24"/>
          <w:szCs w:val="24"/>
        </w:rPr>
      </w:pPr>
    </w:p>
    <w:p w14:paraId="542AC117" w14:textId="77777777" w:rsidR="00ED6937" w:rsidRPr="006E4847" w:rsidRDefault="00ED6937" w:rsidP="00ED6937">
      <w:pPr>
        <w:pStyle w:val="text-Normlny"/>
        <w:rPr>
          <w:rFonts w:ascii="Calibri" w:hAnsi="Calibri" w:cs="Calibri"/>
          <w:sz w:val="24"/>
          <w:szCs w:val="24"/>
        </w:rPr>
      </w:pPr>
    </w:p>
    <w:p w14:paraId="073E7915" w14:textId="77777777" w:rsidR="00ED6937" w:rsidRPr="006E4847" w:rsidRDefault="00ED6937" w:rsidP="00ED6937">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02B7D96C" w14:textId="77777777" w:rsidR="00ED6937" w:rsidRPr="006E4847" w:rsidRDefault="00ED6937" w:rsidP="00ED6937">
      <w:pPr>
        <w:pStyle w:val="text-Normlny"/>
        <w:rPr>
          <w:rFonts w:ascii="Calibri" w:hAnsi="Calibri" w:cs="Calibri"/>
          <w:sz w:val="24"/>
          <w:szCs w:val="24"/>
        </w:rPr>
      </w:pPr>
    </w:p>
    <w:p w14:paraId="621CBFF3" w14:textId="77777777" w:rsidR="00ED6937" w:rsidRPr="006E4847" w:rsidRDefault="00ED6937" w:rsidP="00ED6937">
      <w:pPr>
        <w:pStyle w:val="text-Normlny"/>
        <w:rPr>
          <w:rFonts w:ascii="Calibri" w:hAnsi="Calibri" w:cs="Calibri"/>
          <w:sz w:val="24"/>
          <w:szCs w:val="24"/>
        </w:rPr>
      </w:pPr>
    </w:p>
    <w:p w14:paraId="03FCC492" w14:textId="77777777" w:rsidR="00ED6937" w:rsidRPr="006E4847" w:rsidRDefault="00ED6937" w:rsidP="00ED6937">
      <w:pPr>
        <w:pStyle w:val="text-Normlny"/>
        <w:rPr>
          <w:rFonts w:ascii="Calibri" w:hAnsi="Calibri" w:cs="Calibri"/>
          <w:sz w:val="24"/>
          <w:szCs w:val="24"/>
        </w:rPr>
      </w:pPr>
    </w:p>
    <w:p w14:paraId="298EAA53" w14:textId="7636B040" w:rsidR="005C0E93" w:rsidRPr="00ED6937" w:rsidRDefault="00ED6937" w:rsidP="00ED6937">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sectPr w:rsidR="005C0E93" w:rsidRPr="00ED6937"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F1D9" w14:textId="77777777" w:rsidR="009758BD" w:rsidRDefault="009758BD">
      <w:r>
        <w:separator/>
      </w:r>
    </w:p>
  </w:endnote>
  <w:endnote w:type="continuationSeparator" w:id="0">
    <w:p w14:paraId="48A51200" w14:textId="77777777" w:rsidR="009758BD" w:rsidRDefault="0097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8076" w14:textId="77777777" w:rsidR="009758BD" w:rsidRDefault="009758BD">
      <w:r>
        <w:separator/>
      </w:r>
    </w:p>
  </w:footnote>
  <w:footnote w:type="continuationSeparator" w:id="0">
    <w:p w14:paraId="06627F23" w14:textId="77777777" w:rsidR="009758BD" w:rsidRDefault="0097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3385"/>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00FC"/>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18A0"/>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37010"/>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0FBC"/>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3CAD"/>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378"/>
    <w:rsid w:val="00790A4F"/>
    <w:rsid w:val="00790D3B"/>
    <w:rsid w:val="007914AA"/>
    <w:rsid w:val="00791DDE"/>
    <w:rsid w:val="00792091"/>
    <w:rsid w:val="00794E50"/>
    <w:rsid w:val="00794E89"/>
    <w:rsid w:val="00797023"/>
    <w:rsid w:val="007A333B"/>
    <w:rsid w:val="007A6492"/>
    <w:rsid w:val="007A65DD"/>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758BD"/>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366F"/>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601B"/>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937"/>
    <w:rsid w:val="00ED6DF3"/>
    <w:rsid w:val="00ED7E60"/>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11</Pages>
  <Words>4180</Words>
  <Characters>23830</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22</cp:revision>
  <cp:lastPrinted>2023-10-25T14:10:00Z</cp:lastPrinted>
  <dcterms:created xsi:type="dcterms:W3CDTF">2024-02-19T13:57:00Z</dcterms:created>
  <dcterms:modified xsi:type="dcterms:W3CDTF">2025-07-18T19:51:00Z</dcterms:modified>
</cp:coreProperties>
</file>