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                 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Załącznik nr 7</w:t>
      </w:r>
    </w:p>
    <w:p>
      <w:pPr>
        <w:pStyle w:val="Normal"/>
        <w:suppressAutoHyphens w:val="false"/>
        <w:spacing w:beforeAutospacing="1" w:after="0"/>
        <w:textAlignment w:val="auto"/>
        <w:rPr>
          <w:rFonts w:ascii="Calibri" w:hAnsi="Calibri" w:eastAsia="Times New Roman" w:cs="Calibri"/>
          <w:color w:val="000000"/>
          <w:spacing w:val="1"/>
          <w:kern w:val="0"/>
          <w:sz w:val="26"/>
          <w:szCs w:val="26"/>
          <w:lang w:eastAsia="pl-PL" w:bidi="ar-SA"/>
        </w:rPr>
      </w:pPr>
      <w:r>
        <w:rPr>
          <w:rFonts w:eastAsia="Times New Roman" w:cs="Calibri" w:ascii="Calibri" w:hAnsi="Calibri"/>
          <w:color w:val="000000"/>
          <w:spacing w:val="1"/>
          <w:kern w:val="0"/>
          <w:sz w:val="26"/>
          <w:szCs w:val="26"/>
          <w:lang w:eastAsia="pl-PL" w:bidi="ar-SA"/>
        </w:rPr>
        <w:t>Dotyczy:  Przebudowa drogi os. Leśniczówka w Rzykach</w:t>
      </w:r>
    </w:p>
    <w:p>
      <w:pPr>
        <w:pStyle w:val="Normal"/>
        <w:numPr>
          <w:ilvl w:val="0"/>
          <w:numId w:val="2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5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Nr referencyjny: BZP.271.27.2025</w:t>
      </w:r>
    </w:p>
    <w:p>
      <w:pPr>
        <w:pStyle w:val="Normal"/>
        <w:spacing w:lineRule="auto" w:line="360"/>
        <w:ind w:firstLine="22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360"/>
        <w:ind w:firstLine="1134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(nazwa Podmiotu)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(nazwa Wykonawcy/ -ów)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/>
        <w:ind w:firstLine="4536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/>
        <w:ind w:hanging="0" w:left="4536" w:right="227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eastAsia="Calibri" w:cs="Calibri" w:ascii="Calibri" w:hAnsi="Calibri" w:asciiTheme="minorHAnsi" w:cstheme="minorHAnsi" w:hAnsiTheme="minorHAnsi"/>
          <w:color w:val="00000A"/>
          <w:kern w:val="0"/>
          <w:sz w:val="26"/>
          <w:szCs w:val="26"/>
          <w:lang w:eastAsia="en-US" w:bidi="ar-SA"/>
        </w:rPr>
        <w:t>podpis Podmiotu udostępniającego zasoby/ osoby upoważnionej do reprezentacji Podmiotu udostępniającego zasoby -(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kwalifikowany podpis elektroniczny lub podpis zaufany lub podpis osobisty)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/>
          <w:iCs/>
          <w:sz w:val="26"/>
          <w:szCs w:val="26"/>
        </w:rPr>
        <w:t>*zaznaczyć właściwe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417" w:right="1139" w:gutter="0" w:header="870" w:top="2306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723900</wp:posOffset>
          </wp:positionH>
          <wp:positionV relativeFrom="paragraph">
            <wp:posOffset>-293370</wp:posOffset>
          </wp:positionV>
          <wp:extent cx="4704080" cy="88582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0408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BodyText"/>
      <w:spacing w:lineRule="auto" w:line="288" w:before="0" w:after="1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 w:customStyle="1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 w:customStyle="1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 w:customStyle="1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 w:customStyle="1">
    <w:name w:val="Domyślna czcionka akapitu6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rsid w:val="001a70c0"/>
    <w:pPr>
      <w:spacing w:lineRule="auto" w:line="288" w:before="0" w:after="140"/>
    </w:pPr>
    <w:rPr/>
  </w:style>
  <w:style w:type="paragraph" w:styleId="List">
    <w:name w:val="List"/>
    <w:basedOn w:val="BodyText"/>
    <w:rsid w:val="001a70c0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</w:pPr>
    <w:rPr>
      <w:rFonts w:ascii="Liberation Serif;Times New Roman" w:hAnsi="Liberation Serif;Times New Roman"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rsid w:val="001a70c0"/>
    <w:pPr>
      <w:suppressLineNumbers/>
    </w:pPr>
    <w:rPr>
      <w:rFonts w:cs="Mangal"/>
    </w:rPr>
  </w:style>
  <w:style w:type="paragraph" w:styleId="Gwkaistopkauser" w:customStyle="1">
    <w:name w:val="Główka i stopka (user)"/>
    <w:basedOn w:val="Normal"/>
    <w:qFormat/>
    <w:rsid w:val="001a70c0"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1a70c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BodyText"/>
    <w:uiPriority w:val="99"/>
    <w:unhideWhenUsed/>
    <w:qFormat/>
    <w:rsid w:val="00775c6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Textbody"/>
    <w:qFormat/>
    <w:pPr/>
    <w:rPr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hanging="0" w:left="284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 w:customStyle="1">
    <w:name w:val="Standardowy1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 w:customStyle="1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LibreOffice/25.2.5.1$Windows_X86_64 LibreOffice_project/484541f705153d4ff78284873b0153c3e5a280db</Application>
  <AppVersion>15.0000</AppVersion>
  <Pages>3</Pages>
  <Words>173</Words>
  <Characters>1312</Characters>
  <CharactersWithSpaces>1483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2025-03-19T12:33:00Z</dcterms:created>
  <dc:creator>joanna.lachendro</dc:creator>
  <dc:description/>
  <dc:language>pl-PL</dc:language>
  <cp:lastModifiedBy/>
  <cp:lastPrinted>2024-03-22T08:57:00Z</cp:lastPrinted>
  <dcterms:modified xsi:type="dcterms:W3CDTF">2025-08-13T13:25:10Z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