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1394D57B" w:rsidR="000B5E9A" w:rsidRPr="007D28EF" w:rsidRDefault="00C55408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Vzorová </w:t>
      </w:r>
      <w:r w:rsidR="00851F7D"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29A8CE0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zákazka </w:t>
      </w:r>
      <w:r w:rsidR="00400F43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....................................</w:t>
      </w:r>
      <w:r w:rsidR="0079080B" w:rsidRPr="000A4BE1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 - výzva na</w:t>
      </w:r>
      <w:r w:rsidR="00A356EC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 </w:t>
      </w:r>
      <w:r w:rsidR="0079080B" w:rsidRPr="000A4BE1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predkladanie ponúk č. </w:t>
      </w:r>
      <w:r w:rsidR="00400F43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........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400F43">
        <w:rPr>
          <w:rFonts w:ascii="Times New Roman" w:hAnsi="Times New Roman"/>
          <w:sz w:val="24"/>
          <w:szCs w:val="24"/>
        </w:rPr>
        <w:t>.................</w:t>
      </w:r>
      <w:r w:rsidR="00544034" w:rsidRPr="000A4BE1">
        <w:rPr>
          <w:rFonts w:ascii="Times New Roman" w:hAnsi="Times New Roman"/>
          <w:sz w:val="24"/>
          <w:szCs w:val="24"/>
        </w:rPr>
        <w:t xml:space="preserve"> dňa </w:t>
      </w:r>
      <w:r w:rsidR="00400F43">
        <w:rPr>
          <w:rFonts w:ascii="Times New Roman" w:hAnsi="Times New Roman"/>
          <w:sz w:val="24"/>
          <w:szCs w:val="24"/>
        </w:rPr>
        <w:t>..................</w:t>
      </w:r>
      <w:r w:rsidR="00544034" w:rsidRPr="000A4BE1">
        <w:rPr>
          <w:rFonts w:ascii="Times New Roman" w:hAnsi="Times New Roman"/>
          <w:sz w:val="24"/>
          <w:szCs w:val="24"/>
        </w:rPr>
        <w:t xml:space="preserve"> pod značkou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400F43">
        <w:rPr>
          <w:rFonts w:ascii="Times New Roman" w:hAnsi="Times New Roman"/>
          <w:sz w:val="24"/>
          <w:szCs w:val="24"/>
        </w:rPr>
        <w:t>.......................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400F43">
        <w:rPr>
          <w:rFonts w:ascii="Times New Roman" w:hAnsi="Times New Roman"/>
          <w:sz w:val="24"/>
          <w:szCs w:val="24"/>
        </w:rPr>
        <w:t>.........................</w:t>
      </w:r>
      <w:r w:rsidR="00544034" w:rsidRPr="00544034">
        <w:rPr>
          <w:rFonts w:ascii="Times New Roman" w:hAnsi="Times New Roman"/>
          <w:sz w:val="24"/>
          <w:szCs w:val="24"/>
        </w:rPr>
        <w:t xml:space="preserve"> pod číslom </w:t>
      </w:r>
      <w:r w:rsidR="00400F43">
        <w:rPr>
          <w:rFonts w:ascii="Times New Roman" w:hAnsi="Times New Roman"/>
          <w:sz w:val="24"/>
          <w:szCs w:val="24"/>
        </w:rPr>
        <w:t>......................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A9653D8" w14:textId="26B36B44" w:rsidR="001538A2" w:rsidRPr="001538A2" w:rsidRDefault="001538A2" w:rsidP="001538A2">
      <w:pPr>
        <w:spacing w:after="120"/>
        <w:ind w:left="709"/>
        <w:jc w:val="both"/>
        <w:rPr>
          <w:rFonts w:ascii="Times New Roman" w:hAnsi="Times New Roman"/>
          <w:bCs/>
          <w:i/>
          <w:iCs/>
          <w:color w:val="EE0000"/>
          <w:sz w:val="24"/>
          <w:szCs w:val="24"/>
        </w:rPr>
      </w:pPr>
      <w:r w:rsidRPr="001538A2">
        <w:rPr>
          <w:rFonts w:ascii="Times New Roman" w:hAnsi="Times New Roman"/>
          <w:bCs/>
          <w:i/>
          <w:iCs/>
          <w:color w:val="EE0000"/>
          <w:sz w:val="24"/>
          <w:szCs w:val="24"/>
        </w:rPr>
        <w:t>Ak budú predmetom dodania samostatné licencie, bude uvedené:</w:t>
      </w:r>
    </w:p>
    <w:p w14:paraId="06AA46EC" w14:textId="2B6088CC" w:rsidR="001538A2" w:rsidRDefault="001538A2" w:rsidP="001538A2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>Predmetom dodania (Tovar) sú licencie</w:t>
      </w:r>
      <w:r w:rsidR="00FA16EB">
        <w:rPr>
          <w:rFonts w:ascii="Times New Roman" w:hAnsi="Times New Roman"/>
          <w:sz w:val="24"/>
          <w:szCs w:val="24"/>
        </w:rPr>
        <w:t xml:space="preserve"> k softwaru</w:t>
      </w:r>
      <w:r w:rsidRPr="004C0114">
        <w:rPr>
          <w:rFonts w:ascii="Times New Roman" w:hAnsi="Times New Roman"/>
          <w:sz w:val="24"/>
          <w:szCs w:val="24"/>
        </w:rPr>
        <w:t xml:space="preserve"> uvedené v Prílohe (ďalej len „</w:t>
      </w:r>
      <w:r>
        <w:rPr>
          <w:rFonts w:ascii="Times New Roman" w:hAnsi="Times New Roman"/>
          <w:sz w:val="24"/>
          <w:szCs w:val="24"/>
        </w:rPr>
        <w:t>Licencie</w:t>
      </w:r>
      <w:r w:rsidRPr="004C0114">
        <w:rPr>
          <w:rFonts w:ascii="Times New Roman" w:hAnsi="Times New Roman"/>
          <w:sz w:val="24"/>
          <w:szCs w:val="24"/>
        </w:rPr>
        <w:t>“), ktoré môže Objednávateľ užívať na území Slovenskej republiky a</w:t>
      </w:r>
      <w:r w:rsidR="00A356EC"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zastupiteľských úradoch Slovenskej republiky, na ktorých sa nachádzajú systémy, ku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 xml:space="preserve">ktorým sa </w:t>
      </w:r>
      <w:r>
        <w:rPr>
          <w:rFonts w:ascii="Times New Roman" w:hAnsi="Times New Roman"/>
          <w:sz w:val="24"/>
          <w:szCs w:val="24"/>
        </w:rPr>
        <w:t>Licencie</w:t>
      </w:r>
      <w:r w:rsidRPr="004C0114">
        <w:rPr>
          <w:rFonts w:ascii="Times New Roman" w:hAnsi="Times New Roman"/>
          <w:sz w:val="24"/>
          <w:szCs w:val="24"/>
        </w:rPr>
        <w:t xml:space="preserve"> poskytuj</w:t>
      </w:r>
      <w:r>
        <w:rPr>
          <w:rFonts w:ascii="Times New Roman" w:hAnsi="Times New Roman"/>
          <w:sz w:val="24"/>
          <w:szCs w:val="24"/>
        </w:rPr>
        <w:t>ú</w:t>
      </w:r>
      <w:r w:rsidRPr="004C0114">
        <w:rPr>
          <w:rFonts w:ascii="Times New Roman" w:hAnsi="Times New Roman"/>
          <w:sz w:val="24"/>
          <w:szCs w:val="24"/>
        </w:rPr>
        <w:t>.</w:t>
      </w:r>
    </w:p>
    <w:p w14:paraId="3DA2ACD9" w14:textId="14829ADD" w:rsidR="001538A2" w:rsidRPr="001538A2" w:rsidRDefault="001538A2" w:rsidP="001538A2">
      <w:pPr>
        <w:spacing w:after="120"/>
        <w:ind w:left="709"/>
        <w:jc w:val="both"/>
        <w:rPr>
          <w:rFonts w:ascii="Times New Roman" w:hAnsi="Times New Roman"/>
          <w:i/>
          <w:iCs/>
          <w:color w:val="EE0000"/>
          <w:sz w:val="24"/>
          <w:szCs w:val="24"/>
        </w:rPr>
      </w:pPr>
      <w:r w:rsidRPr="001538A2">
        <w:rPr>
          <w:rFonts w:ascii="Times New Roman" w:hAnsi="Times New Roman"/>
          <w:i/>
          <w:iCs/>
          <w:color w:val="EE0000"/>
          <w:sz w:val="24"/>
          <w:szCs w:val="24"/>
        </w:rPr>
        <w:t>Ak bude predmetom dodania samostatná podpora, bude uvedené:</w:t>
      </w:r>
    </w:p>
    <w:p w14:paraId="7BB6BAD5" w14:textId="58B15911" w:rsidR="001538A2" w:rsidRDefault="001538A2" w:rsidP="001538A2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lastRenderedPageBreak/>
        <w:t xml:space="preserve">Predmetom dodania (Tovar) </w:t>
      </w:r>
      <w:r>
        <w:rPr>
          <w:rFonts w:ascii="Times New Roman" w:hAnsi="Times New Roman"/>
          <w:sz w:val="24"/>
          <w:szCs w:val="24"/>
        </w:rPr>
        <w:t>je podpora</w:t>
      </w:r>
      <w:r w:rsidRPr="004C0114">
        <w:rPr>
          <w:rFonts w:ascii="Times New Roman" w:hAnsi="Times New Roman"/>
          <w:sz w:val="24"/>
          <w:szCs w:val="24"/>
        </w:rPr>
        <w:t xml:space="preserve"> </w:t>
      </w:r>
      <w:r w:rsidR="00FA16EB">
        <w:rPr>
          <w:rFonts w:ascii="Times New Roman" w:hAnsi="Times New Roman"/>
          <w:sz w:val="24"/>
          <w:szCs w:val="24"/>
        </w:rPr>
        <w:t xml:space="preserve">k softwaru </w:t>
      </w:r>
      <w:r w:rsidRPr="004C0114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4C0114">
        <w:rPr>
          <w:rFonts w:ascii="Times New Roman" w:hAnsi="Times New Roman"/>
          <w:sz w:val="24"/>
          <w:szCs w:val="24"/>
        </w:rPr>
        <w:t xml:space="preserve"> v Prílohe (ďalej</w:t>
      </w:r>
      <w:r w:rsidR="00A356EC"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len „</w:t>
      </w:r>
      <w:r>
        <w:rPr>
          <w:rFonts w:ascii="Times New Roman" w:hAnsi="Times New Roman"/>
          <w:sz w:val="24"/>
          <w:szCs w:val="24"/>
        </w:rPr>
        <w:t>Podpora</w:t>
      </w:r>
      <w:r w:rsidRPr="004C0114">
        <w:rPr>
          <w:rFonts w:ascii="Times New Roman" w:hAnsi="Times New Roman"/>
          <w:sz w:val="24"/>
          <w:szCs w:val="24"/>
        </w:rPr>
        <w:t>“), ktor</w:t>
      </w:r>
      <w:r>
        <w:rPr>
          <w:rFonts w:ascii="Times New Roman" w:hAnsi="Times New Roman"/>
          <w:sz w:val="24"/>
          <w:szCs w:val="24"/>
        </w:rPr>
        <w:t>ú</w:t>
      </w:r>
      <w:r w:rsidRPr="004C0114">
        <w:rPr>
          <w:rFonts w:ascii="Times New Roman" w:hAnsi="Times New Roman"/>
          <w:sz w:val="24"/>
          <w:szCs w:val="24"/>
        </w:rPr>
        <w:t xml:space="preserve"> môže Objednávateľ užívať na území Slovenskej republiky a</w:t>
      </w:r>
      <w:r w:rsidR="00A356EC"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zastupiteľských úradoch Slovenskej republiky, na ktorých sa nachádzajú systémy, ku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ktorým sa Podpora poskytuje.</w:t>
      </w:r>
    </w:p>
    <w:p w14:paraId="363F886C" w14:textId="3F2AD102" w:rsidR="001538A2" w:rsidRPr="001538A2" w:rsidRDefault="00A04D0F" w:rsidP="001538A2">
      <w:pPr>
        <w:ind w:left="709"/>
        <w:jc w:val="both"/>
        <w:rPr>
          <w:rFonts w:ascii="Times New Roman" w:hAnsi="Times New Roman"/>
          <w:bCs/>
          <w:i/>
          <w:iCs/>
          <w:color w:val="EE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EE0000"/>
          <w:sz w:val="24"/>
          <w:szCs w:val="24"/>
        </w:rPr>
        <w:t>Zodpovedajúcim spôsobom</w:t>
      </w:r>
      <w:r w:rsidR="001538A2" w:rsidRPr="001538A2">
        <w:rPr>
          <w:rFonts w:ascii="Times New Roman" w:hAnsi="Times New Roman"/>
          <w:bCs/>
          <w:i/>
          <w:iCs/>
          <w:color w:val="EE0000"/>
          <w:sz w:val="24"/>
          <w:szCs w:val="24"/>
        </w:rPr>
        <w:t xml:space="preserve"> bude upravený názov Zmluvy a </w:t>
      </w:r>
      <w:r>
        <w:rPr>
          <w:rFonts w:ascii="Times New Roman" w:hAnsi="Times New Roman"/>
          <w:bCs/>
          <w:i/>
          <w:iCs/>
          <w:color w:val="EE0000"/>
          <w:sz w:val="24"/>
          <w:szCs w:val="24"/>
        </w:rPr>
        <w:t>príslušná</w:t>
      </w:r>
      <w:r w:rsidR="001538A2" w:rsidRPr="001538A2">
        <w:rPr>
          <w:rFonts w:ascii="Times New Roman" w:hAnsi="Times New Roman"/>
          <w:bCs/>
          <w:i/>
          <w:iCs/>
          <w:color w:val="EE0000"/>
          <w:sz w:val="24"/>
          <w:szCs w:val="24"/>
        </w:rPr>
        <w:t xml:space="preserve"> zmluvná skratka v celom texte Zmluvy.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240824C4" w14:textId="786AA5A3" w:rsidR="00926B93" w:rsidRPr="00926B93" w:rsidRDefault="00926B93" w:rsidP="00926B93">
      <w:pPr>
        <w:ind w:left="709"/>
        <w:jc w:val="both"/>
        <w:rPr>
          <w:rFonts w:ascii="Times New Roman" w:hAnsi="Times New Roman"/>
          <w:i/>
          <w:iCs/>
          <w:color w:val="EE0000"/>
          <w:sz w:val="24"/>
          <w:szCs w:val="24"/>
        </w:rPr>
      </w:pPr>
      <w:r w:rsidRPr="00926B93">
        <w:rPr>
          <w:rFonts w:ascii="Times New Roman" w:hAnsi="Times New Roman"/>
          <w:i/>
          <w:iCs/>
          <w:color w:val="EE0000"/>
          <w:sz w:val="24"/>
          <w:szCs w:val="24"/>
        </w:rPr>
        <w:t xml:space="preserve">Ak </w:t>
      </w:r>
      <w:r w:rsidR="005F6D77">
        <w:rPr>
          <w:rFonts w:ascii="Times New Roman" w:hAnsi="Times New Roman"/>
          <w:i/>
          <w:iCs/>
          <w:color w:val="EE0000"/>
          <w:sz w:val="24"/>
          <w:szCs w:val="24"/>
        </w:rPr>
        <w:t>D</w:t>
      </w:r>
      <w:r w:rsidRPr="00926B93">
        <w:rPr>
          <w:rFonts w:ascii="Times New Roman" w:hAnsi="Times New Roman"/>
          <w:i/>
          <w:iCs/>
          <w:color w:val="EE0000"/>
          <w:sz w:val="24"/>
          <w:szCs w:val="24"/>
        </w:rPr>
        <w:t>odávateľ pri plnení predmetu Zmluvy bude spracúvať v mene Objednávateľa osobné údaje, bude ďalej uvedené:</w:t>
      </w:r>
    </w:p>
    <w:p w14:paraId="602D7AFD" w14:textId="13B322E3" w:rsidR="00926B93" w:rsidRDefault="00926B9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6B93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Dodáva</w:t>
      </w:r>
      <w:r w:rsidRPr="00926B93">
        <w:rPr>
          <w:rFonts w:ascii="Times New Roman" w:hAnsi="Times New Roman"/>
          <w:sz w:val="24"/>
          <w:szCs w:val="24"/>
        </w:rPr>
        <w:t>teľ pri plnení predmetu Zmluvy bude spracúvať v mene Objednávateľa osobné údaje, a teda bude vystupovať v postavení sprostredkovateľa v zmysle čl.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ods.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 xml:space="preserve">8 nariadenia Európskeho parlamentu a Rady (EÚ) 2016/679 z 27. apríla 2016 o ochrane fyzických osôb pri spracúvaní osobných údajov a o voľnom pohybe takýchto údajov, ktorým sa zrušuje smernica 95/46/ES (všeobecné nariadenie o ochrane údajov), (ďalej len „GDPR“)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26B93">
        <w:rPr>
          <w:rFonts w:ascii="Times New Roman" w:hAnsi="Times New Roman"/>
          <w:sz w:val="24"/>
          <w:szCs w:val="24"/>
        </w:rPr>
        <w:t>čl. 28 GDPR, Zmluvné strany sa zaväzujú uzatvoriť zmluvu o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poverení spracúvaním osobných údajov v zmysle článku 28 GDPR, a to súčasne s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uzatvorením Zmluvy alebo pred uzatvorením Zmluvy, pričom musia byť splnené všetky obsahové náležitosti podľa čl. 28 ods. 3, 4 a 9 GDPR. V zmluve o poverení spracúvaním osobných údajov podľa predchádzajúcej vety Zmluvné strany vymedzia predmet a dobu spracúvania osobných údajov, povahu a účel spracúvania, zoznam alebo rozsah osobných údajov, kategórie dotknutých osôb a povinnosti a práva Objednávateľa ako prevádzkovateľa, ako i ustanovia ďalšie práva a povinnosti v zmysle GDPR a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 xml:space="preserve">ohľadom na predmet </w:t>
      </w:r>
      <w:r w:rsidR="00D82C5B">
        <w:rPr>
          <w:rFonts w:ascii="Times New Roman" w:hAnsi="Times New Roman"/>
          <w:sz w:val="24"/>
          <w:szCs w:val="24"/>
        </w:rPr>
        <w:t>Z</w:t>
      </w:r>
      <w:r w:rsidRPr="00926B93">
        <w:rPr>
          <w:rFonts w:ascii="Times New Roman" w:hAnsi="Times New Roman"/>
          <w:sz w:val="24"/>
          <w:szCs w:val="24"/>
        </w:rPr>
        <w:t>mluvy.</w:t>
      </w:r>
    </w:p>
    <w:p w14:paraId="359FA8E4" w14:textId="2A75706A" w:rsidR="00926B93" w:rsidRDefault="00926B9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6B93">
        <w:rPr>
          <w:rFonts w:ascii="Times New Roman" w:hAnsi="Times New Roman"/>
          <w:sz w:val="24"/>
          <w:szCs w:val="24"/>
        </w:rPr>
        <w:t xml:space="preserve">Zmluvné strany sú povinné zaviazať mlčanlivosťou o osobných údajoch fyzické osoby, ktoré prídu do styku s osobnými údajmi, pričom povinnosť mlčanlivosti trvá aj po skončení pracovného pomeru, štátnozamestnaneckého pomeru alebo obdobného pracovného vzťahu fyzických osôb. </w:t>
      </w:r>
      <w:r>
        <w:rPr>
          <w:rFonts w:ascii="Times New Roman" w:hAnsi="Times New Roman"/>
          <w:sz w:val="24"/>
          <w:szCs w:val="24"/>
        </w:rPr>
        <w:t>Dodáva</w:t>
      </w:r>
      <w:r w:rsidRPr="00926B93">
        <w:rPr>
          <w:rFonts w:ascii="Times New Roman" w:hAnsi="Times New Roman"/>
          <w:sz w:val="24"/>
          <w:szCs w:val="24"/>
        </w:rPr>
        <w:t xml:space="preserve">teľ má povinnosť zaviazať mlčanlivosťou všetky ním poverené oprávnené osoby, ktoré v rámci </w:t>
      </w:r>
      <w:r>
        <w:rPr>
          <w:rFonts w:ascii="Times New Roman" w:hAnsi="Times New Roman"/>
          <w:sz w:val="24"/>
          <w:szCs w:val="24"/>
        </w:rPr>
        <w:t>plnenia predmetu</w:t>
      </w:r>
      <w:r w:rsidRPr="00926B93">
        <w:rPr>
          <w:rFonts w:ascii="Times New Roman" w:hAnsi="Times New Roman"/>
          <w:sz w:val="24"/>
          <w:szCs w:val="24"/>
        </w:rPr>
        <w:t xml:space="preserve"> Zmluvy prídu, alebo môžu prísť do kontaktu s osobnými údajmi dotknutých osôb.</w:t>
      </w:r>
    </w:p>
    <w:p w14:paraId="4E3E3335" w14:textId="48A3F59B" w:rsidR="00926B93" w:rsidRDefault="00926B9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6B93">
        <w:rPr>
          <w:rFonts w:ascii="Times New Roman" w:hAnsi="Times New Roman"/>
          <w:sz w:val="24"/>
          <w:szCs w:val="24"/>
        </w:rPr>
        <w:lastRenderedPageBreak/>
        <w:t>Zmluvné strany sú povinné zachovávať mlčanlivosť o informáciách, ktoré získali v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 xml:space="preserve">súvislosti s plnením predmetu Zmluvy a získané výsledky nesmú ďalej použiť na iné účely ako plnenie predmetu Zmluvy, okrem prípadu poskytnutia informácií odborným poradcom </w:t>
      </w:r>
      <w:r>
        <w:rPr>
          <w:rFonts w:ascii="Times New Roman" w:hAnsi="Times New Roman"/>
          <w:sz w:val="24"/>
          <w:szCs w:val="24"/>
        </w:rPr>
        <w:t>Dodáva</w:t>
      </w:r>
      <w:r w:rsidRPr="00926B93">
        <w:rPr>
          <w:rFonts w:ascii="Times New Roman" w:hAnsi="Times New Roman"/>
          <w:sz w:val="24"/>
          <w:szCs w:val="24"/>
        </w:rPr>
        <w:t>teľa alebo Objednávateľa (vrátane právnych, účtovných, daňových a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iných poradcov alebo audítorov), ktorí sú viazaní všeobecnou povinnosťou mlčanlivosti na základe osobitných právnych predpisov alebo sú povinní zachovávať mlčanlivosť na základe písomnej dohody s dotknutou Zmluvnou stranou, alebo subdodávateľom, ak sa subdodávateľ podieľa na plnení predmetu Zmluvy,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ak</w:t>
      </w:r>
      <w:r w:rsidR="00A356EC"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je</w:t>
      </w:r>
      <w:r w:rsidR="00A356EC"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 xml:space="preserve">potrebné na účely plnenia povinností </w:t>
      </w:r>
      <w:r>
        <w:rPr>
          <w:rFonts w:ascii="Times New Roman" w:hAnsi="Times New Roman"/>
          <w:sz w:val="24"/>
          <w:szCs w:val="24"/>
        </w:rPr>
        <w:t>Dodáva</w:t>
      </w:r>
      <w:r w:rsidRPr="00926B93">
        <w:rPr>
          <w:rFonts w:ascii="Times New Roman" w:hAnsi="Times New Roman"/>
          <w:sz w:val="24"/>
          <w:szCs w:val="24"/>
        </w:rPr>
        <w:t>teľa podľa Zmluvy.</w:t>
      </w:r>
    </w:p>
    <w:p w14:paraId="36B741DF" w14:textId="3B054430" w:rsidR="00926B93" w:rsidRDefault="00926B93" w:rsidP="00741B48">
      <w:pPr>
        <w:numPr>
          <w:ilvl w:val="0"/>
          <w:numId w:val="4"/>
        </w:numPr>
        <w:tabs>
          <w:tab w:val="num" w:pos="70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6B93">
        <w:rPr>
          <w:rFonts w:ascii="Times New Roman" w:hAnsi="Times New Roman"/>
          <w:sz w:val="24"/>
          <w:szCs w:val="24"/>
        </w:rPr>
        <w:t xml:space="preserve">Povinnosť </w:t>
      </w:r>
      <w:r>
        <w:rPr>
          <w:rFonts w:ascii="Times New Roman" w:hAnsi="Times New Roman"/>
          <w:sz w:val="24"/>
          <w:szCs w:val="24"/>
        </w:rPr>
        <w:t>Dodáva</w:t>
      </w:r>
      <w:r w:rsidRPr="00926B93">
        <w:rPr>
          <w:rFonts w:ascii="Times New Roman" w:hAnsi="Times New Roman"/>
          <w:sz w:val="24"/>
          <w:szCs w:val="24"/>
        </w:rPr>
        <w:t>teľa a Objednávateľa zachovávať mlčanlivosť o informáciách, ktoré získali v súvislosti s plnením predmetu Zmluvy sa nevzťahuje na informácie, ktoré:</w:t>
      </w:r>
    </w:p>
    <w:p w14:paraId="49BCC864" w14:textId="77777777" w:rsidR="00741B48" w:rsidRDefault="00741B48" w:rsidP="00741B48">
      <w:pPr>
        <w:pStyle w:val="Odsekzoznamu"/>
        <w:numPr>
          <w:ilvl w:val="0"/>
          <w:numId w:val="46"/>
        </w:numPr>
        <w:spacing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B93">
        <w:rPr>
          <w:rFonts w:ascii="Times New Roman" w:hAnsi="Times New Roman"/>
          <w:sz w:val="24"/>
          <w:szCs w:val="24"/>
        </w:rPr>
        <w:t>boli zverejnené už pred podpisom Zmluvy</w:t>
      </w:r>
      <w:r>
        <w:rPr>
          <w:rFonts w:ascii="Times New Roman" w:hAnsi="Times New Roman"/>
          <w:sz w:val="24"/>
          <w:szCs w:val="24"/>
        </w:rPr>
        <w:t>,</w:t>
      </w:r>
    </w:p>
    <w:p w14:paraId="6A6086C8" w14:textId="32FE5640" w:rsidR="00741B48" w:rsidRDefault="00741B48" w:rsidP="00741B48">
      <w:pPr>
        <w:pStyle w:val="Odsekzoznamu"/>
        <w:numPr>
          <w:ilvl w:val="0"/>
          <w:numId w:val="46"/>
        </w:numPr>
        <w:spacing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26B93">
        <w:rPr>
          <w:rFonts w:ascii="Times New Roman" w:hAnsi="Times New Roman"/>
          <w:sz w:val="24"/>
          <w:szCs w:val="24"/>
        </w:rPr>
        <w:t>a stanú všeobecne a verejne dostupné po podpise Zmluvy z iného dôvodu ako z</w:t>
      </w:r>
      <w:r w:rsidR="00A356EC"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 xml:space="preserve">dôvodu porušenia povinností podľa Zmluvy; povinnosť zachovávať mlčanlivosť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926B93">
        <w:rPr>
          <w:rFonts w:ascii="Times New Roman" w:hAnsi="Times New Roman"/>
          <w:sz w:val="24"/>
          <w:szCs w:val="24"/>
        </w:rPr>
        <w:t>podľa tohto ustanovenia uplatňuje do momentu zverejnenia na</w:t>
      </w:r>
      <w:r>
        <w:rPr>
          <w:rFonts w:ascii="Times New Roman" w:hAnsi="Times New Roman"/>
          <w:sz w:val="24"/>
          <w:szCs w:val="24"/>
        </w:rPr>
        <w:t> </w:t>
      </w:r>
      <w:r w:rsidRPr="00926B93">
        <w:rPr>
          <w:rFonts w:ascii="Times New Roman" w:hAnsi="Times New Roman"/>
          <w:sz w:val="24"/>
          <w:szCs w:val="24"/>
        </w:rPr>
        <w:t>základe podpisu Zmluvy alebo do iného rozhodného momentu, na základe ktorého sa stanú informácie verejnými až daným momentom,</w:t>
      </w:r>
    </w:p>
    <w:p w14:paraId="141F9A6C" w14:textId="4129CBA6" w:rsidR="00741B48" w:rsidRDefault="00741B48" w:rsidP="00741B48">
      <w:pPr>
        <w:pStyle w:val="Odsekzoznamu"/>
        <w:numPr>
          <w:ilvl w:val="0"/>
          <w:numId w:val="46"/>
        </w:numPr>
        <w:spacing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B48">
        <w:rPr>
          <w:rFonts w:ascii="Times New Roman" w:hAnsi="Times New Roman"/>
          <w:sz w:val="24"/>
          <w:szCs w:val="24"/>
        </w:rPr>
        <w:t>majú byť sprístupnené na základe povinnosti stanovenej zákonom, rozhodnutím súdu, prokuratúry alebo na základe iného záväzného rozhodnutia príslušného orgánu; povinnosť zachovávať mlčanlivosť neplatí len voči subjektom voči ktorým to povinnosť stanovená zákonom ustanovuje alebo rozhodnutie prikazuje, voči iným subjektom sa povinnosť mlčanlivosti uplatňuje naďalej, ak</w:t>
      </w:r>
      <w:r>
        <w:rPr>
          <w:rFonts w:ascii="Times New Roman" w:hAnsi="Times New Roman"/>
          <w:sz w:val="24"/>
          <w:szCs w:val="24"/>
        </w:rPr>
        <w:t> </w:t>
      </w:r>
      <w:r w:rsidRPr="00741B48">
        <w:rPr>
          <w:rFonts w:ascii="Times New Roman" w:hAnsi="Times New Roman"/>
          <w:sz w:val="24"/>
          <w:szCs w:val="24"/>
        </w:rPr>
        <w:t>nejde o</w:t>
      </w:r>
      <w:r w:rsidR="00A356EC">
        <w:rPr>
          <w:rFonts w:ascii="Times New Roman" w:hAnsi="Times New Roman"/>
          <w:sz w:val="24"/>
          <w:szCs w:val="24"/>
        </w:rPr>
        <w:t> </w:t>
      </w:r>
      <w:r w:rsidRPr="00741B48">
        <w:rPr>
          <w:rFonts w:ascii="Times New Roman" w:hAnsi="Times New Roman"/>
          <w:sz w:val="24"/>
          <w:szCs w:val="24"/>
        </w:rPr>
        <w:t>zverejnenie, alebo ak jej uplatnenie neumožňuje osobitný predpis v</w:t>
      </w:r>
      <w:r>
        <w:rPr>
          <w:rFonts w:ascii="Times New Roman" w:hAnsi="Times New Roman"/>
          <w:sz w:val="24"/>
          <w:szCs w:val="24"/>
        </w:rPr>
        <w:t> </w:t>
      </w:r>
      <w:r w:rsidRPr="00741B48">
        <w:rPr>
          <w:rFonts w:ascii="Times New Roman" w:hAnsi="Times New Roman"/>
          <w:sz w:val="24"/>
          <w:szCs w:val="24"/>
        </w:rPr>
        <w:t>konkrétnom konaní v zmysle osobitného zákona alebo zákonov,</w:t>
      </w:r>
    </w:p>
    <w:p w14:paraId="1B73ED10" w14:textId="6D791A41" w:rsidR="00741B48" w:rsidRPr="00926B93" w:rsidRDefault="00741B48" w:rsidP="00741B48">
      <w:pPr>
        <w:pStyle w:val="Odsekzoznamu"/>
        <w:numPr>
          <w:ilvl w:val="0"/>
          <w:numId w:val="46"/>
        </w:numPr>
        <w:spacing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B48">
        <w:rPr>
          <w:rFonts w:ascii="Times New Roman" w:hAnsi="Times New Roman"/>
          <w:sz w:val="24"/>
          <w:szCs w:val="24"/>
        </w:rPr>
        <w:t xml:space="preserve">boli získané </w:t>
      </w:r>
      <w:r>
        <w:rPr>
          <w:rFonts w:ascii="Times New Roman" w:hAnsi="Times New Roman"/>
          <w:sz w:val="24"/>
          <w:szCs w:val="24"/>
        </w:rPr>
        <w:t>Dodáva</w:t>
      </w:r>
      <w:r w:rsidRPr="00741B48">
        <w:rPr>
          <w:rFonts w:ascii="Times New Roman" w:hAnsi="Times New Roman"/>
          <w:sz w:val="24"/>
          <w:szCs w:val="24"/>
        </w:rPr>
        <w:t xml:space="preserve">teľom alebo Objednávateľom od tretej strany, ktorá ich legitímne získala alebo vyvinula a ktorá nemá žiadnu povinnosť, ktorá by obmedzovala ich zverejňovanie; zodpovednosť za preverenie a neporušenie povinnosti v tomto prípade nesie v plnej miere </w:t>
      </w:r>
      <w:r w:rsidR="00D82C5B">
        <w:rPr>
          <w:rFonts w:ascii="Times New Roman" w:hAnsi="Times New Roman"/>
          <w:sz w:val="24"/>
          <w:szCs w:val="24"/>
        </w:rPr>
        <w:t>Dodáva</w:t>
      </w:r>
      <w:r w:rsidRPr="00741B48">
        <w:rPr>
          <w:rFonts w:ascii="Times New Roman" w:hAnsi="Times New Roman"/>
          <w:sz w:val="24"/>
          <w:szCs w:val="24"/>
        </w:rPr>
        <w:t>teľ, tak právnu, ako</w:t>
      </w:r>
      <w:r>
        <w:rPr>
          <w:rFonts w:ascii="Times New Roman" w:hAnsi="Times New Roman"/>
          <w:sz w:val="24"/>
          <w:szCs w:val="24"/>
        </w:rPr>
        <w:t> </w:t>
      </w:r>
      <w:r w:rsidRPr="00741B48"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 </w:t>
      </w:r>
      <w:r w:rsidRPr="00741B48">
        <w:rPr>
          <w:rFonts w:ascii="Times New Roman" w:hAnsi="Times New Roman"/>
          <w:sz w:val="24"/>
          <w:szCs w:val="24"/>
        </w:rPr>
        <w:t>finančnú, ak by opomenutím povinnosti alebo zámerne nastala situácia, kedy by na zodpovednosť za porušenie mlčanlivosti bol braný Objednávateľ</w:t>
      </w:r>
      <w:r>
        <w:rPr>
          <w:rFonts w:ascii="Times New Roman" w:hAnsi="Times New Roman"/>
          <w:sz w:val="24"/>
          <w:szCs w:val="24"/>
        </w:rPr>
        <w:t>.</w:t>
      </w:r>
    </w:p>
    <w:p w14:paraId="4CA3472A" w14:textId="0E50D34D" w:rsidR="00741B48" w:rsidRDefault="00741B48" w:rsidP="00741B4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41B48">
        <w:rPr>
          <w:rFonts w:ascii="Times New Roman" w:hAnsi="Times New Roman"/>
          <w:sz w:val="24"/>
          <w:szCs w:val="24"/>
        </w:rPr>
        <w:t>V rozsahu zaisťujúcom splnenie povinnosti mlčanlivosti podľa tohto článku Zmluvy Dodávateľ uzatvorí s každým subdodávateľom dohodu o mlčanlivosti. Dodávateľ vyhlasuje, že oboznámil svojich zamestnancov, ktorí sa budú podieľať na plnení Zmluvy s povinnosťou mlčanlivosti v zmysle Zmluvy.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</w:t>
      </w:r>
      <w:r w:rsidR="00775DF4">
        <w:rPr>
          <w:rFonts w:ascii="Times New Roman" w:hAnsi="Times New Roman"/>
          <w:sz w:val="24"/>
          <w:szCs w:val="24"/>
        </w:rPr>
        <w:lastRenderedPageBreak/>
        <w:t xml:space="preserve">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lastRenderedPageBreak/>
        <w:t xml:space="preserve">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5805C764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sectPr w:rsidR="00410E6E" w:rsidRPr="00096247" w:rsidSect="004C0114"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8F4D" w14:textId="77777777" w:rsidR="00D814E6" w:rsidRDefault="00D814E6">
      <w:pPr>
        <w:spacing w:after="0" w:line="240" w:lineRule="auto"/>
      </w:pPr>
      <w:r>
        <w:separator/>
      </w:r>
    </w:p>
  </w:endnote>
  <w:endnote w:type="continuationSeparator" w:id="0">
    <w:p w14:paraId="0FFEFF2D" w14:textId="77777777" w:rsidR="00D814E6" w:rsidRDefault="00D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B239" w14:textId="77777777" w:rsidR="00D814E6" w:rsidRDefault="00D814E6">
      <w:pPr>
        <w:spacing w:after="0" w:line="240" w:lineRule="auto"/>
      </w:pPr>
      <w:r>
        <w:separator/>
      </w:r>
    </w:p>
  </w:footnote>
  <w:footnote w:type="continuationSeparator" w:id="0">
    <w:p w14:paraId="65F73154" w14:textId="77777777" w:rsidR="00D814E6" w:rsidRDefault="00D8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4DC4717" w:rsidR="005D2DA9" w:rsidRPr="00775DF4" w:rsidRDefault="005D2DA9" w:rsidP="00775D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9"/>
  </w:num>
  <w:num w:numId="2" w16cid:durableId="228421152">
    <w:abstractNumId w:val="45"/>
  </w:num>
  <w:num w:numId="3" w16cid:durableId="1308513335">
    <w:abstractNumId w:val="4"/>
  </w:num>
  <w:num w:numId="4" w16cid:durableId="1155414123">
    <w:abstractNumId w:val="36"/>
  </w:num>
  <w:num w:numId="5" w16cid:durableId="1106149302">
    <w:abstractNumId w:val="22"/>
  </w:num>
  <w:num w:numId="6" w16cid:durableId="1044603061">
    <w:abstractNumId w:val="38"/>
  </w:num>
  <w:num w:numId="7" w16cid:durableId="2075817131">
    <w:abstractNumId w:val="7"/>
  </w:num>
  <w:num w:numId="8" w16cid:durableId="2044940930">
    <w:abstractNumId w:val="42"/>
  </w:num>
  <w:num w:numId="9" w16cid:durableId="135730520">
    <w:abstractNumId w:val="16"/>
  </w:num>
  <w:num w:numId="10" w16cid:durableId="1892425285">
    <w:abstractNumId w:val="37"/>
  </w:num>
  <w:num w:numId="11" w16cid:durableId="2055808719">
    <w:abstractNumId w:val="9"/>
  </w:num>
  <w:num w:numId="12" w16cid:durableId="1709841764">
    <w:abstractNumId w:val="26"/>
  </w:num>
  <w:num w:numId="13" w16cid:durableId="1509758015">
    <w:abstractNumId w:val="35"/>
  </w:num>
  <w:num w:numId="14" w16cid:durableId="1041057973">
    <w:abstractNumId w:val="20"/>
  </w:num>
  <w:num w:numId="15" w16cid:durableId="2063475989">
    <w:abstractNumId w:val="44"/>
  </w:num>
  <w:num w:numId="16" w16cid:durableId="515119526">
    <w:abstractNumId w:val="29"/>
  </w:num>
  <w:num w:numId="17" w16cid:durableId="132410660">
    <w:abstractNumId w:val="25"/>
  </w:num>
  <w:num w:numId="18" w16cid:durableId="191964206">
    <w:abstractNumId w:val="8"/>
  </w:num>
  <w:num w:numId="19" w16cid:durableId="923799572">
    <w:abstractNumId w:val="17"/>
  </w:num>
  <w:num w:numId="20" w16cid:durableId="665211239">
    <w:abstractNumId w:val="5"/>
  </w:num>
  <w:num w:numId="21" w16cid:durableId="784348688">
    <w:abstractNumId w:val="31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4"/>
  </w:num>
  <w:num w:numId="25" w16cid:durableId="847717029">
    <w:abstractNumId w:val="10"/>
  </w:num>
  <w:num w:numId="26" w16cid:durableId="853231777">
    <w:abstractNumId w:val="43"/>
  </w:num>
  <w:num w:numId="27" w16cid:durableId="1240404221">
    <w:abstractNumId w:val="32"/>
  </w:num>
  <w:num w:numId="28" w16cid:durableId="883366988">
    <w:abstractNumId w:val="27"/>
  </w:num>
  <w:num w:numId="29" w16cid:durableId="1549492987">
    <w:abstractNumId w:val="33"/>
  </w:num>
  <w:num w:numId="30" w16cid:durableId="1679769528">
    <w:abstractNumId w:val="30"/>
  </w:num>
  <w:num w:numId="31" w16cid:durableId="1906799681">
    <w:abstractNumId w:val="28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0"/>
  </w:num>
  <w:num w:numId="35" w16cid:durableId="834419892">
    <w:abstractNumId w:val="21"/>
  </w:num>
  <w:num w:numId="36" w16cid:durableId="2140220296">
    <w:abstractNumId w:val="12"/>
  </w:num>
  <w:num w:numId="37" w16cid:durableId="1241986788">
    <w:abstractNumId w:val="24"/>
  </w:num>
  <w:num w:numId="38" w16cid:durableId="1933010734">
    <w:abstractNumId w:val="39"/>
  </w:num>
  <w:num w:numId="39" w16cid:durableId="1335763352">
    <w:abstractNumId w:val="14"/>
  </w:num>
  <w:num w:numId="40" w16cid:durableId="993723531">
    <w:abstractNumId w:val="18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3"/>
  </w:num>
  <w:num w:numId="45" w16cid:durableId="850685413">
    <w:abstractNumId w:val="41"/>
  </w:num>
  <w:num w:numId="46" w16cid:durableId="21956375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2025-11-04T08:40:00Z</dcterms:created>
  <dcterms:modified xsi:type="dcterms:W3CDTF">2025-11-05T15:44:00Z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