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Kategória č. 2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77777777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bookmarkStart w:id="0" w:name="_Hlk160097355"/>
      <w:r w:rsidRPr="00CB13DA">
        <w:rPr>
          <w:rFonts w:ascii="Garamond" w:hAnsi="Garamond"/>
          <w:b/>
          <w:bCs/>
        </w:rPr>
        <w:t>Inžinierske stavby (dopravné stavby, mosty a tunely)</w:t>
      </w:r>
      <w:bookmarkEnd w:id="0"/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09735BC2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1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4" w:name="_Hlk187433598"/>
      <w:bookmarkEnd w:id="2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4"/>
      <w:r w:rsidR="00A45FD2" w:rsidRPr="007E29DE">
        <w:rPr>
          <w:rFonts w:ascii="Garamond" w:hAnsi="Garamond"/>
          <w:b/>
          <w:i/>
          <w:iCs/>
          <w:sz w:val="22"/>
          <w:szCs w:val="22"/>
        </w:rPr>
        <w:t>Rekonštrukcia cesty a mostov II/527 Veľký Krtíš – Sucháň; kumulatívne staničenie km 48,947 – 67,587; V. etapa,  úsek 2. a úsek 3</w:t>
      </w:r>
      <w:r w:rsidR="00A45FD2" w:rsidRPr="001E379D">
        <w:rPr>
          <w:rFonts w:ascii="Garamond" w:hAnsi="Garamond"/>
          <w:b/>
          <w:bCs/>
          <w:sz w:val="22"/>
          <w:szCs w:val="22"/>
        </w:rPr>
        <w:t xml:space="preserve"> </w:t>
      </w:r>
      <w:r w:rsidR="00A45FD2">
        <w:rPr>
          <w:rFonts w:ascii="Garamond" w:hAnsi="Garamond"/>
          <w:b/>
          <w:b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 xml:space="preserve">(Výzva č. </w:t>
      </w:r>
      <w:r w:rsidR="00A45FD2">
        <w:rPr>
          <w:rFonts w:ascii="Garamond" w:hAnsi="Garamond"/>
          <w:b/>
          <w:bCs/>
          <w:sz w:val="22"/>
          <w:szCs w:val="22"/>
        </w:rPr>
        <w:t>40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bookmarkEnd w:id="3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371C" w14:textId="77777777" w:rsidR="00BD7096" w:rsidRDefault="00BD7096" w:rsidP="00014285">
      <w:r>
        <w:separator/>
      </w:r>
    </w:p>
  </w:endnote>
  <w:endnote w:type="continuationSeparator" w:id="0">
    <w:p w14:paraId="38B55FCD" w14:textId="77777777" w:rsidR="00BD7096" w:rsidRDefault="00BD709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9A45" w14:textId="77777777" w:rsidR="00BD7096" w:rsidRDefault="00BD7096" w:rsidP="00014285">
      <w:r>
        <w:separator/>
      </w:r>
    </w:p>
  </w:footnote>
  <w:footnote w:type="continuationSeparator" w:id="0">
    <w:p w14:paraId="0D75E7AE" w14:textId="77777777" w:rsidR="00BD7096" w:rsidRDefault="00BD709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66AD4"/>
    <w:rsid w:val="00383979"/>
    <w:rsid w:val="0048762A"/>
    <w:rsid w:val="00542EF2"/>
    <w:rsid w:val="005A2B4D"/>
    <w:rsid w:val="00642545"/>
    <w:rsid w:val="00694833"/>
    <w:rsid w:val="006F4DE9"/>
    <w:rsid w:val="007B048A"/>
    <w:rsid w:val="007C1411"/>
    <w:rsid w:val="007D2CAA"/>
    <w:rsid w:val="007D329E"/>
    <w:rsid w:val="008C749E"/>
    <w:rsid w:val="009972C6"/>
    <w:rsid w:val="009A66AC"/>
    <w:rsid w:val="009B2FCF"/>
    <w:rsid w:val="009D0448"/>
    <w:rsid w:val="00A45FD2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BD7096"/>
    <w:rsid w:val="00CA7CE4"/>
    <w:rsid w:val="00CB13DA"/>
    <w:rsid w:val="00D34660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2025-11-03T13:55:00Z</dcterms:created>
  <dcterms:modified xsi:type="dcterms:W3CDTF">2025-11-04T13:58:00Z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