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51CF76F5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2157EC">
        <w:rPr>
          <w:rFonts w:ascii="Times New Roman" w:hAnsi="Times New Roman"/>
          <w:sz w:val="22"/>
        </w:rPr>
        <w:t>6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4C825A23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r w:rsidR="007223DE" w:rsidRPr="007223DE">
        <w:rPr>
          <w:rFonts w:ascii="Times New Roman" w:hAnsi="Times New Roman" w:cs="Times New Roman"/>
          <w:b/>
          <w:bCs/>
          <w:sz w:val="22"/>
          <w:szCs w:val="22"/>
        </w:rPr>
        <w:t xml:space="preserve">Nákup motorových a akumulátorových vysokozdvižných </w:t>
      </w:r>
      <w:r w:rsidR="007223DE" w:rsidRPr="007223DE">
        <w:rPr>
          <w:rFonts w:ascii="Times New Roman" w:hAnsi="Times New Roman" w:cs="Times New Roman"/>
          <w:b/>
          <w:bCs/>
          <w:sz w:val="22"/>
          <w:szCs w:val="22"/>
        </w:rPr>
        <w:br/>
        <w:t>vozíkov 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2875360E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="009A45B0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:</w:t>
      </w:r>
      <w:r w:rsidRPr="009A45B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  <w:r w:rsidR="00B320F8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6 020 411,29 €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4758C36C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63C4A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48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8E3C23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7F380255" w:rsidR="008E3C23" w:rsidRPr="00E0211E" w:rsidRDefault="00E0211E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211E">
              <w:rPr>
                <w:rFonts w:ascii="Times New Roman" w:hAnsi="Times New Roman"/>
                <w:sz w:val="22"/>
                <w:szCs w:val="22"/>
              </w:rPr>
              <w:t>42415000-8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6B7F1DD8" w:rsidR="008E3C23" w:rsidRPr="00E0211E" w:rsidRDefault="00E0211E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0211E">
              <w:rPr>
                <w:rFonts w:ascii="Times New Roman" w:hAnsi="Times New Roman"/>
                <w:bCs/>
                <w:sz w:val="22"/>
                <w:szCs w:val="22"/>
              </w:rPr>
              <w:t>Vysokozdvižné vozíky, pracovné nákladné vozidlá, ťahače používané na železničných nástupištiach</w:t>
            </w:r>
          </w:p>
        </w:tc>
      </w:tr>
      <w:tr w:rsidR="00E0211E" w14:paraId="496EEB29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78897" w14:textId="3E4F3BD1" w:rsidR="00E0211E" w:rsidRDefault="00E0211E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42415110-2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FC53F" w14:textId="00B6850A" w:rsidR="00E0211E" w:rsidRDefault="00E0211E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Vysokozdvižné vozíky</w:t>
            </w:r>
          </w:p>
        </w:tc>
      </w:tr>
      <w:tr w:rsidR="00E0211E" w14:paraId="18182A9D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096BC" w14:textId="225DA67C" w:rsidR="00E0211E" w:rsidRPr="00BC38CC" w:rsidRDefault="00E0211E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42415200-0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35B74" w14:textId="5679D5A8" w:rsidR="00E0211E" w:rsidRPr="00BC38CC" w:rsidRDefault="00E0211E" w:rsidP="00E021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Pracovné vozíky</w:t>
            </w:r>
          </w:p>
        </w:tc>
      </w:tr>
      <w:tr w:rsidR="00E0211E" w14:paraId="50DF414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E5D7" w14:textId="503AE767" w:rsidR="00E0211E" w:rsidRPr="00BC38CC" w:rsidRDefault="00E0211E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42415210-3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438AD" w14:textId="33C4A333" w:rsidR="00E0211E" w:rsidRPr="00BC38CC" w:rsidRDefault="00E0211E" w:rsidP="00E0211E">
            <w:pPr>
              <w:tabs>
                <w:tab w:val="clear" w:pos="2160"/>
                <w:tab w:val="clear" w:pos="2880"/>
                <w:tab w:val="clear" w:pos="4500"/>
                <w:tab w:val="left" w:pos="115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Pracovné vozíky opatrené manipulačným zariadením</w:t>
            </w:r>
          </w:p>
        </w:tc>
      </w:tr>
      <w:tr w:rsidR="00E0211E" w14:paraId="4AA15CB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12B7" w14:textId="49296AC6" w:rsidR="00E0211E" w:rsidRPr="00BC38CC" w:rsidRDefault="00E0211E" w:rsidP="00E0211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42415100-9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9D8DD" w14:textId="4BF50540" w:rsidR="00E0211E" w:rsidRPr="00BC38CC" w:rsidRDefault="00E0211E" w:rsidP="00E0211E">
            <w:pPr>
              <w:tabs>
                <w:tab w:val="clear" w:pos="2160"/>
                <w:tab w:val="clear" w:pos="2880"/>
                <w:tab w:val="clear" w:pos="4500"/>
                <w:tab w:val="left" w:pos="172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Zdvižné vozíky</w:t>
            </w: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17BD4A06" w14:textId="546328C3" w:rsidR="00221476" w:rsidRPr="006108EF" w:rsidRDefault="00FC0E96" w:rsidP="006108E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99313D">
        <w:rPr>
          <w:rFonts w:ascii="Times New Roman" w:hAnsi="Times New Roman"/>
          <w:sz w:val="22"/>
          <w:lang w:eastAsia="sk-SK"/>
        </w:rPr>
        <w:t xml:space="preserve">nákup </w:t>
      </w:r>
      <w:r w:rsidR="00B320F8">
        <w:rPr>
          <w:rFonts w:ascii="Times New Roman" w:hAnsi="Times New Roman"/>
          <w:sz w:val="22"/>
          <w:lang w:eastAsia="sk-SK"/>
        </w:rPr>
        <w:t>vysokozdvižných vozíkov so spaľovacím motorom a nákup akumulátorových vysokozdvižných vozíkov</w:t>
      </w:r>
      <w:r w:rsidR="00305284" w:rsidRPr="006108EF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305284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0D2F3FC" w14:textId="162E054D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33C0C">
        <w:rPr>
          <w:rFonts w:ascii="Times New Roman" w:eastAsia="Calibri" w:hAnsi="Times New Roman"/>
          <w:sz w:val="22"/>
          <w:szCs w:val="22"/>
          <w:lang w:eastAsia="en-US"/>
        </w:rPr>
        <w:t xml:space="preserve">najmä 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v rozsahu 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skup</w:t>
      </w:r>
      <w:r w:rsidR="006A7F1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i</w:t>
      </w:r>
      <w:r w:rsidR="00CC7FB2">
        <w:rPr>
          <w:rFonts w:ascii="Times New Roman" w:eastAsia="Calibri" w:hAnsi="Times New Roman"/>
          <w:b/>
          <w:bCs/>
          <w:sz w:val="22"/>
          <w:szCs w:val="22"/>
          <w:lang w:eastAsia="en-US"/>
        </w:rPr>
        <w:t>n</w:t>
      </w:r>
      <w:r w:rsidR="006A7F14">
        <w:rPr>
          <w:rFonts w:ascii="Times New Roman" w:eastAsia="Calibri" w:hAnsi="Times New Roman"/>
          <w:b/>
          <w:bCs/>
          <w:sz w:val="22"/>
          <w:szCs w:val="22"/>
          <w:lang w:eastAsia="en-US"/>
        </w:rPr>
        <w:t>y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r w:rsidR="00B320F8">
        <w:rPr>
          <w:rFonts w:ascii="Times New Roman" w:eastAsia="Calibri" w:hAnsi="Times New Roman"/>
          <w:b/>
          <w:bCs/>
          <w:sz w:val="22"/>
          <w:szCs w:val="22"/>
          <w:lang w:eastAsia="en-US"/>
        </w:rPr>
        <w:t>4241</w:t>
      </w:r>
      <w:r w:rsidR="00E0211E">
        <w:rPr>
          <w:rFonts w:ascii="Times New Roman" w:eastAsia="Calibri" w:hAnsi="Times New Roman"/>
          <w:b/>
          <w:bCs/>
          <w:sz w:val="22"/>
          <w:szCs w:val="22"/>
          <w:lang w:eastAsia="en-US"/>
        </w:rPr>
        <w:t>5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podľa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 Spoločn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ého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slovník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obstarávania (CPV)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564221A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 bude dodávaný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 rozsahu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7E3BC6C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druh tovaru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kvalitu, množstvo tovaru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 ktorých sa bude tento tovar dodávať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prípadne ďalšie informácie.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564550B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2BC0363B" w:rsid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Dodávateľ zodpovedá za kvalitu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310D9B65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ED2E15" w14:textId="603BC00B" w:rsidR="00933C0C" w:rsidRDefault="00933C0C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Ak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sú výrobky balené, sú balené len v obaloch, ktoré neovplyvňujú kvalitu výrobku a chránia ich pred nežiadúcimi vonkajšími vplyvmi. Dodávaný tovar, ktorý bude balený v obale, musí byť označený v štátnom jazyku s min. údajmi (názov výrobku, obchodné meno výrobcu).</w:t>
      </w:r>
    </w:p>
    <w:p w14:paraId="05925CC6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F4357F6" w14:textId="5922F3F9" w:rsidR="00933C0C" w:rsidRPr="00933C0C" w:rsidRDefault="00933C0C" w:rsidP="00933C0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lastRenderedPageBreak/>
        <w:t xml:space="preserve">Dopravu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objednaného tovaru a jeho montáž v miestach dodania spolu s likvidáciou vzniknutého odpadu zabezpečuje Dodávateľ.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1F40B68F" w14:textId="207AFB44" w:rsidR="00607652" w:rsidRDefault="00607652" w:rsidP="0060765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dodania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Plnenie bude realizované v rámci celého územia SR pre útvary a zariadenia Ministerstva obrany SR</w:t>
      </w:r>
      <w:r w:rsidR="006A7F1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jeho rozpočtové a príspevkové organizácie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</w:p>
    <w:p w14:paraId="2145F1CC" w14:textId="77777777" w:rsidR="00607652" w:rsidRDefault="00607652" w:rsidP="00607652">
      <w:pPr>
        <w:pStyle w:val="Odsekzoznamu"/>
        <w:rPr>
          <w:rFonts w:ascii="Times New Roman" w:hAnsi="Times New Roman"/>
          <w:sz w:val="22"/>
          <w:szCs w:val="22"/>
        </w:rPr>
      </w:pPr>
    </w:p>
    <w:p w14:paraId="05EEC01A" w14:textId="34BB71BF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79284D">
        <w:rPr>
          <w:rFonts w:ascii="Times New Roman" w:hAnsi="Times New Roman"/>
          <w:sz w:val="22"/>
          <w:szCs w:val="22"/>
        </w:rPr>
        <w:t>dodania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 xml:space="preserve">zriadeného DNS, ktoré budú zaslané všetkým kvalifikovaným záujemcom prostredníctvom </w:t>
      </w:r>
      <w:r w:rsidR="001E352B">
        <w:rPr>
          <w:rFonts w:ascii="Times New Roman" w:hAnsi="Times New Roman"/>
          <w:sz w:val="22"/>
          <w:szCs w:val="22"/>
        </w:rPr>
        <w:t>systému JOSEPHINE</w:t>
      </w:r>
      <w:r w:rsidRPr="00607652">
        <w:rPr>
          <w:rFonts w:ascii="Times New Roman" w:hAnsi="Times New Roman"/>
          <w:sz w:val="22"/>
          <w:szCs w:val="22"/>
        </w:rPr>
        <w:t>.</w:t>
      </w:r>
    </w:p>
    <w:sectPr w:rsidR="0022147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4AA9" w14:textId="77777777" w:rsidR="003868EB" w:rsidRDefault="003868EB" w:rsidP="00145BE1">
      <w:r>
        <w:separator/>
      </w:r>
    </w:p>
  </w:endnote>
  <w:endnote w:type="continuationSeparator" w:id="0">
    <w:p w14:paraId="69A4E858" w14:textId="77777777" w:rsidR="003868EB" w:rsidRDefault="003868EB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11F4" w14:textId="77777777" w:rsidR="003868EB" w:rsidRDefault="003868EB" w:rsidP="00145BE1">
      <w:r>
        <w:separator/>
      </w:r>
    </w:p>
  </w:footnote>
  <w:footnote w:type="continuationSeparator" w:id="0">
    <w:p w14:paraId="1E2245E4" w14:textId="77777777" w:rsidR="003868EB" w:rsidRDefault="003868EB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073DA"/>
    <w:rsid w:val="000329F7"/>
    <w:rsid w:val="00042426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352B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A74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85684"/>
    <w:rsid w:val="003868EB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A2640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87B5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108EF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F3627"/>
    <w:rsid w:val="006F384D"/>
    <w:rsid w:val="006F779C"/>
    <w:rsid w:val="00714DFF"/>
    <w:rsid w:val="007223DE"/>
    <w:rsid w:val="0073149E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3C23"/>
    <w:rsid w:val="008E450B"/>
    <w:rsid w:val="008F0C34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313D"/>
    <w:rsid w:val="00994844"/>
    <w:rsid w:val="009A45B0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47D0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3E7D"/>
    <w:rsid w:val="00AC5D7B"/>
    <w:rsid w:val="00AE5DBD"/>
    <w:rsid w:val="00B005A6"/>
    <w:rsid w:val="00B26E47"/>
    <w:rsid w:val="00B320F8"/>
    <w:rsid w:val="00B331CB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87D3B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80ADF"/>
    <w:rsid w:val="00C820AC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1D6"/>
    <w:rsid w:val="00D81904"/>
    <w:rsid w:val="00D845F4"/>
    <w:rsid w:val="00D84AF6"/>
    <w:rsid w:val="00D84D82"/>
    <w:rsid w:val="00D85EE7"/>
    <w:rsid w:val="00D978FB"/>
    <w:rsid w:val="00DB05F1"/>
    <w:rsid w:val="00DB1AD6"/>
    <w:rsid w:val="00DB459C"/>
    <w:rsid w:val="00DC03AD"/>
    <w:rsid w:val="00DD0E71"/>
    <w:rsid w:val="00DD1F5A"/>
    <w:rsid w:val="00DD33E5"/>
    <w:rsid w:val="00DE4D12"/>
    <w:rsid w:val="00E0211E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A09DC"/>
    <w:rsid w:val="00EB3342"/>
    <w:rsid w:val="00EE3509"/>
    <w:rsid w:val="00EE4620"/>
    <w:rsid w:val="00EF3362"/>
    <w:rsid w:val="00F03C39"/>
    <w:rsid w:val="00F058BB"/>
    <w:rsid w:val="00F269C4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MAZANCOVÁ Petra</cp:lastModifiedBy>
  <cp:revision>6</cp:revision>
  <cp:lastPrinted>2025-12-08T12:36:00Z</cp:lastPrinted>
  <dcterms:created xsi:type="dcterms:W3CDTF">2025-08-11T09:02:00Z</dcterms:created>
  <dcterms:modified xsi:type="dcterms:W3CDTF">2025-12-08T12:41:00Z</dcterms:modified>
</cp:coreProperties>
</file>