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2C59E" w14:textId="77777777" w:rsidR="00982300" w:rsidRPr="00982300" w:rsidRDefault="00982300" w:rsidP="00982300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4FEB68F" w14:textId="03EE6E1B" w:rsidR="003671E8" w:rsidRPr="003671E8" w:rsidRDefault="003671E8" w:rsidP="00982300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671E8">
        <w:rPr>
          <w:rFonts w:ascii="Calibri" w:hAnsi="Calibri" w:cs="Calibri"/>
          <w:b/>
          <w:bCs/>
          <w:sz w:val="22"/>
          <w:szCs w:val="22"/>
        </w:rPr>
        <w:t xml:space="preserve">Tento dokument špecifikuje záväzné požiadavky na dodávateľa z pohľadu kybernetickej bezpečnosti pre prostredie operačných technológií (OT), v súlade so zákonom č. 69/2018 </w:t>
      </w:r>
      <w:proofErr w:type="spellStart"/>
      <w:r w:rsidRPr="003671E8">
        <w:rPr>
          <w:rFonts w:ascii="Calibri" w:hAnsi="Calibri" w:cs="Calibri"/>
          <w:b/>
          <w:bCs/>
          <w:sz w:val="22"/>
          <w:szCs w:val="22"/>
        </w:rPr>
        <w:t>Z.z</w:t>
      </w:r>
      <w:proofErr w:type="spellEnd"/>
      <w:r w:rsidRPr="003671E8">
        <w:rPr>
          <w:rFonts w:ascii="Calibri" w:hAnsi="Calibri" w:cs="Calibri"/>
          <w:b/>
          <w:bCs/>
          <w:sz w:val="22"/>
          <w:szCs w:val="22"/>
        </w:rPr>
        <w:t xml:space="preserve">. a Vyhláškou NBÚ č. </w:t>
      </w:r>
      <w:r w:rsidR="00DA3554" w:rsidRPr="00982300">
        <w:rPr>
          <w:rFonts w:ascii="Calibri" w:hAnsi="Calibri" w:cs="Calibri"/>
          <w:b/>
          <w:bCs/>
          <w:sz w:val="22"/>
          <w:szCs w:val="22"/>
        </w:rPr>
        <w:t>227/2025</w:t>
      </w:r>
      <w:r w:rsidRPr="003671E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671E8">
        <w:rPr>
          <w:rFonts w:ascii="Calibri" w:hAnsi="Calibri" w:cs="Calibri"/>
          <w:b/>
          <w:bCs/>
          <w:sz w:val="22"/>
          <w:szCs w:val="22"/>
        </w:rPr>
        <w:t>Z.z</w:t>
      </w:r>
      <w:proofErr w:type="spellEnd"/>
      <w:r w:rsidRPr="003671E8">
        <w:rPr>
          <w:rFonts w:ascii="Calibri" w:hAnsi="Calibri" w:cs="Calibri"/>
          <w:b/>
          <w:bCs/>
          <w:sz w:val="22"/>
          <w:szCs w:val="22"/>
        </w:rPr>
        <w:t>. v rozsahu PKZS – OT</w:t>
      </w:r>
      <w:r w:rsidR="00982300" w:rsidRPr="00982300">
        <w:rPr>
          <w:rFonts w:ascii="Calibri" w:hAnsi="Calibri" w:cs="Calibri"/>
          <w:b/>
          <w:bCs/>
          <w:sz w:val="22"/>
          <w:szCs w:val="22"/>
        </w:rPr>
        <w:t xml:space="preserve"> pre projekt  - Modernizácia uzatvoreného televízneho okruhu (UTO) – Tunel Sitina. </w:t>
      </w:r>
    </w:p>
    <w:p w14:paraId="33D39665" w14:textId="54F57932" w:rsidR="003671E8" w:rsidRPr="00DA3554" w:rsidRDefault="003671E8" w:rsidP="00982300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A3554">
        <w:rPr>
          <w:rFonts w:ascii="Calibri" w:hAnsi="Calibri" w:cs="Calibri"/>
          <w:b/>
          <w:bCs/>
          <w:sz w:val="22"/>
          <w:szCs w:val="22"/>
        </w:rPr>
        <w:t>Organizačné opatrenia</w:t>
      </w:r>
    </w:p>
    <w:p w14:paraId="573D707D" w14:textId="77777777" w:rsidR="003671E8" w:rsidRPr="003671E8" w:rsidRDefault="003671E8" w:rsidP="00982300">
      <w:pPr>
        <w:numPr>
          <w:ilvl w:val="0"/>
          <w:numId w:val="1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671E8">
        <w:rPr>
          <w:rFonts w:ascii="Calibri" w:hAnsi="Calibri" w:cs="Calibri"/>
          <w:sz w:val="22"/>
          <w:szCs w:val="22"/>
        </w:rPr>
        <w:t>Dodávateľ určí zodpovednú osobu za riadenie prístupov do OT systému, ktorá bude zároveň kontaktnou osobou pre NDS.</w:t>
      </w:r>
    </w:p>
    <w:p w14:paraId="6B115668" w14:textId="77777777" w:rsidR="003671E8" w:rsidRPr="003671E8" w:rsidRDefault="003671E8" w:rsidP="00982300">
      <w:pPr>
        <w:numPr>
          <w:ilvl w:val="0"/>
          <w:numId w:val="1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671E8">
        <w:rPr>
          <w:rFonts w:ascii="Calibri" w:hAnsi="Calibri" w:cs="Calibri"/>
          <w:sz w:val="22"/>
          <w:szCs w:val="22"/>
        </w:rPr>
        <w:t>Zavedenie zásady najnižších oprávnení – každý používateľ má prístup iba k tým komponentom, ktoré sú nevyhnutné pre jeho prácu.</w:t>
      </w:r>
    </w:p>
    <w:p w14:paraId="132CBC4F" w14:textId="26B9AB7B" w:rsidR="003671E8" w:rsidRPr="003671E8" w:rsidRDefault="00DA3554" w:rsidP="00982300">
      <w:pPr>
        <w:numPr>
          <w:ilvl w:val="0"/>
          <w:numId w:val="1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Dodávateľ je povinný z</w:t>
      </w:r>
      <w:r w:rsidR="003671E8" w:rsidRPr="003671E8">
        <w:rPr>
          <w:rFonts w:ascii="Calibri" w:hAnsi="Calibri" w:cs="Calibri"/>
          <w:sz w:val="22"/>
          <w:szCs w:val="22"/>
        </w:rPr>
        <w:t>abezpečiť dohody o mlčanlivosti (NDA)</w:t>
      </w:r>
      <w:r>
        <w:rPr>
          <w:rFonts w:ascii="Calibri" w:hAnsi="Calibri" w:cs="Calibri"/>
          <w:sz w:val="22"/>
          <w:szCs w:val="22"/>
        </w:rPr>
        <w:t>, príp. do zmlúv zahrnúť záväzok mlčanlivosti</w:t>
      </w:r>
      <w:r w:rsidR="003671E8" w:rsidRPr="003671E8">
        <w:rPr>
          <w:rFonts w:ascii="Calibri" w:hAnsi="Calibri" w:cs="Calibri"/>
          <w:sz w:val="22"/>
          <w:szCs w:val="22"/>
        </w:rPr>
        <w:t xml:space="preserve"> pre všetky osoby, ktoré budú pôsobiť </w:t>
      </w:r>
      <w:r w:rsidR="00F15B6B">
        <w:rPr>
          <w:rFonts w:ascii="Calibri" w:hAnsi="Calibri" w:cs="Calibri"/>
          <w:sz w:val="22"/>
          <w:szCs w:val="22"/>
        </w:rPr>
        <w:t xml:space="preserve">a vykonávať činnosti </w:t>
      </w:r>
      <w:r w:rsidR="003671E8" w:rsidRPr="003671E8">
        <w:rPr>
          <w:rFonts w:ascii="Calibri" w:hAnsi="Calibri" w:cs="Calibri"/>
          <w:sz w:val="22"/>
          <w:szCs w:val="22"/>
        </w:rPr>
        <w:t>v prostredí OT</w:t>
      </w:r>
      <w:r w:rsidR="00F15B6B">
        <w:rPr>
          <w:rFonts w:ascii="Calibri" w:hAnsi="Calibri" w:cs="Calibri"/>
          <w:sz w:val="22"/>
          <w:szCs w:val="22"/>
        </w:rPr>
        <w:t xml:space="preserve"> spadajúc pod predmet hlavnej Zmluvy.</w:t>
      </w:r>
    </w:p>
    <w:p w14:paraId="2071A957" w14:textId="2E88C37C" w:rsidR="003671E8" w:rsidRDefault="00F15B6B" w:rsidP="00982300">
      <w:pPr>
        <w:numPr>
          <w:ilvl w:val="0"/>
          <w:numId w:val="1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Dodávateľ p</w:t>
      </w:r>
      <w:r w:rsidR="003671E8" w:rsidRPr="003671E8">
        <w:rPr>
          <w:rFonts w:ascii="Calibri" w:hAnsi="Calibri" w:cs="Calibri"/>
          <w:sz w:val="22"/>
          <w:szCs w:val="22"/>
        </w:rPr>
        <w:t xml:space="preserve">reukázateľné </w:t>
      </w:r>
      <w:r>
        <w:rPr>
          <w:rFonts w:ascii="Calibri" w:hAnsi="Calibri" w:cs="Calibri"/>
          <w:sz w:val="22"/>
          <w:szCs w:val="22"/>
        </w:rPr>
        <w:t xml:space="preserve">doloží minimálne raz za 2 roky na vyžiadanie </w:t>
      </w:r>
      <w:r w:rsidR="005A3646">
        <w:rPr>
          <w:rFonts w:ascii="Calibri" w:hAnsi="Calibri" w:cs="Calibri"/>
          <w:sz w:val="22"/>
          <w:szCs w:val="22"/>
        </w:rPr>
        <w:t xml:space="preserve">Objednávateľa potvrdenie o </w:t>
      </w:r>
      <w:r w:rsidR="003671E8" w:rsidRPr="003671E8">
        <w:rPr>
          <w:rFonts w:ascii="Calibri" w:hAnsi="Calibri" w:cs="Calibri"/>
          <w:sz w:val="22"/>
          <w:szCs w:val="22"/>
        </w:rPr>
        <w:t>zaškolen</w:t>
      </w:r>
      <w:r w:rsidR="005A3646">
        <w:rPr>
          <w:rFonts w:ascii="Calibri" w:hAnsi="Calibri" w:cs="Calibri"/>
          <w:sz w:val="22"/>
          <w:szCs w:val="22"/>
        </w:rPr>
        <w:t xml:space="preserve">í </w:t>
      </w:r>
      <w:r w:rsidR="003671E8" w:rsidRPr="003671E8">
        <w:rPr>
          <w:rFonts w:ascii="Calibri" w:hAnsi="Calibri" w:cs="Calibri"/>
          <w:sz w:val="22"/>
          <w:szCs w:val="22"/>
        </w:rPr>
        <w:t>technického personálu v oblasti OT bezpečnosti</w:t>
      </w:r>
      <w:r w:rsidR="009F59AF">
        <w:rPr>
          <w:rFonts w:ascii="Calibri" w:hAnsi="Calibri" w:cs="Calibri"/>
          <w:sz w:val="22"/>
          <w:szCs w:val="22"/>
        </w:rPr>
        <w:t>, a zároveň v prípade výzvy Objednávateľa sú zamestnanci Dodávateľa zúčastňujúci sa na plnení predmetu hlavnej Zmluvy povinní sa zúčastniť online preškolenia realizovaného Objednávateľom v oblasti informačnej a kybernetickej bezpečnosti ako preventívne, prípadne reakčné bezpečnostné opatrenie.</w:t>
      </w:r>
    </w:p>
    <w:p w14:paraId="3E282A77" w14:textId="0C88552A" w:rsidR="009F59AF" w:rsidRPr="009F59AF" w:rsidRDefault="009F59AF" w:rsidP="00982300">
      <w:pPr>
        <w:numPr>
          <w:ilvl w:val="0"/>
          <w:numId w:val="1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Dodávateľ</w:t>
      </w:r>
      <w:r w:rsidRPr="009F59AF">
        <w:rPr>
          <w:rFonts w:ascii="Calibri" w:hAnsi="Calibri" w:cs="Calibri"/>
          <w:sz w:val="22"/>
          <w:szCs w:val="22"/>
        </w:rPr>
        <w:t xml:space="preserve"> je povinný zaviazať svojich zamestnancov týmito povinnosťami:</w:t>
      </w:r>
    </w:p>
    <w:p w14:paraId="25F1F2CB" w14:textId="6337B240" w:rsidR="009F59AF" w:rsidRPr="009F59AF" w:rsidRDefault="009F59AF" w:rsidP="00982300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9F59AF">
        <w:rPr>
          <w:rFonts w:ascii="Calibri" w:hAnsi="Calibri" w:cs="Calibri"/>
          <w:sz w:val="22"/>
          <w:szCs w:val="22"/>
        </w:rPr>
        <w:t>zamestnancovi sa zakazuje zverejňovať alebo inej osobe vyzradiť svoje autentizačné údaje (heslá), taktiež sa zakazuje držanie záznamu hesiel (napr. na papieri, v softvérovom súbore, na prenosnom zariadení a pod),</w:t>
      </w:r>
    </w:p>
    <w:p w14:paraId="4DFC2E3C" w14:textId="4DAAC823" w:rsidR="009F59AF" w:rsidRPr="009F59AF" w:rsidRDefault="009F59AF" w:rsidP="00982300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9F59AF">
        <w:rPr>
          <w:rFonts w:ascii="Calibri" w:hAnsi="Calibri" w:cs="Calibri"/>
          <w:sz w:val="22"/>
          <w:szCs w:val="22"/>
        </w:rPr>
        <w:t>zamestnanec je povinný chrániť pridelený autentizačný prostriedok pred odcudzením a zničením a nesmie ho prenechať inej osobe,</w:t>
      </w:r>
    </w:p>
    <w:p w14:paraId="5E86A17E" w14:textId="69DB6F8E" w:rsidR="009F59AF" w:rsidRPr="009F59AF" w:rsidRDefault="009F59AF" w:rsidP="00982300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9F59AF">
        <w:rPr>
          <w:rFonts w:ascii="Calibri" w:hAnsi="Calibri" w:cs="Calibri"/>
          <w:sz w:val="22"/>
          <w:szCs w:val="22"/>
        </w:rPr>
        <w:t>zamestnancovi sa zakazuje pristupovať k IT aktívam, ktoré nie sú predmetom zmluvného vzťahu a vykonávať na nich akúkoľvek činnosť,</w:t>
      </w:r>
    </w:p>
    <w:p w14:paraId="271CA9BD" w14:textId="77777777" w:rsidR="009F59AF" w:rsidRDefault="009F59AF" w:rsidP="00982300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9F59AF">
        <w:rPr>
          <w:rFonts w:ascii="Calibri" w:hAnsi="Calibri" w:cs="Calibri"/>
          <w:sz w:val="22"/>
          <w:szCs w:val="22"/>
        </w:rPr>
        <w:t>zamestnancovi sa zakazuje vykonávať činnosti, ktoré nie sú predmetom zmluvného vzťahu.</w:t>
      </w:r>
    </w:p>
    <w:p w14:paraId="1E00EA3E" w14:textId="62AC37AC" w:rsidR="009F59AF" w:rsidRDefault="009F59AF" w:rsidP="00982300">
      <w:pPr>
        <w:pStyle w:val="Odsekzoznamu"/>
        <w:numPr>
          <w:ilvl w:val="0"/>
          <w:numId w:val="18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Zamestnanec je povinný c</w:t>
      </w:r>
      <w:r w:rsidRPr="009F59AF">
        <w:rPr>
          <w:rFonts w:ascii="Calibri" w:hAnsi="Calibri" w:cs="Calibri"/>
          <w:sz w:val="22"/>
          <w:szCs w:val="22"/>
        </w:rPr>
        <w:t xml:space="preserve">hrániť všetky informácie poskytnuté </w:t>
      </w:r>
      <w:r>
        <w:rPr>
          <w:rFonts w:ascii="Calibri" w:hAnsi="Calibri" w:cs="Calibri"/>
          <w:sz w:val="22"/>
          <w:szCs w:val="22"/>
        </w:rPr>
        <w:t>Objednávateľom</w:t>
      </w:r>
      <w:r w:rsidRPr="009F59AF">
        <w:rPr>
          <w:rFonts w:ascii="Calibri" w:hAnsi="Calibri" w:cs="Calibri"/>
          <w:sz w:val="22"/>
          <w:szCs w:val="22"/>
        </w:rPr>
        <w:t xml:space="preserve"> pred ich únikom a zneužitím.</w:t>
      </w:r>
    </w:p>
    <w:p w14:paraId="51B48E8A" w14:textId="77777777" w:rsidR="00982300" w:rsidRPr="009F59AF" w:rsidRDefault="00982300" w:rsidP="00982300">
      <w:pPr>
        <w:pStyle w:val="Odsekzoznamu"/>
        <w:spacing w:line="240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437A3B1B" w14:textId="09DBAA2C" w:rsidR="003671E8" w:rsidRPr="003671E8" w:rsidRDefault="003671E8" w:rsidP="00982300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671E8">
        <w:rPr>
          <w:rFonts w:ascii="Calibri" w:hAnsi="Calibri" w:cs="Calibri"/>
          <w:b/>
          <w:bCs/>
          <w:sz w:val="22"/>
          <w:szCs w:val="22"/>
        </w:rPr>
        <w:t>Technické opatrenia</w:t>
      </w:r>
    </w:p>
    <w:p w14:paraId="433A661B" w14:textId="7A01A952" w:rsidR="003671E8" w:rsidRPr="003671E8" w:rsidRDefault="00F15B6B" w:rsidP="00982300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Musí byť zabezpečená j</w:t>
      </w:r>
      <w:r w:rsidR="003671E8" w:rsidRPr="003671E8">
        <w:rPr>
          <w:rFonts w:ascii="Calibri" w:hAnsi="Calibri" w:cs="Calibri"/>
          <w:sz w:val="22"/>
          <w:szCs w:val="22"/>
        </w:rPr>
        <w:t>ednoznačná identifikácia každého používateľa v OT systéme.</w:t>
      </w:r>
    </w:p>
    <w:p w14:paraId="326BF7D8" w14:textId="2BDEFEC2" w:rsidR="003671E8" w:rsidRPr="003671E8" w:rsidRDefault="00F15B6B" w:rsidP="00982300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Dodávaný systém musí mať l</w:t>
      </w:r>
      <w:r w:rsidR="003671E8" w:rsidRPr="003671E8">
        <w:rPr>
          <w:rFonts w:ascii="Calibri" w:hAnsi="Calibri" w:cs="Calibri"/>
          <w:sz w:val="22"/>
          <w:szCs w:val="22"/>
        </w:rPr>
        <w:t>ogovanie všetkých aktivít používateľov (čítanie, zápis, zmena oprávnení).</w:t>
      </w:r>
    </w:p>
    <w:p w14:paraId="730FF1BB" w14:textId="12301D5D" w:rsidR="003671E8" w:rsidRDefault="003671E8" w:rsidP="00982300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671E8">
        <w:rPr>
          <w:rFonts w:ascii="Calibri" w:hAnsi="Calibri" w:cs="Calibri"/>
          <w:sz w:val="22"/>
          <w:szCs w:val="22"/>
        </w:rPr>
        <w:t>Zabezpečenie autentifikácie podľa AAA princípu</w:t>
      </w:r>
      <w:r w:rsidR="00F15B6B">
        <w:rPr>
          <w:rFonts w:ascii="Calibri" w:hAnsi="Calibri" w:cs="Calibri"/>
          <w:sz w:val="22"/>
          <w:szCs w:val="22"/>
        </w:rPr>
        <w:t>- ak to technológia umožňuje</w:t>
      </w:r>
      <w:r w:rsidRPr="003671E8">
        <w:rPr>
          <w:rFonts w:ascii="Calibri" w:hAnsi="Calibri" w:cs="Calibri"/>
          <w:sz w:val="22"/>
          <w:szCs w:val="22"/>
        </w:rPr>
        <w:t>.</w:t>
      </w:r>
    </w:p>
    <w:p w14:paraId="7C5C87AA" w14:textId="630FCF52" w:rsidR="009F59AF" w:rsidRDefault="009F59AF" w:rsidP="00982300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Dodávateľ je povinný viesť e</w:t>
      </w:r>
      <w:r w:rsidRPr="009F59AF">
        <w:rPr>
          <w:rFonts w:ascii="Calibri" w:hAnsi="Calibri" w:cs="Calibri"/>
          <w:sz w:val="22"/>
          <w:szCs w:val="22"/>
        </w:rPr>
        <w:t>videnci</w:t>
      </w:r>
      <w:r>
        <w:rPr>
          <w:rFonts w:ascii="Calibri" w:hAnsi="Calibri" w:cs="Calibri"/>
          <w:sz w:val="22"/>
          <w:szCs w:val="22"/>
        </w:rPr>
        <w:t>u</w:t>
      </w:r>
      <w:r w:rsidRPr="009F59AF">
        <w:rPr>
          <w:rFonts w:ascii="Calibri" w:hAnsi="Calibri" w:cs="Calibri"/>
          <w:sz w:val="22"/>
          <w:szCs w:val="22"/>
        </w:rPr>
        <w:t xml:space="preserve"> prístupov, </w:t>
      </w:r>
      <w:r>
        <w:rPr>
          <w:rFonts w:ascii="Calibri" w:hAnsi="Calibri" w:cs="Calibri"/>
          <w:sz w:val="22"/>
          <w:szCs w:val="22"/>
        </w:rPr>
        <w:t>s určením Mena a priezviska, názov role, oprávnenia, dátum vytvorenia, dátum zániku. Dodávateľ je povinný na vyžiadanie Objednávateľa mu túto evidenciu v elektronickej editovateľnej forme poskytnúť</w:t>
      </w:r>
      <w:r w:rsidR="00594B06">
        <w:rPr>
          <w:rFonts w:ascii="Calibri" w:hAnsi="Calibri" w:cs="Calibri"/>
          <w:sz w:val="22"/>
          <w:szCs w:val="22"/>
        </w:rPr>
        <w:t xml:space="preserve"> a vykonať minimálne raz ročne revíziu prístupov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8DF703C" w14:textId="309BF1F2" w:rsidR="00594B06" w:rsidRPr="003671E8" w:rsidRDefault="00594B06" w:rsidP="00982300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94B06">
        <w:rPr>
          <w:rFonts w:ascii="Calibri" w:hAnsi="Calibri" w:cs="Calibri"/>
          <w:sz w:val="22"/>
          <w:szCs w:val="22"/>
        </w:rPr>
        <w:t>Nepoužívané služby musia byť zakázané, alebo odstránené, prednastavené účty musia byť zablokované.</w:t>
      </w:r>
    </w:p>
    <w:p w14:paraId="45B99216" w14:textId="77777777" w:rsidR="003671E8" w:rsidRPr="003671E8" w:rsidRDefault="003671E8" w:rsidP="00982300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671E8">
        <w:rPr>
          <w:rFonts w:ascii="Calibri" w:hAnsi="Calibri" w:cs="Calibri"/>
          <w:sz w:val="22"/>
          <w:szCs w:val="22"/>
        </w:rPr>
        <w:lastRenderedPageBreak/>
        <w:t>Kópie hesiel k privilegovaným účtom budú uložené v zabezpečenom priestore u objednávateľa.</w:t>
      </w:r>
    </w:p>
    <w:p w14:paraId="7B263945" w14:textId="53AF7432" w:rsidR="003671E8" w:rsidRPr="003671E8" w:rsidRDefault="003671E8" w:rsidP="00982300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671E8">
        <w:rPr>
          <w:rFonts w:ascii="Calibri" w:hAnsi="Calibri" w:cs="Calibri"/>
          <w:sz w:val="22"/>
          <w:szCs w:val="22"/>
        </w:rPr>
        <w:t xml:space="preserve">Pravidelné testovanie zraniteľností OT komponentov </w:t>
      </w:r>
      <w:r w:rsidR="00F15B6B">
        <w:rPr>
          <w:rFonts w:ascii="Calibri" w:hAnsi="Calibri" w:cs="Calibri"/>
          <w:sz w:val="22"/>
          <w:szCs w:val="22"/>
        </w:rPr>
        <w:t xml:space="preserve">musí byť vykonávané </w:t>
      </w:r>
      <w:r w:rsidRPr="003671E8">
        <w:rPr>
          <w:rFonts w:ascii="Calibri" w:hAnsi="Calibri" w:cs="Calibri"/>
          <w:sz w:val="22"/>
          <w:szCs w:val="22"/>
        </w:rPr>
        <w:t xml:space="preserve">minimálne </w:t>
      </w:r>
      <w:r w:rsidR="00F15B6B">
        <w:rPr>
          <w:rFonts w:ascii="Calibri" w:hAnsi="Calibri" w:cs="Calibri"/>
          <w:sz w:val="22"/>
          <w:szCs w:val="22"/>
        </w:rPr>
        <w:t>raz za 12</w:t>
      </w:r>
      <w:r w:rsidRPr="003671E8">
        <w:rPr>
          <w:rFonts w:ascii="Calibri" w:hAnsi="Calibri" w:cs="Calibri"/>
          <w:sz w:val="22"/>
          <w:szCs w:val="22"/>
        </w:rPr>
        <w:t xml:space="preserve"> mesiacov.</w:t>
      </w:r>
    </w:p>
    <w:p w14:paraId="046FFFC2" w14:textId="72293D1E" w:rsidR="003671E8" w:rsidRDefault="00F15B6B" w:rsidP="00982300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Dodávateľ je povinný v</w:t>
      </w:r>
      <w:r w:rsidR="003671E8" w:rsidRPr="003671E8">
        <w:rPr>
          <w:rFonts w:ascii="Calibri" w:hAnsi="Calibri" w:cs="Calibri"/>
          <w:sz w:val="22"/>
          <w:szCs w:val="22"/>
        </w:rPr>
        <w:t>ykonávať riadené zálohovanie OT systémov oddeleným spôsobom a raz ročne overiť obnoviteľnosť</w:t>
      </w:r>
      <w:r>
        <w:rPr>
          <w:rFonts w:ascii="Calibri" w:hAnsi="Calibri" w:cs="Calibri"/>
          <w:sz w:val="22"/>
          <w:szCs w:val="22"/>
        </w:rPr>
        <w:t>, a výstupy poskytnúť bezodkladne Objednávateľovi</w:t>
      </w:r>
      <w:r w:rsidR="003671E8" w:rsidRPr="003671E8">
        <w:rPr>
          <w:rFonts w:ascii="Calibri" w:hAnsi="Calibri" w:cs="Calibri"/>
          <w:sz w:val="22"/>
          <w:szCs w:val="22"/>
        </w:rPr>
        <w:t>.</w:t>
      </w:r>
    </w:p>
    <w:p w14:paraId="3F8CB3A9" w14:textId="400E191E" w:rsidR="00B178A6" w:rsidRPr="00B178A6" w:rsidRDefault="00B178A6" w:rsidP="00982300">
      <w:pPr>
        <w:pStyle w:val="Odsekzoznamu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178A6">
        <w:rPr>
          <w:rFonts w:ascii="Calibri" w:hAnsi="Calibri" w:cs="Calibri"/>
          <w:sz w:val="22"/>
          <w:szCs w:val="22"/>
        </w:rPr>
        <w:t>Dodávateľ je povinný zabezpečiť pravidelnú údržbu a aktualizácie technických zariadení a softvérov v zmysle hlavnej Zmluvy.</w:t>
      </w:r>
    </w:p>
    <w:p w14:paraId="0151EDF9" w14:textId="5D3118AE" w:rsidR="0051254D" w:rsidRPr="000D628B" w:rsidRDefault="0051254D" w:rsidP="00982300">
      <w:pPr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1254D">
        <w:rPr>
          <w:rFonts w:ascii="Calibri" w:hAnsi="Calibri" w:cs="Calibri"/>
          <w:sz w:val="22"/>
          <w:szCs w:val="22"/>
        </w:rPr>
        <w:t xml:space="preserve">V prípade identifikácie technickej zraniteľnosti, ktorá má alebo môže mať vplyv na aktíva </w:t>
      </w:r>
      <w:r w:rsidR="000D628B">
        <w:rPr>
          <w:rFonts w:ascii="Calibri" w:hAnsi="Calibri" w:cs="Calibri"/>
          <w:sz w:val="22"/>
          <w:szCs w:val="22"/>
        </w:rPr>
        <w:t>Objednávateľa</w:t>
      </w:r>
      <w:r w:rsidRPr="0051254D">
        <w:rPr>
          <w:rFonts w:ascii="Calibri" w:hAnsi="Calibri" w:cs="Calibri"/>
          <w:sz w:val="22"/>
          <w:szCs w:val="22"/>
        </w:rPr>
        <w:t xml:space="preserve">, je </w:t>
      </w:r>
      <w:r w:rsidR="000D628B">
        <w:rPr>
          <w:rFonts w:ascii="Calibri" w:hAnsi="Calibri" w:cs="Calibri"/>
          <w:sz w:val="22"/>
          <w:szCs w:val="22"/>
        </w:rPr>
        <w:t>D</w:t>
      </w:r>
      <w:r w:rsidRPr="0051254D">
        <w:rPr>
          <w:rFonts w:ascii="Calibri" w:hAnsi="Calibri" w:cs="Calibri"/>
          <w:sz w:val="22"/>
          <w:szCs w:val="22"/>
        </w:rPr>
        <w:t xml:space="preserve">odávateľ povinný bezodkladne nahlásiť túto zraniteľnosť </w:t>
      </w:r>
      <w:r w:rsidR="000D628B">
        <w:rPr>
          <w:rFonts w:ascii="Calibri" w:hAnsi="Calibri" w:cs="Calibri"/>
          <w:sz w:val="22"/>
          <w:szCs w:val="22"/>
        </w:rPr>
        <w:t>O</w:t>
      </w:r>
      <w:r w:rsidRPr="0051254D">
        <w:rPr>
          <w:rFonts w:ascii="Calibri" w:hAnsi="Calibri" w:cs="Calibri"/>
          <w:sz w:val="22"/>
          <w:szCs w:val="22"/>
        </w:rPr>
        <w:t>bjednávateľovi , a to najneskôr do 24 hodín od jej zistenia, v súlade s § 7 vyhlášky č. 226/2025 Z. z.</w:t>
      </w:r>
      <w:r w:rsidR="000D628B">
        <w:rPr>
          <w:rFonts w:ascii="Calibri" w:hAnsi="Calibri" w:cs="Calibri"/>
          <w:sz w:val="22"/>
          <w:szCs w:val="22"/>
        </w:rPr>
        <w:t xml:space="preserve"> </w:t>
      </w:r>
      <w:r w:rsidRPr="000D628B">
        <w:rPr>
          <w:rFonts w:ascii="Calibri" w:hAnsi="Calibri" w:cs="Calibri"/>
          <w:sz w:val="22"/>
          <w:szCs w:val="22"/>
        </w:rPr>
        <w:t>Oznámenie musí obsahovať:</w:t>
      </w:r>
    </w:p>
    <w:p w14:paraId="408A2076" w14:textId="60EA1F12" w:rsidR="0051254D" w:rsidRPr="000D628B" w:rsidRDefault="0051254D" w:rsidP="00982300">
      <w:pPr>
        <w:numPr>
          <w:ilvl w:val="0"/>
          <w:numId w:val="17"/>
        </w:numPr>
        <w:tabs>
          <w:tab w:val="clear" w:pos="720"/>
          <w:tab w:val="num" w:pos="1068"/>
        </w:tabs>
        <w:spacing w:line="240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51254D">
        <w:rPr>
          <w:rFonts w:ascii="Calibri" w:hAnsi="Calibri" w:cs="Calibri"/>
          <w:sz w:val="22"/>
          <w:szCs w:val="22"/>
        </w:rPr>
        <w:t>Technický popis zraniteľnosti (napr. CVE),</w:t>
      </w:r>
    </w:p>
    <w:p w14:paraId="04544FFD" w14:textId="0270FFA5" w:rsidR="0051254D" w:rsidRPr="000D628B" w:rsidRDefault="0051254D" w:rsidP="00982300">
      <w:pPr>
        <w:numPr>
          <w:ilvl w:val="0"/>
          <w:numId w:val="17"/>
        </w:numPr>
        <w:tabs>
          <w:tab w:val="clear" w:pos="720"/>
          <w:tab w:val="num" w:pos="1068"/>
        </w:tabs>
        <w:spacing w:line="240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51254D">
        <w:rPr>
          <w:rFonts w:ascii="Calibri" w:hAnsi="Calibri" w:cs="Calibri"/>
          <w:sz w:val="22"/>
          <w:szCs w:val="22"/>
        </w:rPr>
        <w:t>Zasiahnuté komponenty alebo systémy,</w:t>
      </w:r>
    </w:p>
    <w:p w14:paraId="16294DF1" w14:textId="4F5A6E29" w:rsidR="0051254D" w:rsidRPr="000D628B" w:rsidRDefault="0051254D" w:rsidP="00982300">
      <w:pPr>
        <w:numPr>
          <w:ilvl w:val="0"/>
          <w:numId w:val="17"/>
        </w:numPr>
        <w:tabs>
          <w:tab w:val="clear" w:pos="720"/>
          <w:tab w:val="num" w:pos="1068"/>
        </w:tabs>
        <w:spacing w:line="240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51254D">
        <w:rPr>
          <w:rFonts w:ascii="Calibri" w:hAnsi="Calibri" w:cs="Calibri"/>
          <w:sz w:val="22"/>
          <w:szCs w:val="22"/>
        </w:rPr>
        <w:t>Hodnotenie závažnosti (napr. CVSS skóre),</w:t>
      </w:r>
    </w:p>
    <w:p w14:paraId="11B1A4BF" w14:textId="14323EE3" w:rsidR="0051254D" w:rsidRPr="000D628B" w:rsidRDefault="0051254D" w:rsidP="00982300">
      <w:pPr>
        <w:numPr>
          <w:ilvl w:val="0"/>
          <w:numId w:val="17"/>
        </w:numPr>
        <w:tabs>
          <w:tab w:val="clear" w:pos="720"/>
          <w:tab w:val="num" w:pos="1068"/>
        </w:tabs>
        <w:spacing w:line="240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51254D">
        <w:rPr>
          <w:rFonts w:ascii="Calibri" w:hAnsi="Calibri" w:cs="Calibri"/>
          <w:sz w:val="22"/>
          <w:szCs w:val="22"/>
        </w:rPr>
        <w:t>Odporúčané alebo vykonané protiopatrenia</w:t>
      </w:r>
      <w:r w:rsidR="000D628B">
        <w:rPr>
          <w:rFonts w:ascii="Calibri" w:hAnsi="Calibri" w:cs="Calibri"/>
          <w:sz w:val="22"/>
          <w:szCs w:val="22"/>
        </w:rPr>
        <w:t xml:space="preserve"> zo strany Dodávateľa</w:t>
      </w:r>
      <w:r w:rsidRPr="0051254D">
        <w:rPr>
          <w:rFonts w:ascii="Calibri" w:hAnsi="Calibri" w:cs="Calibri"/>
          <w:sz w:val="22"/>
          <w:szCs w:val="22"/>
        </w:rPr>
        <w:t>.</w:t>
      </w:r>
    </w:p>
    <w:p w14:paraId="6709DD32" w14:textId="14DFD4FD" w:rsidR="0051254D" w:rsidRPr="0051254D" w:rsidRDefault="0051254D" w:rsidP="00982300">
      <w:pPr>
        <w:spacing w:line="240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51254D">
        <w:rPr>
          <w:rFonts w:ascii="Calibri" w:hAnsi="Calibri" w:cs="Calibri"/>
          <w:sz w:val="22"/>
          <w:szCs w:val="22"/>
        </w:rPr>
        <w:t xml:space="preserve">Objednávateľ </w:t>
      </w:r>
      <w:r w:rsidR="000D628B">
        <w:rPr>
          <w:rFonts w:ascii="Calibri" w:hAnsi="Calibri" w:cs="Calibri"/>
          <w:sz w:val="22"/>
          <w:szCs w:val="22"/>
        </w:rPr>
        <w:t xml:space="preserve"> n</w:t>
      </w:r>
      <w:r w:rsidRPr="0051254D">
        <w:rPr>
          <w:rFonts w:ascii="Calibri" w:hAnsi="Calibri" w:cs="Calibri"/>
          <w:sz w:val="22"/>
          <w:szCs w:val="22"/>
        </w:rPr>
        <w:t>ásledne posúdi závažnosť a vykoná eskaláciu voči Národnému bezpečnostnému úradu (</w:t>
      </w:r>
      <w:r w:rsidR="000D628B">
        <w:rPr>
          <w:rFonts w:ascii="Calibri" w:hAnsi="Calibri" w:cs="Calibri"/>
          <w:sz w:val="22"/>
          <w:szCs w:val="22"/>
        </w:rPr>
        <w:t xml:space="preserve"> ďalej len „</w:t>
      </w:r>
      <w:r w:rsidRPr="0051254D">
        <w:rPr>
          <w:rFonts w:ascii="Calibri" w:hAnsi="Calibri" w:cs="Calibri"/>
          <w:sz w:val="22"/>
          <w:szCs w:val="22"/>
        </w:rPr>
        <w:t>NBÚ</w:t>
      </w:r>
      <w:r w:rsidR="000D628B">
        <w:rPr>
          <w:rFonts w:ascii="Calibri" w:hAnsi="Calibri" w:cs="Calibri"/>
          <w:sz w:val="22"/>
          <w:szCs w:val="22"/>
        </w:rPr>
        <w:t>“</w:t>
      </w:r>
      <w:r w:rsidRPr="0051254D">
        <w:rPr>
          <w:rFonts w:ascii="Calibri" w:hAnsi="Calibri" w:cs="Calibri"/>
          <w:sz w:val="22"/>
          <w:szCs w:val="22"/>
        </w:rPr>
        <w:t>), ak je to podľa zákona potrebné.</w:t>
      </w:r>
    </w:p>
    <w:p w14:paraId="5EB2920D" w14:textId="43338DC6" w:rsidR="0051254D" w:rsidRDefault="0051254D" w:rsidP="00982300">
      <w:pPr>
        <w:numPr>
          <w:ilvl w:val="0"/>
          <w:numId w:val="17"/>
        </w:numPr>
        <w:tabs>
          <w:tab w:val="clear" w:pos="720"/>
          <w:tab w:val="num" w:pos="1068"/>
        </w:tabs>
        <w:spacing w:line="240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51254D">
        <w:rPr>
          <w:rFonts w:ascii="Calibri" w:hAnsi="Calibri" w:cs="Calibri"/>
          <w:sz w:val="22"/>
          <w:szCs w:val="22"/>
        </w:rPr>
        <w:t>Dodávateľ je povinný viesť evidenciu všetkých nahlásených zraniteľností a uchovávať ju po dobu</w:t>
      </w:r>
      <w:r w:rsidR="000D628B">
        <w:rPr>
          <w:rFonts w:ascii="Calibri" w:hAnsi="Calibri" w:cs="Calibri"/>
          <w:sz w:val="22"/>
          <w:szCs w:val="22"/>
        </w:rPr>
        <w:t xml:space="preserve"> plnenia zmluvy a následne ju odovzdať pri ukončení predmetu plnenia hlavne Zmluvy Objednávateľovi v elektronickej editovateľnej podobe</w:t>
      </w:r>
      <w:r w:rsidRPr="0051254D">
        <w:rPr>
          <w:rFonts w:ascii="Calibri" w:hAnsi="Calibri" w:cs="Calibri"/>
          <w:sz w:val="22"/>
          <w:szCs w:val="22"/>
        </w:rPr>
        <w:t>.</w:t>
      </w:r>
    </w:p>
    <w:p w14:paraId="7731E80B" w14:textId="4386EBE6" w:rsidR="00151AD7" w:rsidRPr="00151AD7" w:rsidRDefault="00151AD7" w:rsidP="00982300">
      <w:pPr>
        <w:numPr>
          <w:ilvl w:val="0"/>
          <w:numId w:val="13"/>
        </w:numPr>
        <w:tabs>
          <w:tab w:val="clear" w:pos="7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51AD7">
        <w:rPr>
          <w:rFonts w:ascii="Calibri" w:hAnsi="Calibri" w:cs="Calibri"/>
          <w:sz w:val="22"/>
          <w:szCs w:val="22"/>
        </w:rPr>
        <w:t xml:space="preserve">Vzdialený prístup  </w:t>
      </w:r>
      <w:r>
        <w:rPr>
          <w:rFonts w:ascii="Calibri" w:hAnsi="Calibri" w:cs="Calibri"/>
          <w:sz w:val="22"/>
          <w:szCs w:val="22"/>
        </w:rPr>
        <w:t>Dodávateľa</w:t>
      </w:r>
      <w:r w:rsidRPr="00151AD7">
        <w:rPr>
          <w:rFonts w:ascii="Calibri" w:hAnsi="Calibri" w:cs="Calibri"/>
          <w:sz w:val="22"/>
          <w:szCs w:val="22"/>
        </w:rPr>
        <w:t xml:space="preserve"> a jeho subdodávateľov v zmysle </w:t>
      </w:r>
      <w:r>
        <w:rPr>
          <w:rFonts w:ascii="Calibri" w:hAnsi="Calibri" w:cs="Calibri"/>
          <w:sz w:val="22"/>
          <w:szCs w:val="22"/>
        </w:rPr>
        <w:t xml:space="preserve">hlavnej </w:t>
      </w:r>
      <w:r w:rsidRPr="00151AD7">
        <w:rPr>
          <w:rFonts w:ascii="Calibri" w:hAnsi="Calibri" w:cs="Calibri"/>
          <w:sz w:val="22"/>
          <w:szCs w:val="22"/>
        </w:rPr>
        <w:t xml:space="preserve">zmluvy do IS musí byť schválený Objednávateľom v zmysle vopred definovaných postupov. </w:t>
      </w:r>
    </w:p>
    <w:p w14:paraId="509FDFB3" w14:textId="76A7363E" w:rsidR="00151AD7" w:rsidRDefault="00151AD7" w:rsidP="00982300">
      <w:pPr>
        <w:numPr>
          <w:ilvl w:val="0"/>
          <w:numId w:val="13"/>
        </w:numPr>
        <w:tabs>
          <w:tab w:val="clear" w:pos="7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151AD7">
        <w:rPr>
          <w:rFonts w:ascii="Calibri" w:hAnsi="Calibri" w:cs="Calibri"/>
          <w:sz w:val="22"/>
          <w:szCs w:val="22"/>
        </w:rPr>
        <w:t xml:space="preserve">V prípade mimoriadnej situácie, napr. zásah pri bezpečnostnom incidente, pri prevádzkovom incidente môže byť vzdialený prístup schválený dodatočne najneskôr nasledujúci pracovný deň. </w:t>
      </w:r>
    </w:p>
    <w:p w14:paraId="07D8D94B" w14:textId="0A21D213" w:rsidR="00850903" w:rsidRPr="00151AD7" w:rsidRDefault="00850903" w:rsidP="00982300">
      <w:pPr>
        <w:numPr>
          <w:ilvl w:val="0"/>
          <w:numId w:val="13"/>
        </w:numPr>
        <w:tabs>
          <w:tab w:val="clear" w:pos="7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prípade konektivity VPN zabezpečenej zo strany Dodávateľa za účelom výkonu záručného servisu je Dodávateľ povinný využívať MFA v rámci VPN.</w:t>
      </w:r>
    </w:p>
    <w:p w14:paraId="1B690C50" w14:textId="4C242D1D" w:rsidR="003671E8" w:rsidRPr="00DA3554" w:rsidRDefault="003671E8" w:rsidP="00982300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A3554">
        <w:rPr>
          <w:rFonts w:ascii="Calibri" w:hAnsi="Calibri" w:cs="Calibri"/>
          <w:b/>
          <w:bCs/>
          <w:sz w:val="22"/>
          <w:szCs w:val="22"/>
        </w:rPr>
        <w:t>Prevádzkové opatrenia</w:t>
      </w:r>
    </w:p>
    <w:p w14:paraId="280A0F16" w14:textId="445FF970" w:rsidR="003671E8" w:rsidRPr="003671E8" w:rsidRDefault="00F15B6B" w:rsidP="00982300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Musí byť zabezpečená s</w:t>
      </w:r>
      <w:r w:rsidR="003671E8" w:rsidRPr="003671E8">
        <w:rPr>
          <w:rFonts w:ascii="Calibri" w:hAnsi="Calibri" w:cs="Calibri"/>
          <w:sz w:val="22"/>
          <w:szCs w:val="22"/>
        </w:rPr>
        <w:t>egmentácia OT siete a oddelenie od internetu.</w:t>
      </w:r>
    </w:p>
    <w:p w14:paraId="24F19769" w14:textId="254AFBA8" w:rsidR="003671E8" w:rsidRPr="003671E8" w:rsidRDefault="00F15B6B" w:rsidP="00982300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Zabezpečenie </w:t>
      </w:r>
      <w:r w:rsidR="003671E8" w:rsidRPr="003671E8">
        <w:rPr>
          <w:rFonts w:ascii="Calibri" w:hAnsi="Calibri" w:cs="Calibri"/>
          <w:sz w:val="22"/>
          <w:szCs w:val="22"/>
        </w:rPr>
        <w:t>Firewall</w:t>
      </w:r>
      <w:r>
        <w:rPr>
          <w:rFonts w:ascii="Calibri" w:hAnsi="Calibri" w:cs="Calibri"/>
          <w:sz w:val="22"/>
          <w:szCs w:val="22"/>
        </w:rPr>
        <w:t>u</w:t>
      </w:r>
      <w:r w:rsidR="003671E8" w:rsidRPr="003671E8">
        <w:rPr>
          <w:rFonts w:ascii="Calibri" w:hAnsi="Calibri" w:cs="Calibri"/>
          <w:sz w:val="22"/>
          <w:szCs w:val="22"/>
        </w:rPr>
        <w:t xml:space="preserve"> a IDS/IPS medzi OT a inými systémami</w:t>
      </w:r>
      <w:r>
        <w:rPr>
          <w:rFonts w:ascii="Calibri" w:hAnsi="Calibri" w:cs="Calibri"/>
          <w:sz w:val="22"/>
          <w:szCs w:val="22"/>
        </w:rPr>
        <w:t>, na ktoré môže mať dotknutý systém v rámci predmetu dodania vplyv v prípade incidentu</w:t>
      </w:r>
      <w:r w:rsidR="003671E8" w:rsidRPr="003671E8">
        <w:rPr>
          <w:rFonts w:ascii="Calibri" w:hAnsi="Calibri" w:cs="Calibri"/>
          <w:sz w:val="22"/>
          <w:szCs w:val="22"/>
        </w:rPr>
        <w:t>.</w:t>
      </w:r>
    </w:p>
    <w:p w14:paraId="634A5782" w14:textId="3FB8A12A" w:rsidR="003671E8" w:rsidRPr="003671E8" w:rsidRDefault="00F15B6B" w:rsidP="00982300">
      <w:pPr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Poskytnúť súčinnosť Objednávateľovi v prípade potreby pri zabezpečovaní m</w:t>
      </w:r>
      <w:r w:rsidR="003671E8" w:rsidRPr="003671E8">
        <w:rPr>
          <w:rFonts w:ascii="Calibri" w:hAnsi="Calibri" w:cs="Calibri"/>
          <w:sz w:val="22"/>
          <w:szCs w:val="22"/>
        </w:rPr>
        <w:t>onitorovani</w:t>
      </w:r>
      <w:r>
        <w:rPr>
          <w:rFonts w:ascii="Calibri" w:hAnsi="Calibri" w:cs="Calibri"/>
          <w:sz w:val="22"/>
          <w:szCs w:val="22"/>
        </w:rPr>
        <w:t>a</w:t>
      </w:r>
      <w:r w:rsidR="003671E8" w:rsidRPr="003671E8">
        <w:rPr>
          <w:rFonts w:ascii="Calibri" w:hAnsi="Calibri" w:cs="Calibri"/>
          <w:sz w:val="22"/>
          <w:szCs w:val="22"/>
        </w:rPr>
        <w:t xml:space="preserve"> všetkých bezpečnostných udalostí v OT systéme a zaznamenávanie incidentov.</w:t>
      </w:r>
      <w:r>
        <w:rPr>
          <w:rFonts w:ascii="Calibri" w:hAnsi="Calibri" w:cs="Calibri"/>
          <w:sz w:val="22"/>
          <w:szCs w:val="22"/>
        </w:rPr>
        <w:t xml:space="preserve"> Na vyžiadanie je Dodávateľ povinný poskytnúť technickú súčinnosť pri nastavení </w:t>
      </w:r>
      <w:proofErr w:type="spellStart"/>
      <w:r>
        <w:rPr>
          <w:rFonts w:ascii="Calibri" w:hAnsi="Calibri" w:cs="Calibri"/>
          <w:sz w:val="22"/>
          <w:szCs w:val="22"/>
        </w:rPr>
        <w:t>mirroringu</w:t>
      </w:r>
      <w:proofErr w:type="spellEnd"/>
      <w:r>
        <w:rPr>
          <w:rFonts w:ascii="Calibri" w:hAnsi="Calibri" w:cs="Calibri"/>
          <w:sz w:val="22"/>
          <w:szCs w:val="22"/>
        </w:rPr>
        <w:t xml:space="preserve"> toho času definovaného rozsahu systémov za účelom vykonávania bezpečnostného monitoringu nad všetkými systémami, ktoré majú priamy vplyv na kľúčový systém z pohľadu zákona o kybernetickej bezpečnosti, 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 xml:space="preserve">. kľúčovú službu Centrálny riadiaci systém tunelov a Informačný systém diaľnic a rýchlostných ciest. </w:t>
      </w:r>
    </w:p>
    <w:p w14:paraId="0330ABE9" w14:textId="36889FF6" w:rsidR="003671E8" w:rsidRPr="00DA3554" w:rsidRDefault="003671E8" w:rsidP="00982300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A3554">
        <w:rPr>
          <w:rFonts w:ascii="Calibri" w:hAnsi="Calibri" w:cs="Calibri"/>
          <w:b/>
          <w:bCs/>
          <w:sz w:val="22"/>
          <w:szCs w:val="22"/>
        </w:rPr>
        <w:t>Incident manažment</w:t>
      </w:r>
    </w:p>
    <w:p w14:paraId="7D3FCB94" w14:textId="5806A8DB" w:rsidR="003671E8" w:rsidRPr="003671E8" w:rsidRDefault="00D40A95" w:rsidP="00982300">
      <w:pPr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Dodávateľ je povinný v</w:t>
      </w:r>
      <w:r w:rsidR="003671E8" w:rsidRPr="003671E8">
        <w:rPr>
          <w:rFonts w:ascii="Calibri" w:hAnsi="Calibri" w:cs="Calibri"/>
          <w:sz w:val="22"/>
          <w:szCs w:val="22"/>
        </w:rPr>
        <w:t>ypracova</w:t>
      </w:r>
      <w:r>
        <w:rPr>
          <w:rFonts w:ascii="Calibri" w:hAnsi="Calibri" w:cs="Calibri"/>
          <w:sz w:val="22"/>
          <w:szCs w:val="22"/>
        </w:rPr>
        <w:t>ť</w:t>
      </w:r>
      <w:r w:rsidR="003671E8" w:rsidRPr="003671E8">
        <w:rPr>
          <w:rFonts w:ascii="Calibri" w:hAnsi="Calibri" w:cs="Calibri"/>
          <w:sz w:val="22"/>
          <w:szCs w:val="22"/>
        </w:rPr>
        <w:t xml:space="preserve"> a doda</w:t>
      </w:r>
      <w:r>
        <w:rPr>
          <w:rFonts w:ascii="Calibri" w:hAnsi="Calibri" w:cs="Calibri"/>
          <w:sz w:val="22"/>
          <w:szCs w:val="22"/>
        </w:rPr>
        <w:t>ť</w:t>
      </w:r>
      <w:r w:rsidR="003671E8" w:rsidRPr="003671E8">
        <w:rPr>
          <w:rFonts w:ascii="Calibri" w:hAnsi="Calibri" w:cs="Calibri"/>
          <w:sz w:val="22"/>
          <w:szCs w:val="22"/>
        </w:rPr>
        <w:t xml:space="preserve"> plán reakcie na kybernetické incidenty</w:t>
      </w:r>
      <w:r w:rsidR="00E61B9E">
        <w:rPr>
          <w:rFonts w:ascii="Calibri" w:hAnsi="Calibri" w:cs="Calibri"/>
          <w:sz w:val="22"/>
          <w:szCs w:val="22"/>
        </w:rPr>
        <w:t xml:space="preserve"> na úrovni prevádzkovaného systému - UTO</w:t>
      </w:r>
      <w:r w:rsidR="003671E8" w:rsidRPr="003671E8">
        <w:rPr>
          <w:rFonts w:ascii="Calibri" w:hAnsi="Calibri" w:cs="Calibri"/>
          <w:sz w:val="22"/>
          <w:szCs w:val="22"/>
        </w:rPr>
        <w:t>.</w:t>
      </w:r>
    </w:p>
    <w:p w14:paraId="1371E6FB" w14:textId="77649B9E" w:rsidR="003671E8" w:rsidRDefault="003671E8" w:rsidP="00982300">
      <w:pPr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671E8">
        <w:rPr>
          <w:rFonts w:ascii="Calibri" w:hAnsi="Calibri" w:cs="Calibri"/>
          <w:sz w:val="22"/>
          <w:szCs w:val="22"/>
        </w:rPr>
        <w:lastRenderedPageBreak/>
        <w:t xml:space="preserve">Raz ročne </w:t>
      </w:r>
      <w:r w:rsidR="00D40A95">
        <w:rPr>
          <w:rFonts w:ascii="Calibri" w:hAnsi="Calibri" w:cs="Calibri"/>
          <w:sz w:val="22"/>
          <w:szCs w:val="22"/>
        </w:rPr>
        <w:t xml:space="preserve">spoločne s Objednávateľom </w:t>
      </w:r>
      <w:r w:rsidRPr="003671E8">
        <w:rPr>
          <w:rFonts w:ascii="Calibri" w:hAnsi="Calibri" w:cs="Calibri"/>
          <w:sz w:val="22"/>
          <w:szCs w:val="22"/>
        </w:rPr>
        <w:t>vykonať simuláciu incidentu a vyhodnotenie.</w:t>
      </w:r>
    </w:p>
    <w:p w14:paraId="4D7AB70B" w14:textId="77777777" w:rsidR="003C0EB9" w:rsidRDefault="003C0EB9" w:rsidP="00982300">
      <w:pPr>
        <w:pStyle w:val="Odsekzoznamu"/>
        <w:numPr>
          <w:ilvl w:val="0"/>
          <w:numId w:val="15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Dodávateľ je povinný zabezpečiť: </w:t>
      </w:r>
    </w:p>
    <w:p w14:paraId="77CCAAC6" w14:textId="1427948E" w:rsidR="003C0EB9" w:rsidRDefault="003C0EB9" w:rsidP="00982300">
      <w:pPr>
        <w:pStyle w:val="Odsekzoznamu"/>
        <w:numPr>
          <w:ilvl w:val="1"/>
          <w:numId w:val="1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3C0EB9">
        <w:rPr>
          <w:rFonts w:ascii="Calibri" w:hAnsi="Calibri" w:cs="Calibri"/>
          <w:sz w:val="22"/>
          <w:szCs w:val="22"/>
        </w:rPr>
        <w:t>oboznámenie sa s postupmi Objednávateľa pri riešení KBI a spracovanie interných postupov riešenia KBI, ktoré zahŕňajú minimálne postupy hlásenia KBI voči Objednávateľovi.</w:t>
      </w:r>
    </w:p>
    <w:p w14:paraId="27F28C67" w14:textId="77777777" w:rsidR="003C0EB9" w:rsidRPr="003C0EB9" w:rsidRDefault="003C0EB9" w:rsidP="00982300">
      <w:pPr>
        <w:pStyle w:val="Odsekzoznamu"/>
        <w:numPr>
          <w:ilvl w:val="1"/>
          <w:numId w:val="1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3C0EB9">
        <w:rPr>
          <w:rFonts w:ascii="Calibri" w:hAnsi="Calibri" w:cs="Calibri"/>
          <w:sz w:val="22"/>
          <w:szCs w:val="22"/>
        </w:rPr>
        <w:t>poskytovať súčinnosť Objednávateľovi pri činnostiach ako: detegovanie KBI, prostredníctvom nástroja na detekciu KBI, ktorý umožňuje v rámci sietí a informačných systémov a medzi sieťami a informačnými systémami overenie a kontrolu prenášaných dát,</w:t>
      </w:r>
    </w:p>
    <w:p w14:paraId="1821F15F" w14:textId="33C53685" w:rsidR="003C0EB9" w:rsidRDefault="003C0EB9" w:rsidP="00982300">
      <w:pPr>
        <w:pStyle w:val="Odsekzoznamu"/>
        <w:numPr>
          <w:ilvl w:val="1"/>
          <w:numId w:val="1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3C0EB9">
        <w:rPr>
          <w:rFonts w:ascii="Calibri" w:hAnsi="Calibri" w:cs="Calibri"/>
          <w:sz w:val="22"/>
          <w:szCs w:val="22"/>
        </w:rPr>
        <w:t>prípade potreby poskytnúť súčinnosť pri vyhodnocovaní relevantných informácií o KBI prostredníctvom nástroja na zber a nepretržité vyhodnocovanie kybernetických bezpečnostných udalostí v</w:t>
      </w:r>
      <w:r>
        <w:rPr>
          <w:rFonts w:ascii="Calibri" w:hAnsi="Calibri" w:cs="Calibri"/>
          <w:sz w:val="22"/>
          <w:szCs w:val="22"/>
        </w:rPr>
        <w:t xml:space="preserve">o vlastníctve a </w:t>
      </w:r>
      <w:r w:rsidRPr="003C0EB9">
        <w:rPr>
          <w:rFonts w:ascii="Calibri" w:hAnsi="Calibri" w:cs="Calibri"/>
          <w:sz w:val="22"/>
          <w:szCs w:val="22"/>
        </w:rPr>
        <w:t>gescii Objednávateľa, ktorý umožňuje zber a vyhodnocovanie informácií o KBI; za relevantné informácie Objednávateľ považuje informácie minimálne v rozsahu potrebnom na nahlásenie KBI na Národný bezpečnostný úrad,</w:t>
      </w:r>
    </w:p>
    <w:p w14:paraId="610F1F16" w14:textId="7BE56740" w:rsidR="003C0EB9" w:rsidRDefault="003C0EB9" w:rsidP="00982300">
      <w:pPr>
        <w:pStyle w:val="Odsekzoznamu"/>
        <w:numPr>
          <w:ilvl w:val="1"/>
          <w:numId w:val="1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3C0EB9">
        <w:rPr>
          <w:rFonts w:ascii="Calibri" w:hAnsi="Calibri" w:cs="Calibri"/>
          <w:sz w:val="22"/>
          <w:szCs w:val="22"/>
        </w:rPr>
        <w:t xml:space="preserve">Hlásenie incidentov a následná komunikácia prebieha medzi kontaktnými osobami zmluvných strán uvedených v prílohe č. 1 tejto Zmluvy a postupom </w:t>
      </w:r>
      <w:r>
        <w:rPr>
          <w:rFonts w:ascii="Calibri" w:hAnsi="Calibri" w:cs="Calibri"/>
          <w:sz w:val="22"/>
          <w:szCs w:val="22"/>
        </w:rPr>
        <w:t xml:space="preserve">definovanom v bezpečnostnej politike </w:t>
      </w:r>
      <w:r w:rsidRPr="003C0EB9">
        <w:rPr>
          <w:rFonts w:ascii="Calibri" w:hAnsi="Calibri" w:cs="Calibri"/>
          <w:sz w:val="22"/>
          <w:szCs w:val="22"/>
        </w:rPr>
        <w:t xml:space="preserve"> „Poriad</w:t>
      </w:r>
      <w:r>
        <w:rPr>
          <w:rFonts w:ascii="Calibri" w:hAnsi="Calibri" w:cs="Calibri"/>
          <w:sz w:val="22"/>
          <w:szCs w:val="22"/>
        </w:rPr>
        <w:t>ok</w:t>
      </w:r>
      <w:r w:rsidRPr="003C0EB9">
        <w:rPr>
          <w:rFonts w:ascii="Calibri" w:hAnsi="Calibri" w:cs="Calibri"/>
          <w:sz w:val="22"/>
          <w:szCs w:val="22"/>
        </w:rPr>
        <w:t xml:space="preserve"> o riadení bezpečnostných a kybernetických incidentov Národnej diaľničnej spoločnosti, a. s. Objednávateľa“</w:t>
      </w:r>
    </w:p>
    <w:p w14:paraId="554BB368" w14:textId="77777777" w:rsidR="00982300" w:rsidRDefault="00982300" w:rsidP="00982300">
      <w:pPr>
        <w:pStyle w:val="Odsekzoznamu"/>
        <w:spacing w:line="240" w:lineRule="auto"/>
        <w:ind w:left="1440"/>
        <w:rPr>
          <w:rFonts w:ascii="Calibri" w:hAnsi="Calibri" w:cs="Calibri"/>
          <w:sz w:val="22"/>
          <w:szCs w:val="22"/>
        </w:rPr>
      </w:pPr>
    </w:p>
    <w:p w14:paraId="30C242FE" w14:textId="42B6F7B7" w:rsidR="00151AD7" w:rsidRPr="00151AD7" w:rsidRDefault="00151AD7" w:rsidP="00982300">
      <w:pPr>
        <w:pStyle w:val="Odsekzoznamu"/>
        <w:numPr>
          <w:ilvl w:val="0"/>
          <w:numId w:val="1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1AD7">
        <w:rPr>
          <w:rFonts w:ascii="Calibri" w:hAnsi="Calibri" w:cs="Calibri"/>
          <w:sz w:val="22"/>
          <w:szCs w:val="22"/>
        </w:rPr>
        <w:t xml:space="preserve">Objednávateľ zabezpečí </w:t>
      </w:r>
      <w:r>
        <w:rPr>
          <w:rFonts w:ascii="Calibri" w:hAnsi="Calibri" w:cs="Calibri"/>
          <w:sz w:val="22"/>
          <w:szCs w:val="22"/>
        </w:rPr>
        <w:t>Dodávateľovi</w:t>
      </w:r>
      <w:r w:rsidRPr="00151AD7">
        <w:rPr>
          <w:rFonts w:ascii="Calibri" w:hAnsi="Calibri" w:cs="Calibri"/>
          <w:sz w:val="22"/>
          <w:szCs w:val="22"/>
        </w:rPr>
        <w:t xml:space="preserve"> do </w:t>
      </w:r>
      <w:r w:rsidR="00FB228C">
        <w:rPr>
          <w:rFonts w:ascii="Calibri" w:hAnsi="Calibri" w:cs="Calibri"/>
          <w:sz w:val="22"/>
          <w:szCs w:val="22"/>
        </w:rPr>
        <w:t>60</w:t>
      </w:r>
      <w:r w:rsidRPr="00151AD7">
        <w:rPr>
          <w:rFonts w:ascii="Calibri" w:hAnsi="Calibri" w:cs="Calibri"/>
          <w:sz w:val="22"/>
          <w:szCs w:val="22"/>
        </w:rPr>
        <w:t xml:space="preserve"> pracovných dní od protokolárneho nasadenia bezpečnostného nástroja </w:t>
      </w:r>
      <w:r w:rsidR="00CC0EC0">
        <w:rPr>
          <w:rFonts w:ascii="Calibri" w:hAnsi="Calibri" w:cs="Calibri"/>
          <w:sz w:val="22"/>
          <w:szCs w:val="22"/>
        </w:rPr>
        <w:t xml:space="preserve">Objednávateľa </w:t>
      </w:r>
      <w:r w:rsidRPr="00151AD7">
        <w:rPr>
          <w:rFonts w:ascii="Calibri" w:hAnsi="Calibri" w:cs="Calibri"/>
          <w:sz w:val="22"/>
          <w:szCs w:val="22"/>
        </w:rPr>
        <w:t>prístup k bezpečnostnému monitorovaciemu nástroju vo forme „</w:t>
      </w:r>
      <w:proofErr w:type="spellStart"/>
      <w:r w:rsidRPr="00151AD7">
        <w:rPr>
          <w:rFonts w:ascii="Calibri" w:hAnsi="Calibri" w:cs="Calibri"/>
          <w:sz w:val="22"/>
          <w:szCs w:val="22"/>
        </w:rPr>
        <w:t>read-only</w:t>
      </w:r>
      <w:proofErr w:type="spellEnd"/>
      <w:r w:rsidRPr="00151AD7">
        <w:rPr>
          <w:rFonts w:ascii="Calibri" w:hAnsi="Calibri" w:cs="Calibri"/>
          <w:sz w:val="22"/>
          <w:szCs w:val="22"/>
        </w:rPr>
        <w:t xml:space="preserve">“ účtu (len na čítanie), po technickej implementácii podľa vyššie uvedených bodov pre určeného zamestnanca </w:t>
      </w:r>
      <w:r w:rsidR="00CC0EC0">
        <w:rPr>
          <w:rFonts w:ascii="Calibri" w:hAnsi="Calibri" w:cs="Calibri"/>
          <w:sz w:val="22"/>
          <w:szCs w:val="22"/>
        </w:rPr>
        <w:t>Dodávateľa.</w:t>
      </w:r>
    </w:p>
    <w:p w14:paraId="13B6D91E" w14:textId="63F66BBD" w:rsidR="003671E8" w:rsidRPr="0051254D" w:rsidRDefault="003671E8" w:rsidP="00982300">
      <w:pPr>
        <w:pStyle w:val="Odsekzoznamu"/>
        <w:spacing w:line="240" w:lineRule="auto"/>
        <w:ind w:left="1440"/>
        <w:rPr>
          <w:rFonts w:ascii="Calibri" w:hAnsi="Calibri" w:cs="Calibri"/>
          <w:sz w:val="22"/>
          <w:szCs w:val="22"/>
        </w:rPr>
      </w:pPr>
    </w:p>
    <w:p w14:paraId="68B414A2" w14:textId="4CC1AF2A" w:rsidR="003671E8" w:rsidRPr="00DA3554" w:rsidRDefault="003671E8" w:rsidP="00982300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A3554">
        <w:rPr>
          <w:rFonts w:ascii="Calibri" w:hAnsi="Calibri" w:cs="Calibri"/>
          <w:b/>
          <w:bCs/>
          <w:sz w:val="22"/>
          <w:szCs w:val="22"/>
        </w:rPr>
        <w:t>Špecifiká tunelového prostredia</w:t>
      </w:r>
      <w:r w:rsidR="00B178A6">
        <w:rPr>
          <w:rFonts w:ascii="Calibri" w:hAnsi="Calibri" w:cs="Calibri"/>
          <w:b/>
          <w:bCs/>
          <w:sz w:val="22"/>
          <w:szCs w:val="22"/>
        </w:rPr>
        <w:t xml:space="preserve"> a iné požiadavky</w:t>
      </w:r>
    </w:p>
    <w:p w14:paraId="5F8888A8" w14:textId="74FFAD22" w:rsidR="003671E8" w:rsidRPr="003671E8" w:rsidRDefault="0051254D" w:rsidP="00982300">
      <w:pPr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Dodávateľ je povinný zabezpečiť l</w:t>
      </w:r>
      <w:r w:rsidR="003671E8" w:rsidRPr="003671E8">
        <w:rPr>
          <w:rFonts w:ascii="Calibri" w:hAnsi="Calibri" w:cs="Calibri"/>
          <w:sz w:val="22"/>
          <w:szCs w:val="22"/>
        </w:rPr>
        <w:t>ogovanie činností technikov aj počas nočných/víkendových pracovných cyklov.</w:t>
      </w:r>
    </w:p>
    <w:p w14:paraId="13EF6DE6" w14:textId="77777777" w:rsidR="003671E8" w:rsidRPr="003671E8" w:rsidRDefault="003671E8" w:rsidP="00982300">
      <w:pPr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671E8">
        <w:rPr>
          <w:rFonts w:ascii="Calibri" w:hAnsi="Calibri" w:cs="Calibri"/>
          <w:sz w:val="22"/>
          <w:szCs w:val="22"/>
        </w:rPr>
        <w:t>Registrovanie a zabezpečenie všetkých RF zariadení (napr. bezdrôtových kamier).</w:t>
      </w:r>
    </w:p>
    <w:p w14:paraId="6357D45D" w14:textId="4E9CA87D" w:rsidR="003671E8" w:rsidRDefault="0051254D" w:rsidP="00982300">
      <w:pPr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Všetky osoby  Dodávateľa  a jeho subdodávateľov pri </w:t>
      </w:r>
      <w:r w:rsidR="003671E8" w:rsidRPr="003671E8">
        <w:rPr>
          <w:rFonts w:ascii="Calibri" w:hAnsi="Calibri" w:cs="Calibri"/>
          <w:sz w:val="22"/>
          <w:szCs w:val="22"/>
        </w:rPr>
        <w:t>fyzick</w:t>
      </w:r>
      <w:r>
        <w:rPr>
          <w:rFonts w:ascii="Calibri" w:hAnsi="Calibri" w:cs="Calibri"/>
          <w:sz w:val="22"/>
          <w:szCs w:val="22"/>
        </w:rPr>
        <w:t>om</w:t>
      </w:r>
      <w:r w:rsidR="003671E8" w:rsidRPr="003671E8">
        <w:rPr>
          <w:rFonts w:ascii="Calibri" w:hAnsi="Calibri" w:cs="Calibri"/>
          <w:sz w:val="22"/>
          <w:szCs w:val="22"/>
        </w:rPr>
        <w:t xml:space="preserve"> prístupu osôb a zariadení vstupujúcich do tunel</w:t>
      </w:r>
      <w:r>
        <w:rPr>
          <w:rFonts w:ascii="Calibri" w:hAnsi="Calibri" w:cs="Calibri"/>
          <w:sz w:val="22"/>
          <w:szCs w:val="22"/>
        </w:rPr>
        <w:t xml:space="preserve">a sú povinné všetky bezpečnostné usmernenia a opatrenia fyzickej bezpečnosti na dotknutom pracovisku. </w:t>
      </w:r>
    </w:p>
    <w:p w14:paraId="183CADD6" w14:textId="0A98EF3C" w:rsidR="00B178A6" w:rsidRDefault="00B178A6" w:rsidP="008C5954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Dodávateľ</w:t>
      </w:r>
      <w:r w:rsidRPr="00B178A6">
        <w:rPr>
          <w:rFonts w:ascii="Calibri" w:hAnsi="Calibri" w:cs="Calibri"/>
          <w:sz w:val="22"/>
          <w:szCs w:val="22"/>
        </w:rPr>
        <w:t xml:space="preserve"> musí prispôsobiť opatrenia na základe spätnej väzby od Objednávateľa a výsledkov hodnotení rizík  v súlade s postupmi pre zmenové požiadavky definovanými hlavnou </w:t>
      </w:r>
      <w:r>
        <w:rPr>
          <w:rFonts w:ascii="Calibri" w:hAnsi="Calibri" w:cs="Calibri"/>
          <w:sz w:val="22"/>
          <w:szCs w:val="22"/>
        </w:rPr>
        <w:t>Z</w:t>
      </w:r>
      <w:r w:rsidRPr="00B178A6">
        <w:rPr>
          <w:rFonts w:ascii="Calibri" w:hAnsi="Calibri" w:cs="Calibri"/>
          <w:sz w:val="22"/>
          <w:szCs w:val="22"/>
        </w:rPr>
        <w:t>mluvou</w:t>
      </w:r>
      <w:r>
        <w:rPr>
          <w:rFonts w:ascii="Calibri" w:hAnsi="Calibri" w:cs="Calibri"/>
          <w:sz w:val="22"/>
          <w:szCs w:val="22"/>
        </w:rPr>
        <w:t>.</w:t>
      </w:r>
      <w:r w:rsidRPr="00B178A6">
        <w:rPr>
          <w:rFonts w:ascii="Calibri" w:hAnsi="Calibri" w:cs="Calibri"/>
          <w:sz w:val="22"/>
          <w:szCs w:val="22"/>
        </w:rPr>
        <w:t xml:space="preserve"> </w:t>
      </w:r>
    </w:p>
    <w:p w14:paraId="281E81F4" w14:textId="77777777" w:rsidR="009A1F03" w:rsidRDefault="009A1F03" w:rsidP="008C5954">
      <w:pPr>
        <w:pStyle w:val="Odsekzoznamu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07BDF8B" w14:textId="225E9CAF" w:rsidR="0044324D" w:rsidRPr="00B178A6" w:rsidRDefault="00B41CFE" w:rsidP="008C5954">
      <w:pPr>
        <w:pStyle w:val="Odsekzoznamu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prípade použitia technológie obsahujúcej AI prvky, je potrebné zo strany Dodávateľa poskytnúť </w:t>
      </w:r>
      <w:r w:rsidR="000B2D16">
        <w:rPr>
          <w:rFonts w:ascii="Calibri" w:hAnsi="Calibri" w:cs="Calibri"/>
          <w:sz w:val="22"/>
          <w:szCs w:val="22"/>
        </w:rPr>
        <w:t xml:space="preserve">Objednávateľovi </w:t>
      </w:r>
      <w:r>
        <w:rPr>
          <w:rFonts w:ascii="Calibri" w:hAnsi="Calibri" w:cs="Calibri"/>
          <w:sz w:val="22"/>
          <w:szCs w:val="22"/>
        </w:rPr>
        <w:t>príslušnú analýzu</w:t>
      </w:r>
      <w:r w:rsidR="008C5954">
        <w:rPr>
          <w:rFonts w:ascii="Calibri" w:hAnsi="Calibri" w:cs="Calibri"/>
          <w:sz w:val="22"/>
          <w:szCs w:val="22"/>
        </w:rPr>
        <w:t xml:space="preserve"> rizík</w:t>
      </w:r>
      <w:r>
        <w:rPr>
          <w:rFonts w:ascii="Calibri" w:hAnsi="Calibri" w:cs="Calibri"/>
          <w:sz w:val="22"/>
          <w:szCs w:val="22"/>
        </w:rPr>
        <w:t xml:space="preserve"> z pohľadu bezpečnosti</w:t>
      </w:r>
      <w:r w:rsidR="000B0C12">
        <w:rPr>
          <w:rFonts w:ascii="Calibri" w:hAnsi="Calibri" w:cs="Calibri"/>
          <w:sz w:val="22"/>
          <w:szCs w:val="22"/>
        </w:rPr>
        <w:t xml:space="preserve"> a je povinný dodržiavať Akt o</w:t>
      </w:r>
      <w:r w:rsidR="001335DF">
        <w:rPr>
          <w:rFonts w:ascii="Calibri" w:hAnsi="Calibri" w:cs="Calibri"/>
          <w:sz w:val="22"/>
          <w:szCs w:val="22"/>
        </w:rPr>
        <w:t> </w:t>
      </w:r>
      <w:r w:rsidR="000B0C12">
        <w:rPr>
          <w:rFonts w:ascii="Calibri" w:hAnsi="Calibri" w:cs="Calibri"/>
          <w:sz w:val="22"/>
          <w:szCs w:val="22"/>
        </w:rPr>
        <w:t>AI</w:t>
      </w:r>
      <w:r w:rsidR="001335D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335DF">
        <w:rPr>
          <w:rFonts w:ascii="Calibri" w:hAnsi="Calibri" w:cs="Calibri"/>
          <w:sz w:val="22"/>
          <w:szCs w:val="22"/>
        </w:rPr>
        <w:t>t.j</w:t>
      </w:r>
      <w:proofErr w:type="spellEnd"/>
      <w:r w:rsidR="001335DF">
        <w:rPr>
          <w:rFonts w:ascii="Calibri" w:hAnsi="Calibri" w:cs="Calibri"/>
          <w:sz w:val="22"/>
          <w:szCs w:val="22"/>
        </w:rPr>
        <w:t>.</w:t>
      </w:r>
      <w:r w:rsidR="001335DF" w:rsidRPr="001335DF">
        <w:t xml:space="preserve"> </w:t>
      </w:r>
      <w:r w:rsidR="001335DF">
        <w:rPr>
          <w:rFonts w:ascii="Calibri" w:hAnsi="Calibri" w:cs="Calibri"/>
          <w:sz w:val="22"/>
          <w:szCs w:val="22"/>
        </w:rPr>
        <w:t>N</w:t>
      </w:r>
      <w:r w:rsidR="001335DF" w:rsidRPr="001335DF">
        <w:rPr>
          <w:rFonts w:ascii="Calibri" w:hAnsi="Calibri" w:cs="Calibri"/>
          <w:sz w:val="22"/>
          <w:szCs w:val="22"/>
        </w:rPr>
        <w:t>ariadenie (EÚ) 2024/1689, ktorým sa stanovujú harmonizované pravidlá v oblasti umelej inteligencie</w:t>
      </w:r>
      <w:r w:rsidR="008C5954">
        <w:rPr>
          <w:rFonts w:ascii="Calibri" w:hAnsi="Calibri" w:cs="Calibri"/>
          <w:sz w:val="22"/>
          <w:szCs w:val="22"/>
        </w:rPr>
        <w:t>.</w:t>
      </w:r>
    </w:p>
    <w:p w14:paraId="6B1CB6BE" w14:textId="77777777" w:rsidR="00B178A6" w:rsidRPr="003671E8" w:rsidRDefault="00B178A6" w:rsidP="00982300">
      <w:pPr>
        <w:spacing w:line="240" w:lineRule="auto"/>
        <w:ind w:left="72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B178A6" w:rsidRPr="003671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E9324" w14:textId="77777777" w:rsidR="00751F66" w:rsidRDefault="00751F66" w:rsidP="00DA3554">
      <w:pPr>
        <w:spacing w:after="0" w:line="240" w:lineRule="auto"/>
      </w:pPr>
      <w:r>
        <w:separator/>
      </w:r>
    </w:p>
  </w:endnote>
  <w:endnote w:type="continuationSeparator" w:id="0">
    <w:p w14:paraId="1D5B2FCA" w14:textId="77777777" w:rsidR="00751F66" w:rsidRDefault="00751F66" w:rsidP="00DA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FC1D4" w14:textId="77777777" w:rsidR="00751F66" w:rsidRDefault="00751F66" w:rsidP="00DA3554">
      <w:pPr>
        <w:spacing w:after="0" w:line="240" w:lineRule="auto"/>
      </w:pPr>
      <w:r>
        <w:separator/>
      </w:r>
    </w:p>
  </w:footnote>
  <w:footnote w:type="continuationSeparator" w:id="0">
    <w:p w14:paraId="175EEF84" w14:textId="77777777" w:rsidR="00751F66" w:rsidRDefault="00751F66" w:rsidP="00DA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03FD9" w14:textId="0ADF9AEF" w:rsidR="00DA3554" w:rsidRPr="00DA3554" w:rsidRDefault="00DA3554" w:rsidP="00DA3554">
    <w:pPr>
      <w:pStyle w:val="Hlavika"/>
      <w:jc w:val="right"/>
      <w:rPr>
        <w:rFonts w:ascii="Calibri" w:hAnsi="Calibri" w:cs="Calibri"/>
        <w:sz w:val="22"/>
        <w:szCs w:val="22"/>
      </w:rPr>
    </w:pPr>
    <w:r w:rsidRPr="00DA3554">
      <w:rPr>
        <w:rFonts w:ascii="Calibri" w:hAnsi="Calibri" w:cs="Calibri"/>
        <w:sz w:val="22"/>
        <w:szCs w:val="22"/>
      </w:rPr>
      <w:t>Príloha č. 2 - k Zmluve o zabezpečení plnenia bezpečnostných opatrení a notifikačných opatrení- Špecifikácia bezpečnostných opatrení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39"/>
    <w:multiLevelType w:val="multilevel"/>
    <w:tmpl w:val="0CB8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80D83"/>
    <w:multiLevelType w:val="multilevel"/>
    <w:tmpl w:val="B1B2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E7174"/>
    <w:multiLevelType w:val="multilevel"/>
    <w:tmpl w:val="7E7E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F45E1"/>
    <w:multiLevelType w:val="multilevel"/>
    <w:tmpl w:val="181E88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54436"/>
    <w:multiLevelType w:val="multilevel"/>
    <w:tmpl w:val="1D3C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C769A"/>
    <w:multiLevelType w:val="multilevel"/>
    <w:tmpl w:val="67CA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659DF"/>
    <w:multiLevelType w:val="multilevel"/>
    <w:tmpl w:val="F2CE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B628A"/>
    <w:multiLevelType w:val="multilevel"/>
    <w:tmpl w:val="0F3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5036F"/>
    <w:multiLevelType w:val="multilevel"/>
    <w:tmpl w:val="3E7C7D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A7737"/>
    <w:multiLevelType w:val="multilevel"/>
    <w:tmpl w:val="0CB271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52B6E"/>
    <w:multiLevelType w:val="multilevel"/>
    <w:tmpl w:val="B0D8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13EB6"/>
    <w:multiLevelType w:val="multilevel"/>
    <w:tmpl w:val="ACF846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07202"/>
    <w:multiLevelType w:val="multilevel"/>
    <w:tmpl w:val="0C8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1121E"/>
    <w:multiLevelType w:val="hybridMultilevel"/>
    <w:tmpl w:val="66C2A2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B4403B"/>
    <w:multiLevelType w:val="multilevel"/>
    <w:tmpl w:val="49A243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70002"/>
    <w:multiLevelType w:val="multilevel"/>
    <w:tmpl w:val="7A2697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210F5"/>
    <w:multiLevelType w:val="hybridMultilevel"/>
    <w:tmpl w:val="0E648A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55212"/>
    <w:multiLevelType w:val="multilevel"/>
    <w:tmpl w:val="A84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2"/>
  </w:num>
  <w:num w:numId="5">
    <w:abstractNumId w:val="17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16"/>
  </w:num>
  <w:num w:numId="12">
    <w:abstractNumId w:val="14"/>
  </w:num>
  <w:num w:numId="13">
    <w:abstractNumId w:val="9"/>
  </w:num>
  <w:num w:numId="14">
    <w:abstractNumId w:val="11"/>
  </w:num>
  <w:num w:numId="15">
    <w:abstractNumId w:val="15"/>
  </w:num>
  <w:num w:numId="16">
    <w:abstractNumId w:val="8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E8"/>
    <w:rsid w:val="000B0C12"/>
    <w:rsid w:val="000B2D16"/>
    <w:rsid w:val="000D628B"/>
    <w:rsid w:val="001335DF"/>
    <w:rsid w:val="00151AD7"/>
    <w:rsid w:val="003671E8"/>
    <w:rsid w:val="003B5946"/>
    <w:rsid w:val="003C0EB9"/>
    <w:rsid w:val="0044324D"/>
    <w:rsid w:val="0051254D"/>
    <w:rsid w:val="00536B8D"/>
    <w:rsid w:val="00550950"/>
    <w:rsid w:val="00594B06"/>
    <w:rsid w:val="005A3646"/>
    <w:rsid w:val="00751F66"/>
    <w:rsid w:val="00850903"/>
    <w:rsid w:val="008C5954"/>
    <w:rsid w:val="00982300"/>
    <w:rsid w:val="009A1F03"/>
    <w:rsid w:val="009F59AF"/>
    <w:rsid w:val="00B178A6"/>
    <w:rsid w:val="00B41CFE"/>
    <w:rsid w:val="00CC0EC0"/>
    <w:rsid w:val="00D1737E"/>
    <w:rsid w:val="00D40A95"/>
    <w:rsid w:val="00DA3554"/>
    <w:rsid w:val="00E61B9E"/>
    <w:rsid w:val="00F15B6B"/>
    <w:rsid w:val="00FB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6B52"/>
  <w15:chartTrackingRefBased/>
  <w15:docId w15:val="{EF6C4C74-43E0-470F-9074-FD1C6DB0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67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67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7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7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7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7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7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7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7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7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67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7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71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71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71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71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71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71E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7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67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7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67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7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671E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71E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671E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7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71E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71E8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A3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3554"/>
  </w:style>
  <w:style w:type="paragraph" w:styleId="Pta">
    <w:name w:val="footer"/>
    <w:basedOn w:val="Normlny"/>
    <w:link w:val="PtaChar"/>
    <w:uiPriority w:val="99"/>
    <w:unhideWhenUsed/>
    <w:rsid w:val="00DA3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Blažíčková</dc:creator>
  <cp:keywords/>
  <dc:description/>
  <cp:lastModifiedBy>Blažíčková Viktória</cp:lastModifiedBy>
  <cp:revision>7</cp:revision>
  <dcterms:created xsi:type="dcterms:W3CDTF">2025-09-22T07:39:00Z</dcterms:created>
  <dcterms:modified xsi:type="dcterms:W3CDTF">2025-09-22T08:15:00Z</dcterms:modified>
</cp:coreProperties>
</file>