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04C14346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555DA">
        <w:rPr>
          <w:rFonts w:ascii="Times New Roman" w:hAnsi="Times New Roman"/>
          <w:sz w:val="22"/>
        </w:rPr>
        <w:t>5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7286AEF9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241A3D" w:rsidRPr="00241A3D"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  <w:t>Materiálno-technické a produkčné zabezpečenie</w:t>
      </w:r>
      <w:r w:rsidR="00BA4628">
        <w:rPr>
          <w:rFonts w:ascii="Times New Roman" w:hAnsi="Times New Roman" w:cs="Times New Roman"/>
          <w:b/>
          <w:bCs/>
          <w:sz w:val="22"/>
          <w:szCs w:val="22"/>
        </w:rPr>
        <w:t xml:space="preserve"> podujatí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413BC848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5C25EF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98</w:t>
      </w:r>
      <w:r w:rsidR="00BA462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 </w:t>
      </w:r>
      <w:r w:rsidR="00BA462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000</w:t>
      </w:r>
      <w:r w:rsidR="00FC7CC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,00</w:t>
      </w:r>
      <w:r w:rsidR="00900EF9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,-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12A63889" w:rsidR="00774762" w:rsidRPr="00241A3D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A4628" w:rsidRPr="00241A3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24</w:t>
      </w:r>
      <w:r w:rsidR="00FC0E96" w:rsidRPr="00241A3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41A3D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B555DA" w14:paraId="1A83A5D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1134A" w14:textId="538D6A7E" w:rsidR="00B555DA" w:rsidRDefault="00B555DA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79950000-8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DC537" w14:textId="4E7B42A8" w:rsidR="00B555DA" w:rsidRDefault="00B555DA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Organizovanie výstav, veľtrhov a kongresov</w:t>
            </w:r>
          </w:p>
        </w:tc>
      </w:tr>
      <w:tr w:rsidR="00B555DA" w14:paraId="7DD3D62B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8162D" w14:textId="10230C60" w:rsidR="00B555DA" w:rsidRDefault="00B555DA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79951000-5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7AF0F" w14:textId="6589A3F5" w:rsidR="00B555DA" w:rsidRDefault="00B555DA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Organizovanie seminárov</w:t>
            </w:r>
          </w:p>
        </w:tc>
      </w:tr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16F37260" w:rsidR="008E3C23" w:rsidRPr="00994844" w:rsidRDefault="00BA4628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79952000</w:t>
            </w:r>
            <w:r w:rsidR="008E3C23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5DEAB838" w:rsidR="008E3C23" w:rsidRPr="00994844" w:rsidRDefault="00BA4628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900EF9">
              <w:rPr>
                <w:rFonts w:ascii="Times New Roman" w:hAnsi="Times New Roman"/>
                <w:sz w:val="22"/>
                <w:szCs w:val="22"/>
              </w:rPr>
              <w:t>lužby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organizovanie podujatí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0DD28B80" w:rsidR="00221476" w:rsidRPr="00241A3D" w:rsidRDefault="00FC0E96" w:rsidP="00241A3D">
      <w:pPr>
        <w:pStyle w:val="Zkladntex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lang w:eastAsia="sk-SK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00EF9" w:rsidRPr="00900EF9">
        <w:rPr>
          <w:rFonts w:ascii="Times New Roman" w:hAnsi="Times New Roman"/>
          <w:sz w:val="22"/>
          <w:lang w:eastAsia="sk-SK"/>
        </w:rPr>
        <w:t xml:space="preserve">poskytovanie komplexných </w:t>
      </w:r>
      <w:r w:rsidR="00BA4628">
        <w:rPr>
          <w:rFonts w:ascii="Times New Roman" w:hAnsi="Times New Roman"/>
          <w:sz w:val="22"/>
          <w:lang w:eastAsia="sk-SK"/>
        </w:rPr>
        <w:t>produkčných služieb</w:t>
      </w:r>
      <w:r w:rsidR="00517005" w:rsidRPr="00517005">
        <w:t xml:space="preserve"> </w:t>
      </w:r>
      <w:r w:rsidR="00241A3D">
        <w:rPr>
          <w:rFonts w:ascii="Times New Roman" w:hAnsi="Times New Roman"/>
          <w:sz w:val="22"/>
          <w:lang w:eastAsia="sk-SK"/>
        </w:rPr>
        <w:t>predovšetkým</w:t>
      </w:r>
      <w:r w:rsidR="00517005" w:rsidRPr="00517005">
        <w:rPr>
          <w:rFonts w:ascii="Times New Roman" w:hAnsi="Times New Roman"/>
          <w:sz w:val="22"/>
          <w:lang w:eastAsia="sk-SK"/>
        </w:rPr>
        <w:t>: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>produkcia, organizácia a technické zabezpečenie podujatia,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>dodávka a obsluha zvukovej, svetelnej, obrazovej a tlmočníckej techniky,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>pódiá, tribúny, konštrukcie, mobiliár, elektroinštalácia,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 xml:space="preserve">personálne zabezpečenie technikov, produkcie, hostesiek, </w:t>
      </w:r>
      <w:proofErr w:type="spellStart"/>
      <w:r w:rsidR="00517005" w:rsidRPr="00517005">
        <w:rPr>
          <w:rFonts w:ascii="Times New Roman" w:hAnsi="Times New Roman"/>
          <w:sz w:val="22"/>
          <w:lang w:eastAsia="sk-SK"/>
        </w:rPr>
        <w:t>sbs</w:t>
      </w:r>
      <w:proofErr w:type="spellEnd"/>
      <w:r w:rsidR="00517005" w:rsidRPr="00517005">
        <w:rPr>
          <w:rFonts w:ascii="Times New Roman" w:hAnsi="Times New Roman"/>
          <w:sz w:val="22"/>
          <w:lang w:eastAsia="sk-SK"/>
        </w:rPr>
        <w:t>,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>dekorácie, kvetinová výzdoba,</w:t>
      </w:r>
      <w:r w:rsidR="00517005">
        <w:rPr>
          <w:rFonts w:ascii="Times New Roman" w:hAnsi="Times New Roman"/>
          <w:sz w:val="22"/>
          <w:lang w:eastAsia="sk-SK"/>
        </w:rPr>
        <w:t xml:space="preserve"> </w:t>
      </w:r>
      <w:r w:rsidR="00517005" w:rsidRPr="00517005">
        <w:rPr>
          <w:rFonts w:ascii="Times New Roman" w:hAnsi="Times New Roman"/>
          <w:sz w:val="22"/>
          <w:lang w:eastAsia="sk-SK"/>
        </w:rPr>
        <w:t>ďalšie doplnkové služby potrebné na prípravu a realizáciu podujatí</w:t>
      </w:r>
      <w:r w:rsidR="00517005">
        <w:rPr>
          <w:rFonts w:ascii="Times New Roman" w:hAnsi="Times New Roman"/>
          <w:sz w:val="22"/>
          <w:lang w:eastAsia="sk-SK"/>
        </w:rPr>
        <w:t xml:space="preserve">, </w:t>
      </w:r>
      <w:r w:rsidR="00241A3D">
        <w:rPr>
          <w:rFonts w:ascii="Times New Roman" w:hAnsi="Times New Roman"/>
          <w:sz w:val="22"/>
          <w:lang w:eastAsia="sk-SK"/>
        </w:rPr>
        <w:br/>
      </w:r>
      <w:r w:rsidR="00900EF9" w:rsidRPr="00517005">
        <w:rPr>
          <w:rFonts w:ascii="Times New Roman" w:hAnsi="Times New Roman"/>
          <w:sz w:val="22"/>
          <w:lang w:eastAsia="sk-SK"/>
        </w:rPr>
        <w:t>ktoré sú bežne dostupné na trhu</w:t>
      </w:r>
      <w:r w:rsidR="00B555DA" w:rsidRPr="00517005">
        <w:rPr>
          <w:rFonts w:ascii="Times New Roman" w:hAnsi="Times New Roman"/>
          <w:sz w:val="22"/>
          <w:szCs w:val="22"/>
          <w:lang w:eastAsia="sk-SK"/>
        </w:rPr>
        <w:t xml:space="preserve"> a ktoré sú vymedzené podľa spoločného slovníka obstarávania (CPV) v rozsahu</w:t>
      </w:r>
      <w:r w:rsidR="00B555DA" w:rsidRPr="00517005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 w:rsidRPr="00517005">
        <w:rPr>
          <w:rFonts w:ascii="Times New Roman" w:hAnsi="Times New Roman"/>
          <w:sz w:val="22"/>
          <w:szCs w:val="22"/>
          <w:lang w:eastAsia="sk-SK"/>
        </w:rPr>
        <w:t>skupiny</w:t>
      </w:r>
      <w:r w:rsidR="00B555DA" w:rsidRPr="00517005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="00B555DA" w:rsidRPr="00517005">
        <w:rPr>
          <w:rFonts w:ascii="Times New Roman" w:hAnsi="Times New Roman"/>
          <w:sz w:val="22"/>
          <w:lang w:eastAsia="sk-SK"/>
        </w:rPr>
        <w:t>7995</w:t>
      </w:r>
      <w:r w:rsidR="00900EF9" w:rsidRPr="00517005">
        <w:rPr>
          <w:rFonts w:ascii="Times New Roman" w:hAnsi="Times New Roman"/>
          <w:sz w:val="22"/>
          <w:lang w:eastAsia="sk-SK"/>
        </w:rPr>
        <w:t>, t. j.</w:t>
      </w:r>
      <w:r w:rsidR="00BA4628" w:rsidRPr="00517005">
        <w:rPr>
          <w:rFonts w:ascii="Times New Roman" w:hAnsi="Times New Roman"/>
          <w:sz w:val="22"/>
          <w:lang w:eastAsia="sk-SK"/>
        </w:rPr>
        <w:t xml:space="preserve"> </w:t>
      </w:r>
      <w:r w:rsidR="00BA4628" w:rsidRPr="00517005">
        <w:rPr>
          <w:rFonts w:ascii="Times New Roman" w:hAnsi="Times New Roman"/>
          <w:sz w:val="22"/>
          <w:szCs w:val="22"/>
          <w:lang w:eastAsia="sk-SK"/>
        </w:rPr>
        <w:t>služby na organizovanie podujatí</w:t>
      </w:r>
      <w:r w:rsidR="00B555DA" w:rsidRPr="00517005">
        <w:rPr>
          <w:rFonts w:ascii="Times New Roman" w:hAnsi="Times New Roman"/>
          <w:sz w:val="22"/>
          <w:szCs w:val="22"/>
          <w:lang w:eastAsia="sk-SK"/>
        </w:rPr>
        <w:t>, výstav, veľtrhov, seminárov a pod.</w:t>
      </w:r>
      <w:r w:rsidR="00BA4628" w:rsidRPr="00517005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517005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517005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51700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BA4628" w:rsidRPr="0051700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51700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517005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305284" w:rsidRPr="00517005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="00054509" w:rsidRPr="00517005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517005">
        <w:rPr>
          <w:rFonts w:ascii="Times New Roman" w:hAnsi="Times New Roman"/>
          <w:bCs/>
          <w:sz w:val="22"/>
          <w:szCs w:val="22"/>
          <w:lang w:eastAsia="sk-SK"/>
        </w:rPr>
        <w:t>Ministerstva obrany SR</w:t>
      </w:r>
      <w:r w:rsidR="00054509" w:rsidRPr="00517005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241A3D">
        <w:rPr>
          <w:rFonts w:ascii="Times New Roman" w:hAnsi="Times New Roman"/>
          <w:bCs/>
          <w:sz w:val="22"/>
          <w:szCs w:val="22"/>
          <w:lang w:eastAsia="sk-SK"/>
        </w:rPr>
        <w:br/>
      </w:r>
      <w:r w:rsidR="00054509" w:rsidRPr="00517005">
        <w:rPr>
          <w:rFonts w:ascii="Times New Roman" w:hAnsi="Times New Roman"/>
          <w:bCs/>
          <w:sz w:val="22"/>
          <w:szCs w:val="22"/>
          <w:lang w:eastAsia="sk-SK"/>
        </w:rPr>
        <w:t>a Ozbrojených síl SR</w:t>
      </w:r>
      <w:r w:rsidR="00305284" w:rsidRPr="00517005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0DA1DAB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485A34B9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Služby budú poskytované v rozsahu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13BF2E27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00EF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opis predmetu zákazky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lehotu, miesto plnenia,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72019DA0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povolení,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A69DF0B" w:rsidR="00221476" w:rsidRDefault="00517005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Poskytovateľ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zodpovedá za kvalitu 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</w:t>
      </w:r>
      <w:r w:rsid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ovaných</w:t>
      </w:r>
      <w:r w:rsidR="0056532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služieb</w:t>
      </w:r>
      <w:r w:rsidR="00221476"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2145F1CC" w14:textId="3A5D1A82" w:rsidR="00607652" w:rsidRPr="00054509" w:rsidRDefault="00607652" w:rsidP="0005450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Konkrétne miesto </w:t>
      </w:r>
      <w:r w:rsidR="0056532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plnenia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054509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Plnenie bude realizované v rámci celého územia SR </w:t>
      </w:r>
      <w:r w:rsidR="00054509"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pre útvary a zariadenia Ministerstva obrany SR.</w:t>
      </w:r>
    </w:p>
    <w:p w14:paraId="2FEAC04F" w14:textId="77777777" w:rsidR="00054509" w:rsidRPr="00054509" w:rsidRDefault="00054509" w:rsidP="0005450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5EEC01A" w14:textId="619948A9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565320">
        <w:rPr>
          <w:rFonts w:ascii="Times New Roman" w:hAnsi="Times New Roman"/>
          <w:sz w:val="22"/>
          <w:szCs w:val="22"/>
        </w:rPr>
        <w:t>plnenia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A3CF" w14:textId="77777777" w:rsidR="00164B29" w:rsidRDefault="00164B29" w:rsidP="00145BE1">
      <w:r>
        <w:separator/>
      </w:r>
    </w:p>
  </w:endnote>
  <w:endnote w:type="continuationSeparator" w:id="0">
    <w:p w14:paraId="4CF2A52D" w14:textId="77777777" w:rsidR="00164B29" w:rsidRDefault="00164B29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E95C" w14:textId="77777777" w:rsidR="00164B29" w:rsidRDefault="00164B29" w:rsidP="00145BE1">
      <w:r>
        <w:separator/>
      </w:r>
    </w:p>
  </w:footnote>
  <w:footnote w:type="continuationSeparator" w:id="0">
    <w:p w14:paraId="77BB687A" w14:textId="77777777" w:rsidR="00164B29" w:rsidRDefault="00164B29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4509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64B29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1A3D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034E"/>
    <w:rsid w:val="00342FBF"/>
    <w:rsid w:val="00356B75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17005"/>
    <w:rsid w:val="00527BB2"/>
    <w:rsid w:val="00551644"/>
    <w:rsid w:val="00552172"/>
    <w:rsid w:val="00554C4D"/>
    <w:rsid w:val="00565320"/>
    <w:rsid w:val="00587B5D"/>
    <w:rsid w:val="00591D4A"/>
    <w:rsid w:val="005C25E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3149E"/>
    <w:rsid w:val="00732748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2360"/>
    <w:rsid w:val="008A3F02"/>
    <w:rsid w:val="008A4816"/>
    <w:rsid w:val="008E3C23"/>
    <w:rsid w:val="008E450B"/>
    <w:rsid w:val="008F0C34"/>
    <w:rsid w:val="00900EF9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6410"/>
    <w:rsid w:val="00B40F1E"/>
    <w:rsid w:val="00B42A2A"/>
    <w:rsid w:val="00B50C8F"/>
    <w:rsid w:val="00B555DA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A4628"/>
    <w:rsid w:val="00BB0233"/>
    <w:rsid w:val="00BC351B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5C5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66371"/>
    <w:rsid w:val="00D709EF"/>
    <w:rsid w:val="00D811D6"/>
    <w:rsid w:val="00D81904"/>
    <w:rsid w:val="00D845F4"/>
    <w:rsid w:val="00D84AF6"/>
    <w:rsid w:val="00D84D82"/>
    <w:rsid w:val="00D85EE7"/>
    <w:rsid w:val="00DA7E2E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GLUŠTÍKOVÁ Nikola</cp:lastModifiedBy>
  <cp:revision>3</cp:revision>
  <cp:lastPrinted>2022-04-11T06:30:00Z</cp:lastPrinted>
  <dcterms:created xsi:type="dcterms:W3CDTF">2025-12-11T14:22:00Z</dcterms:created>
  <dcterms:modified xsi:type="dcterms:W3CDTF">2025-12-12T08:48:00Z</dcterms:modified>
</cp:coreProperties>
</file>