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15AC602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C1796" w:rsidRPr="00F7298B">
        <w:rPr>
          <w:rFonts w:asciiTheme="minorHAnsi" w:hAnsiTheme="minorHAnsi" w:cstheme="minorHAnsi"/>
          <w:b/>
          <w:bCs/>
          <w:sz w:val="22"/>
          <w:szCs w:val="22"/>
        </w:rPr>
        <w:t>originální náhradní díly pro autobusy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SOLARIS URBINO 18 </w:t>
      </w:r>
      <w:r w:rsidR="003C1796" w:rsidRPr="00C00A1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796" w:rsidRPr="00C00A1E">
        <w:rPr>
          <w:rFonts w:asciiTheme="minorHAnsi" w:hAnsiTheme="minorHAnsi" w:cstheme="minorHAnsi"/>
          <w:b/>
          <w:bCs/>
          <w:sz w:val="22"/>
          <w:szCs w:val="22"/>
        </w:rPr>
        <w:t>ČÁST 2. BĚŽNÉ OPRAVY</w:t>
      </w:r>
      <w:r w:rsidR="003C1796" w:rsidRPr="00F7298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1796" w:rsidRPr="00F7298B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131E" w14:textId="77777777" w:rsidR="00EC6CAC" w:rsidRDefault="00EC6CAC">
      <w:r>
        <w:separator/>
      </w:r>
    </w:p>
  </w:endnote>
  <w:endnote w:type="continuationSeparator" w:id="0">
    <w:p w14:paraId="79C050C9" w14:textId="77777777" w:rsidR="00EC6CAC" w:rsidRDefault="00EC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783F" w14:textId="77777777" w:rsidR="00EC6CAC" w:rsidRDefault="00EC6CAC">
      <w:r>
        <w:separator/>
      </w:r>
    </w:p>
  </w:footnote>
  <w:footnote w:type="continuationSeparator" w:id="0">
    <w:p w14:paraId="2979638F" w14:textId="77777777" w:rsidR="00EC6CAC" w:rsidRDefault="00EC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1796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125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6CAC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39</cp:revision>
  <cp:lastPrinted>2025-01-09T08:46:00Z</cp:lastPrinted>
  <dcterms:created xsi:type="dcterms:W3CDTF">2025-04-17T09:22:00Z</dcterms:created>
  <dcterms:modified xsi:type="dcterms:W3CDTF">2025-10-15T07:46:00Z</dcterms:modified>
</cp:coreProperties>
</file>