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none" w:sz="0" w:space="0" w:color="000000"/>
          <w:right w:val="none" w:sz="0" w:space="0" w:color="000000"/>
          <w:top w:val="none" w:sz="0" w:space="0" w:color="000000"/>
          <w:bottom w:val="none" w:sz="0" w:space="0" w:color="000000"/>
          <w:between w:val="none" w:sz="0" w:space="0" w:color="000000"/>
        </w:pBdr>
        <w:spacing w:before="11" w:after="240"/>
        <w:ind w:left="7920" w:right="-113"/>
        <w:rPr>
          <w:color w:val="000000"/>
          <w:sz w:val="22"/>
          <w:szCs w:val="22"/>
        </w:rPr>
      </w:pPr>
      <w:r>
        <w:rPr>
          <w:sz w:val="20"/>
          <w:szCs w:val="20"/>
        </w:rPr>
        <w:t>Vážený uchádzač</w:t>
      </w:r>
    </w:p>
    <w:p>
      <w:pPr>
        <w:pStyle w:val="style0"/>
        <w:widowControl w:val="false"/>
        <w:pBdr>
          <w:left w:val="none" w:sz="0" w:space="0" w:color="000000"/>
          <w:right w:val="none" w:sz="0" w:space="0" w:color="000000"/>
          <w:top w:val="none" w:sz="0" w:space="0" w:color="000000"/>
          <w:bottom w:val="none" w:sz="0" w:space="0" w:color="000000"/>
          <w:between w:val="none" w:sz="0" w:space="0" w:color="000000"/>
        </w:pBdr>
        <w:spacing w:before="11" w:after="240"/>
        <w:ind w:left="318" w:right="-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>
      <w:pPr>
        <w:pStyle w:val="style0"/>
        <w:widowControl w:val="false"/>
        <w:pBdr>
          <w:left w:val="none" w:sz="0" w:space="0" w:color="000000"/>
          <w:right w:val="none" w:sz="0" w:space="0" w:color="000000"/>
          <w:top w:val="none" w:sz="0" w:space="0" w:color="000000"/>
          <w:bottom w:val="none" w:sz="0" w:space="0" w:color="000000"/>
          <w:between w:val="none" w:sz="0" w:space="0" w:color="000000"/>
        </w:pBdr>
        <w:spacing w:before="11" w:after="240"/>
        <w:ind w:left="318" w:right="-11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Bratislava - mestská časť Staré Mesto,</w:t>
      </w:r>
    </w:p>
    <w:p>
      <w:pPr>
        <w:pStyle w:val="style0"/>
        <w:widowControl w:val="false"/>
        <w:pBdr>
          <w:left w:val="none" w:sz="0" w:space="0" w:color="000000"/>
          <w:right w:val="none" w:sz="0" w:space="0" w:color="000000"/>
          <w:top w:val="none" w:sz="0" w:space="0" w:color="000000"/>
          <w:bottom w:val="none" w:sz="0" w:space="0" w:color="000000"/>
          <w:between w:val="none" w:sz="0" w:space="0" w:color="000000"/>
        </w:pBdr>
        <w:spacing w:before="8" w:after="240"/>
        <w:rPr>
          <w:color w:val="000000"/>
          <w:sz w:val="22"/>
          <w:szCs w:val="22"/>
        </w:rPr>
      </w:pPr>
    </w:p>
    <w:p>
      <w:pPr>
        <w:pStyle w:val="style2"/>
        <w:spacing w:before="1" w:after="240"/>
        <w:ind w:left="0" w:firstLine="318"/>
        <w:jc w:val="both"/>
        <w:rPr>
          <w:rFonts w:ascii="Times New Roman" w:cs="Times New Roman" w:eastAsia="Times New Roman" w:hAnsi="Times New Roman"/>
          <w:color w:val="000000"/>
          <w:u w:val="none"/>
        </w:rPr>
      </w:pPr>
      <w:r>
        <w:rPr>
          <w:rFonts w:ascii="Times New Roman" w:cs="Times New Roman" w:eastAsia="Times New Roman" w:hAnsi="Times New Roman"/>
          <w:color w:val="000000"/>
          <w:u w:val="none"/>
        </w:rPr>
        <w:t>VEC: Informácia o výsledku vyhodnotenia ponúk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t xml:space="preserve">V súlade s ustanovením § 55 zákona č. 343/2015 Z. z. o verejnom obstarávaní a o zmene a doplnení niektorých zákonov v znení neskorších predpisov verejný obstarávateľ Bratislavské centrum služieb, Primaciálne námestie 429/1, 811 01 Bratislava – mestská časť Staré Mesto, IČO: 55365493, oznamuje výsledok vyhodnotenia ponúk predložených vo verejnom obstarávaní s názvom </w:t>
      </w:r>
      <w:r>
        <w:rPr>
          <w:sz w:val="22"/>
          <w:szCs w:val="22"/>
          <w:lang w:val="en-US"/>
        </w:rPr>
        <w:t>"</w:t>
      </w:r>
      <w:r w:rsidR="4EA67ECE">
        <w:rPr>
          <w:sz w:val="22"/>
          <w:szCs w:val="22"/>
          <w:lang w:val="en-US"/>
        </w:rPr>
        <w:t>Prevádzkové a doplnkové vybavenie kancelárie</w:t>
      </w:r>
      <w:r>
        <w:rPr>
          <w:sz w:val="22"/>
          <w:szCs w:val="22"/>
        </w:rPr>
        <w:t>“, realizovanom postupom užšej súťaže prostredníctvom informačného systému JOSEPHINE.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t>Oznámenie o vyhlásení verejného obstarávania bolo zverejnené v Úradnom vestníku Európskej únie dňa 13. 8. 2025 pod značkou 1363554 a vo Vestníku verejného obstarávania č. 163/2025 dňa 01. 02. 2024 pod značkou 13212 – MUT.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t>Verejný obstarávateľ po vyhodnotení ponúk v súlade s pravidlami hodnotenia ponúk uvedenými v súťažných podkladoch a ostatných dokumentoch k verejnému obstarávaniu určil ako úspešnú ponuku ponuku uchádzača:</w:t>
      </w:r>
    </w:p>
    <w:p>
      <w:pPr>
        <w:pStyle w:val="style0"/>
        <w:spacing w:after="240"/>
        <w:ind w:left="31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Tibor Varga – TSV PAPIER, Vajanského 80, 984 01 Lučenec, Slovenská republika, IČO: 32627211.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t>Ponuky ostatných uchádzačov sa v poradí hodnotenia ponúk neumiestnili na miestach, ktoré by podľa pravidiel hodnotenia ponúk boli označené ako úspešné.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color w:val="000000"/>
          <w:sz w:val="22"/>
          <w:szCs w:val="22"/>
        </w:rPr>
        <w:t>Poradie uchádzačov</w:t>
      </w:r>
    </w:p>
    <w:tbl>
      <w:tblPr>
        <w:tblStyle w:val="style4099"/>
        <w:tblW w:w="915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625"/>
        <w:gridCol w:w="3332"/>
        <w:gridCol w:w="4201"/>
      </w:tblGrid>
      <w:tr>
        <w:trPr>
          <w:trHeight w:val="810" w:hRule="atLeast"/>
          <w:jc w:val="center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55" w:type="dxa"/>
            </w:tcMar>
            <w:vAlign w:val="center"/>
          </w:tcPr>
          <w:p>
            <w:pPr>
              <w:pStyle w:val="style0"/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Poradie úspešnosti:</w:t>
            </w:r>
          </w:p>
        </w:tc>
        <w:tc>
          <w:tcPr>
            <w:tcW w:w="3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/>
            <w:vAlign w:val="center"/>
          </w:tcPr>
          <w:p>
            <w:pPr>
              <w:pStyle w:val="style0"/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Uchádzač: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/>
            <w:vAlign w:val="center"/>
          </w:tcPr>
          <w:p>
            <w:pPr>
              <w:pStyle w:val="style0"/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Celková cena od účastníka v EUR s DPH</w:t>
            </w:r>
          </w:p>
        </w:tc>
      </w:tr>
      <w:tr>
        <w:tblPrEx/>
        <w:trPr>
          <w:trHeight w:val="1192" w:hRule="atLeast"/>
          <w:jc w:val="center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center"/>
          </w:tcPr>
          <w:p>
            <w:pPr>
              <w:pStyle w:val="style0"/>
              <w:spacing w:after="2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/>
            <w:vAlign w:val="center"/>
          </w:tcPr>
          <w:p>
            <w:pPr>
              <w:pStyle w:val="style0"/>
              <w:spacing w:after="24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Uchádzač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/>
            <w:vAlign w:val="center"/>
          </w:tcPr>
          <w:p>
            <w:pPr>
              <w:pStyle w:val="style0"/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="8339859E">
              <w:rPr>
                <w:color w:val="000000"/>
                <w:sz w:val="22"/>
                <w:szCs w:val="22"/>
                <w:lang w:val="en-US"/>
              </w:rPr>
              <w:t>1</w:t>
            </w:r>
            <w:r w:rsidR="04908DDC">
              <w:rPr>
                <w:color w:val="000000"/>
                <w:sz w:val="22"/>
                <w:szCs w:val="22"/>
                <w:lang w:val="en-US"/>
              </w:rPr>
              <w:t>5</w:t>
            </w:r>
            <w:r w:rsidR="08F6A0A2">
              <w:rPr>
                <w:color w:val="000000"/>
                <w:sz w:val="22"/>
                <w:szCs w:val="22"/>
                <w:lang w:val="en-US"/>
              </w:rPr>
              <w:t>1</w:t>
            </w:r>
            <w:r w:rsidR="9C151A61">
              <w:rPr>
                <w:color w:val="000000"/>
                <w:sz w:val="22"/>
                <w:szCs w:val="22"/>
                <w:lang w:val="en-US"/>
              </w:rPr>
              <w:t>9</w:t>
            </w:r>
            <w:r w:rsidR="194E603C"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="3E79F128">
              <w:rPr>
                <w:color w:val="000000"/>
                <w:sz w:val="22"/>
                <w:szCs w:val="22"/>
                <w:lang w:val="en-US"/>
              </w:rPr>
              <w:t>5</w:t>
            </w:r>
            <w:r w:rsidR="96F5FF31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>
        <w:tblPrEx/>
        <w:trPr>
          <w:trHeight w:val="1192" w:hRule="atLeast"/>
          <w:jc w:val="center"/>
        </w:trPr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5" w:type="dxa"/>
            </w:tcMar>
            <w:vAlign w:val="center"/>
          </w:tcPr>
          <w:p>
            <w:pPr>
              <w:pStyle w:val="style0"/>
              <w:spacing w:after="2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/>
            <w:vAlign w:val="center"/>
          </w:tcPr>
          <w:p>
            <w:pPr>
              <w:pStyle w:val="style0"/>
              <w:spacing w:after="240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Uchádzač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/>
            <w:vAlign w:val="center"/>
          </w:tcPr>
          <w:p>
            <w:pPr>
              <w:pStyle w:val="style0"/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="C8DEFB2A">
              <w:rPr>
                <w:color w:val="000000"/>
                <w:sz w:val="22"/>
                <w:szCs w:val="22"/>
                <w:lang w:val="en-US"/>
              </w:rPr>
              <w:t>1</w:t>
            </w:r>
            <w:r w:rsidR="C4C5E29A"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FE0F672B">
              <w:rPr>
                <w:color w:val="000000"/>
                <w:sz w:val="22"/>
                <w:szCs w:val="22"/>
                <w:lang w:val="en-US"/>
              </w:rPr>
              <w:t>9</w:t>
            </w:r>
            <w:r w:rsidR="FB84C4AD">
              <w:rPr>
                <w:color w:val="000000"/>
                <w:sz w:val="22"/>
                <w:szCs w:val="22"/>
                <w:lang w:val="en-US"/>
              </w:rPr>
              <w:t>9</w:t>
            </w:r>
            <w:r w:rsidR="EADEC146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,</w:t>
            </w:r>
            <w:r w:rsidR="990F4757">
              <w:rPr>
                <w:color w:val="000000"/>
                <w:sz w:val="22"/>
                <w:szCs w:val="22"/>
                <w:lang w:val="en-US"/>
              </w:rPr>
              <w:t>8</w:t>
            </w:r>
            <w:r w:rsidR="B93C98DA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</w:tr>
    </w:tbl>
    <w:p>
      <w:pPr>
        <w:pStyle w:val="style0"/>
        <w:tabs>
          <w:tab w:val="left" w:leader="none" w:pos="4500"/>
        </w:tabs>
        <w:spacing w:after="240"/>
        <w:rPr>
          <w:sz w:val="22"/>
          <w:szCs w:val="22"/>
        </w:rPr>
      </w:pPr>
    </w:p>
    <w:p>
      <w:pPr>
        <w:pStyle w:val="style0"/>
        <w:widowControl w:val="false"/>
        <w:pBdr>
          <w:left w:val="none" w:sz="0" w:space="0" w:color="000000"/>
          <w:right w:val="none" w:sz="0" w:space="0" w:color="000000"/>
          <w:top w:val="none" w:sz="0" w:space="0" w:color="000000"/>
          <w:bottom w:val="none" w:sz="0" w:space="0" w:color="000000"/>
          <w:between w:val="none" w:sz="0" w:space="0" w:color="000000"/>
        </w:pBd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Informácia podľa § 55 ods. 2 písm. b)</w:t>
      </w:r>
    </w:p>
    <w:p>
      <w:pPr>
        <w:pStyle w:val="style0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Uchádzač, ktorý sa umiestnil na prvom mieste v poradí predložil podrobnú špecifikáciu ponúkaného tovaru, ktorý splnil požiadavky na predmet zákazky. Išlo o nasledujúce tovary: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9A75DEFE">
        <w:rPr>
          <w:sz w:val="22"/>
          <w:szCs w:val="22"/>
        </w:rPr>
        <w:t>Farba pečiatková D.RECT 30 ml – čierna, modrá, červená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98DAD988">
        <w:rPr>
          <w:sz w:val="22"/>
          <w:szCs w:val="22"/>
        </w:rPr>
        <w:t>Farba pečiatková Koh-i-noor 50 g – čierna, modrá, červená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58900DC3">
        <w:rPr>
          <w:sz w:val="22"/>
          <w:szCs w:val="22"/>
        </w:rPr>
        <w:t>Tabuľa magnetická, stierateľná 90 × 180 cm, biela, hliníkový rám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56015238">
        <w:rPr>
          <w:sz w:val="22"/>
          <w:szCs w:val="22"/>
        </w:rPr>
        <w:t>Tabuľa magnetická Alfa stierateľná 90 × 120 cm, biela, hliníkový rám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95A09CE">
        <w:rPr>
          <w:sz w:val="22"/>
          <w:szCs w:val="22"/>
        </w:rPr>
        <w:t>Tabuľa magnetická, rotačná 120 × 180 cm, biela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A3710216">
        <w:rPr>
          <w:sz w:val="22"/>
          <w:szCs w:val="22"/>
        </w:rPr>
        <w:t>Tabuľa magnetická, rotačná 90 × 120 cm, biela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C4FA52BB">
        <w:rPr>
          <w:sz w:val="22"/>
          <w:szCs w:val="22"/>
        </w:rPr>
        <w:t>Flipchart magnetický Professional mobilný s vysúvacími ramenami 105 × 68 cm, kovová základňa s 5 kolieskami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BD0D6037">
        <w:rPr>
          <w:sz w:val="22"/>
          <w:szCs w:val="22"/>
        </w:rPr>
        <w:t>Flipchart magnetický YSA 2 plus s vysúvacími ramenami 105 × 68 cm, výška do 180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B5B4B54B">
        <w:rPr>
          <w:sz w:val="22"/>
          <w:szCs w:val="22"/>
        </w:rPr>
        <w:t>Kalkulačka M-6785 stolová, 12-miestna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AE50803">
        <w:rPr>
          <w:sz w:val="22"/>
          <w:szCs w:val="22"/>
        </w:rPr>
        <w:t>Kniha podpisová A4/14, rôzne farby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728240A8">
        <w:rPr>
          <w:sz w:val="22"/>
          <w:szCs w:val="22"/>
        </w:rPr>
        <w:t>Zásuvka kancelárska Victoria, rôzne farby, 255 × 348 × 65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79FDA41">
        <w:rPr>
          <w:sz w:val="22"/>
          <w:szCs w:val="22"/>
        </w:rPr>
        <w:t>Sprej čistiaci D.RECT na biele tabule 250 ml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8196EC0">
        <w:rPr>
          <w:sz w:val="22"/>
          <w:szCs w:val="22"/>
        </w:rPr>
        <w:t>Sprej čistiaci D.RECT na TFT/LCD obrazovky 250 ml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21FCACC2">
        <w:rPr>
          <w:sz w:val="22"/>
          <w:szCs w:val="22"/>
        </w:rPr>
        <w:t>Laminátor DSB SoGood 230S A4, vstupná šírka 230 mm, laminácia do 250 mic, spätný chod, 4 nahrievané valce, regulácia teploty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99A14E8F">
        <w:rPr>
          <w:sz w:val="22"/>
          <w:szCs w:val="22"/>
        </w:rPr>
        <w:t>Stierka magnetická filcová PERRO na biele tabule 13,5 × 5,5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237B885C">
        <w:rPr>
          <w:sz w:val="22"/>
          <w:szCs w:val="22"/>
        </w:rPr>
        <w:t>Držiak popisovačov magnetický Classic na 4 popisovače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13567476">
        <w:rPr>
          <w:sz w:val="22"/>
          <w:szCs w:val="22"/>
        </w:rPr>
        <w:t>Magnetky okrúhle 28 mm / 6 ks, mix farieb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34ECE228">
        <w:rPr>
          <w:sz w:val="22"/>
          <w:szCs w:val="22"/>
        </w:rPr>
        <w:t>Magnety neodýmové N38 8 × 4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7725B0E">
        <w:rPr>
          <w:sz w:val="22"/>
          <w:szCs w:val="22"/>
        </w:rPr>
        <w:t>Stojan DELI 9881 na spony listové, valec magnetický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6CC12DCE">
        <w:rPr>
          <w:sz w:val="22"/>
          <w:szCs w:val="22"/>
        </w:rPr>
        <w:t>Vankúšiky filcové do magnetickej stierky PERRO 13,5 × 5,5 cm / 12 ks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65C9853E">
        <w:rPr>
          <w:sz w:val="22"/>
          <w:szCs w:val="22"/>
        </w:rPr>
        <w:t>Navlhčovač prstov D.RECT gélový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2D3DBCD4">
        <w:rPr>
          <w:sz w:val="22"/>
          <w:szCs w:val="22"/>
        </w:rPr>
        <w:t>Tabuľa korková 60 × 90 cm, drevený rám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2737FF13">
        <w:rPr>
          <w:sz w:val="22"/>
          <w:szCs w:val="22"/>
        </w:rPr>
        <w:t>Tabuľa korková 90 × 120 cm, drevený rám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2C2B0F9">
        <w:rPr>
          <w:sz w:val="22"/>
          <w:szCs w:val="22"/>
        </w:rPr>
        <w:t>Tabuľa magnetická, stierateľná 60 × 90 cm, biela, drevený rám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C9F3478">
        <w:rPr>
          <w:sz w:val="22"/>
          <w:szCs w:val="22"/>
        </w:rPr>
        <w:t>Nožnice Victoria 16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C4CF125B">
        <w:rPr>
          <w:sz w:val="22"/>
          <w:szCs w:val="22"/>
        </w:rPr>
        <w:t>Nožnice D.RECT SG-250 / 25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55691BB8">
        <w:rPr>
          <w:sz w:val="22"/>
          <w:szCs w:val="22"/>
        </w:rPr>
        <w:t>Nôž orezávací BBA1455 / 9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3B3A90D9">
        <w:rPr>
          <w:sz w:val="22"/>
          <w:szCs w:val="22"/>
        </w:rPr>
        <w:t>Otvárač listov plastový biely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B1D78042">
        <w:rPr>
          <w:sz w:val="22"/>
          <w:szCs w:val="22"/>
        </w:rPr>
        <w:t>Dvojhárok linkovaný A3 / 200 ks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44D32BB5">
        <w:rPr>
          <w:sz w:val="22"/>
          <w:szCs w:val="22"/>
        </w:rPr>
        <w:t>Dvojhárok štvorčekovaný A3 / 200 ks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2FD6F9B">
        <w:rPr>
          <w:sz w:val="22"/>
          <w:szCs w:val="22"/>
        </w:rPr>
        <w:t>Pečiatka Colop Printer S120-03 mini dátumovka, mesiac číslom, modrá poduška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D2CFE492">
        <w:rPr>
          <w:sz w:val="22"/>
          <w:szCs w:val="22"/>
        </w:rPr>
        <w:t>Bloček kocka lepená 90 × 90 × 45 mm, biela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925416CB">
        <w:rPr>
          <w:sz w:val="22"/>
          <w:szCs w:val="22"/>
        </w:rPr>
        <w:t>Páska Dymo 45015 D1 – červené písmo / biela páska 12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69A5E8F">
        <w:rPr>
          <w:sz w:val="22"/>
          <w:szCs w:val="22"/>
        </w:rPr>
        <w:t>Páska Dymo 45016 D1 – čierne písmo / modrá páska 12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D0F2708D">
        <w:rPr>
          <w:sz w:val="22"/>
          <w:szCs w:val="22"/>
        </w:rPr>
        <w:t>Páska Dymo 45013 D1 – čierne písmo / biela páska 12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D347397">
        <w:rPr>
          <w:sz w:val="22"/>
          <w:szCs w:val="22"/>
        </w:rPr>
        <w:t>Páska Dymo 45021 D1 – biele písmo / čierna páska 12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4F1A3C57">
        <w:rPr>
          <w:sz w:val="22"/>
          <w:szCs w:val="22"/>
        </w:rPr>
        <w:t>Páska Dymo 45811 D1 – biele písmo / čierna páska 19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85323893">
        <w:rPr>
          <w:sz w:val="22"/>
          <w:szCs w:val="22"/>
        </w:rPr>
        <w:t>Páska Dymo 45803 D1 – čierne písmo / biela páska 19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31272D93">
        <w:rPr>
          <w:sz w:val="22"/>
          <w:szCs w:val="22"/>
        </w:rPr>
        <w:t>Páska Dymo 45806 D1 – čierne písmo / modrá páska 19 mm × 7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64A2E0D8">
        <w:rPr>
          <w:sz w:val="22"/>
          <w:szCs w:val="22"/>
        </w:rPr>
        <w:t>Rezačka rotačná DAHLE 552, dĺžka rezu 510 mm, kapacita 20 listov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6F67D07">
        <w:rPr>
          <w:sz w:val="22"/>
          <w:szCs w:val="22"/>
        </w:rPr>
        <w:t>Bloček kocka nelepená 90 × 90 × 90 mm, neón mix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8B456439">
        <w:rPr>
          <w:sz w:val="22"/>
          <w:szCs w:val="22"/>
        </w:rPr>
        <w:t>Bloček kocka nelepená 90 × 90 × 90 mm, neón mix v krabičke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6447E2DA">
        <w:rPr>
          <w:sz w:val="22"/>
          <w:szCs w:val="22"/>
        </w:rPr>
        <w:t>Bloček kocka lepená 50 × 50 mm, farebný neón mix, 250 lístkov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A38F7862">
        <w:rPr>
          <w:sz w:val="22"/>
          <w:szCs w:val="22"/>
        </w:rPr>
        <w:t>Záložky D.RECT 12 × 45 mm / 5 × 25 lístkov, neón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FCC71DB5">
        <w:rPr>
          <w:sz w:val="22"/>
          <w:szCs w:val="22"/>
        </w:rPr>
        <w:t>Bloček samolepiaci 75 × 75 mm, neón, 80 lístkov, rôzne farby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8886515D">
        <w:rPr>
          <w:sz w:val="22"/>
          <w:szCs w:val="22"/>
        </w:rPr>
        <w:t>Bloček samolepiaci 125 × 75 mm, pastel, 100 lístkov, rôzne farby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C762DC23">
        <w:rPr>
          <w:sz w:val="22"/>
          <w:szCs w:val="22"/>
        </w:rPr>
        <w:t>Stojan drôtený na perá čierny, Ø 90 mm, výška 100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DEAAAB2D">
        <w:rPr>
          <w:sz w:val="22"/>
          <w:szCs w:val="22"/>
        </w:rPr>
        <w:t>Stojan drôtený na špalík a vizitky čierny, 160 × 95 × 38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16D57F4">
        <w:rPr>
          <w:sz w:val="22"/>
          <w:szCs w:val="22"/>
        </w:rPr>
        <w:t>Stojan drôtený s 3 listovými zásuvkami čierny, 355 × 295 × 278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5159FA5F">
        <w:rPr>
          <w:sz w:val="22"/>
          <w:szCs w:val="22"/>
        </w:rPr>
        <w:t>Stojan drôtený na spony listové čierny, Ø 80 mm, výška 30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744EADC3">
        <w:rPr>
          <w:sz w:val="22"/>
          <w:szCs w:val="22"/>
        </w:rPr>
        <w:t>Skartátor AT-20C, kapacita 17 listov A4, objem koša 35 l, rez 3,8 × 40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ADAFD999">
        <w:rPr>
          <w:sz w:val="22"/>
          <w:szCs w:val="22"/>
        </w:rPr>
        <w:t>Skartátor Hama Home X10CD, krížový rez, kapacita 10 listov A4, objem koša 13 l, rez 4 × 40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4BA32430">
        <w:rPr>
          <w:sz w:val="22"/>
          <w:szCs w:val="22"/>
        </w:rPr>
        <w:t>Etikety samolepiace 105 × 37 mm / A4 / 100 hárkov, biele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B9AB7E0">
        <w:rPr>
          <w:sz w:val="22"/>
          <w:szCs w:val="22"/>
        </w:rPr>
        <w:t>Etikety samolepiace 105 × 74 mm / A4 / 100 hárkov, biele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2F12A850">
        <w:rPr>
          <w:sz w:val="22"/>
          <w:szCs w:val="22"/>
        </w:rPr>
        <w:t>Etikety samolepiace 210 × 297 mm / A4 / 100 hárkov, biele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33B2314">
        <w:rPr>
          <w:sz w:val="22"/>
          <w:szCs w:val="22"/>
        </w:rPr>
        <w:t>Etikety samolepiace PLUS 210 × 150 mm / A4 / 100 hárkov, biele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6AE00FDD">
        <w:rPr>
          <w:sz w:val="22"/>
          <w:szCs w:val="22"/>
        </w:rPr>
        <w:t>Etikety cenové Contact (METO) 25 × 16 mm, biele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F7DFED3C">
        <w:rPr>
          <w:sz w:val="22"/>
          <w:szCs w:val="22"/>
        </w:rPr>
        <w:t>Batéria GP LR06 / AA alkalická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654B2ADB">
        <w:rPr>
          <w:sz w:val="22"/>
          <w:szCs w:val="22"/>
        </w:rPr>
        <w:t>Batéria GP LR03 / AAA alkalická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1F35FE00">
        <w:rPr>
          <w:sz w:val="22"/>
          <w:szCs w:val="22"/>
        </w:rPr>
        <w:t>Batéria GP 11AF (MN11) špeciálna alkalická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A09507CF">
        <w:rPr>
          <w:sz w:val="22"/>
          <w:szCs w:val="22"/>
        </w:rPr>
        <w:t>Batéria GP 23AF špeciálna alkalická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C5460A26">
        <w:rPr>
          <w:sz w:val="22"/>
          <w:szCs w:val="22"/>
        </w:rPr>
        <w:t>Batéria GP CR2025 gombíková líthiová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8754C726">
        <w:rPr>
          <w:sz w:val="22"/>
          <w:szCs w:val="22"/>
        </w:rPr>
        <w:t>Batéria GP CR2032 gombíková líthiová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85450FE5">
        <w:rPr>
          <w:sz w:val="22"/>
          <w:szCs w:val="22"/>
        </w:rPr>
        <w:t>Kábel predlžovací 3-zásuvkový, 3 m, s vypínačom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7FDB3E07">
        <w:rPr>
          <w:sz w:val="22"/>
          <w:szCs w:val="22"/>
        </w:rPr>
        <w:t>Kábel predlžovací 3-zásuvkový, 5 m, s vypínačom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9644D998">
        <w:rPr>
          <w:sz w:val="22"/>
          <w:szCs w:val="22"/>
        </w:rPr>
        <w:t>Panel informačný magnetický A4 – čierny, červený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DC8B6AE">
        <w:rPr>
          <w:sz w:val="22"/>
          <w:szCs w:val="22"/>
        </w:rPr>
        <w:t>Panel informačný magnetický A5 – čierny, červený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85164364">
        <w:rPr>
          <w:sz w:val="22"/>
          <w:szCs w:val="22"/>
        </w:rPr>
        <w:t>Poštový poukaz na účet R1 /*702/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5D529E24">
        <w:rPr>
          <w:sz w:val="22"/>
          <w:szCs w:val="22"/>
        </w:rPr>
        <w:t>Vzduchový čistič D.RECT 400 ml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7E247149">
        <w:rPr>
          <w:sz w:val="22"/>
          <w:szCs w:val="22"/>
        </w:rPr>
        <w:t>Gumičky Ø 40 mm, hrúbka 1 mm / 50 g, zelené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3B8C9C2E">
        <w:rPr>
          <w:sz w:val="22"/>
          <w:szCs w:val="22"/>
        </w:rPr>
        <w:t>Gumičky Ø 80 mm, hrúbka 1 mm / 50 g, červené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D60EA61D">
        <w:rPr>
          <w:sz w:val="22"/>
          <w:szCs w:val="22"/>
        </w:rPr>
        <w:t>Špagát trikolóra 100 g, návin 150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3C86211A">
        <w:rPr>
          <w:sz w:val="22"/>
          <w:szCs w:val="22"/>
        </w:rPr>
        <w:t>Špagát polypropylénový 250 g, návin 310 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5184D804">
        <w:rPr>
          <w:sz w:val="22"/>
          <w:szCs w:val="22"/>
        </w:rPr>
        <w:t>Papier baliaci SULFIT 90 g/m², biely, 900 × 1440 mm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8890810">
        <w:rPr>
          <w:sz w:val="22"/>
          <w:szCs w:val="22"/>
        </w:rPr>
        <w:t>Vrece papierové trojvrstvové 65 × 120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C9FC050C">
        <w:rPr>
          <w:sz w:val="22"/>
          <w:szCs w:val="22"/>
        </w:rPr>
        <w:t>Lyžica jedálenská 21 cm HOTEL KLC + vidlička jedálenská HOTEL KLC + nôž jedálenský HOTEL KLC, nerezový príbor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1F9A8029">
        <w:rPr>
          <w:sz w:val="22"/>
          <w:szCs w:val="22"/>
        </w:rPr>
        <w:t>Lyžička mokka HOTEL nerez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C054ED74">
        <w:rPr>
          <w:sz w:val="22"/>
          <w:szCs w:val="22"/>
        </w:rPr>
        <w:t>Lyžička na kávu HOTEL KLC nerez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363A7645">
        <w:rPr>
          <w:sz w:val="22"/>
          <w:szCs w:val="22"/>
        </w:rPr>
        <w:t>Lyžička čajová KLASIK nerez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A5CFD9F6">
        <w:rPr>
          <w:sz w:val="22"/>
          <w:szCs w:val="22"/>
        </w:rPr>
        <w:t>Pohár na vodu 200 ml, sklo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78584A49">
        <w:rPr>
          <w:sz w:val="22"/>
          <w:szCs w:val="22"/>
        </w:rPr>
        <w:t>Džbán Bistro 1 l, sklo, s rúčkou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5AD2D40">
        <w:rPr>
          <w:sz w:val="22"/>
          <w:szCs w:val="22"/>
        </w:rPr>
        <w:t>Poklop do mikrovlnnej rúry 26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9FBEACE">
        <w:rPr>
          <w:sz w:val="22"/>
          <w:szCs w:val="22"/>
        </w:rPr>
        <w:t>Porcelánová šálka s tanierikom 160 ml, biela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4BD3F171">
        <w:rPr>
          <w:sz w:val="22"/>
          <w:szCs w:val="22"/>
        </w:rPr>
        <w:t>Porcelánová šálka s tanierikom 80 ml, biela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9582371">
        <w:rPr>
          <w:sz w:val="22"/>
          <w:szCs w:val="22"/>
        </w:rPr>
        <w:t>Šálka + podšálka EBRO SAPO 250 ml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08A62BA3">
        <w:rPr>
          <w:sz w:val="22"/>
          <w:szCs w:val="22"/>
        </w:rPr>
        <w:t>Podnos UH 28 × 38 × 1,5 cm, obdĺžnik, mix farieb KLC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9D27EA3E">
        <w:rPr>
          <w:sz w:val="22"/>
          <w:szCs w:val="22"/>
        </w:rPr>
        <w:t>Chrómovaná tácka štvorhranná z nerezovej ocele 35 × 28 cm</w:t>
      </w:r>
    </w:p>
    <w:p>
      <w:pPr>
        <w:pStyle w:val="style179"/>
        <w:numPr>
          <w:ilvl w:val="0"/>
          <w:numId w:val="1"/>
        </w:numPr>
        <w:spacing w:after="280"/>
        <w:rPr>
          <w:sz w:val="22"/>
          <w:szCs w:val="22"/>
        </w:rPr>
      </w:pPr>
      <w:r w:rsidR="EDF879E1">
        <w:rPr>
          <w:sz w:val="22"/>
          <w:szCs w:val="22"/>
        </w:rPr>
        <w:t>Podnos nerezový 33 cm okrúhly KLC</w:t>
      </w:r>
    </w:p>
    <w:p>
      <w:pPr>
        <w:pStyle w:val="style0"/>
        <w:spacing w:before="280" w:after="280"/>
        <w:rPr>
          <w:sz w:val="22"/>
          <w:szCs w:val="22"/>
        </w:rPr>
      </w:pPr>
      <w:r>
        <w:rPr>
          <w:sz w:val="22"/>
          <w:szCs w:val="22"/>
        </w:rPr>
        <w:t>Na základe posúdenia uvedeného zoznamu verejný obstarávateľ konštatuje, že uchádzač preukázal splnenie všetkých minimálnych technických a kvalitatívnych požiadaviek stanovených verejným obstarávateľom na predmet zákazky.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t>Poučenie:</w:t>
      </w:r>
    </w:p>
    <w:p>
      <w:pPr>
        <w:pStyle w:val="style0"/>
        <w:spacing w:after="240"/>
        <w:ind w:left="318"/>
        <w:rPr>
          <w:sz w:val="22"/>
          <w:szCs w:val="22"/>
        </w:rPr>
      </w:pPr>
      <w:r>
        <w:rPr>
          <w:sz w:val="22"/>
          <w:szCs w:val="22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>
      <w:pPr>
        <w:pStyle w:val="style0"/>
        <w:tabs>
          <w:tab w:val="left" w:leader="none" w:pos="45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yle0"/>
        <w:tabs>
          <w:tab w:val="center" w:leader="none" w:pos="7088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oddelenie verejného obstarávania</w:t>
      </w:r>
    </w:p>
    <w:sectPr>
      <w:headerReference w:type="default" r:id="rId2"/>
      <w:footerReference w:type="default" r:id="rId3"/>
      <w:pgSz w:w="11906" w:h="16838" w:orient="portrait"/>
      <w:pgMar w:top="1134" w:right="1134" w:bottom="1134" w:left="1134" w:header="709" w:footer="85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ee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000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0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ee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819"/>
        <w:tab w:val="right" w:leader="none" w:pos="9020"/>
        <w:tab w:val="right" w:leader="none" w:pos="9638"/>
      </w:tabs>
      <w:spacing w:after="240"/>
      <w:jc w:val="left"/>
      <w:rPr>
        <w:rFonts w:ascii="Verdana" w:cs="Verdana" w:eastAsia="Verdana" w:hAnsi="Verdana"/>
        <w:color w:val="1a1a1a"/>
        <w:sz w:val="12"/>
        <w:szCs w:val="12"/>
        <w:highlight w:val="white"/>
      </w:rPr>
    </w:pPr>
    <w:r>
      <w:rPr>
        <w:rFonts w:ascii="Verdana" w:cs="Verdana" w:eastAsia="Verdana" w:hAnsi="Verdana"/>
        <w:color w:val="1a1a1a"/>
        <w:sz w:val="12"/>
        <w:szCs w:val="12"/>
        <w:highlight w:val="white"/>
      </w:rPr>
      <w:tab/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fldChar w:fldCharType="begin"/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instrText>PAGE</w:instrText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fldChar w:fldCharType="separate"/>
    </w:r>
    <w:r>
      <w:rPr>
        <w:rFonts w:ascii="Verdana" w:cs="Verdana" w:eastAsia="Verdana" w:hAnsi="Verdana"/>
        <w:noProof/>
        <w:color w:val="1a1a1a"/>
        <w:sz w:val="12"/>
        <w:szCs w:val="12"/>
        <w:highlight w:val="white"/>
      </w:rPr>
      <w:t>1</w:t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fldChar w:fldCharType="end"/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t xml:space="preserve"> / </w:t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fldChar w:fldCharType="begin"/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instrText>NUMPAGES</w:instrText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fldChar w:fldCharType="separate"/>
    </w:r>
    <w:r>
      <w:rPr>
        <w:rFonts w:ascii="Verdana" w:cs="Verdana" w:eastAsia="Verdana" w:hAnsi="Verdana"/>
        <w:noProof/>
        <w:color w:val="1a1a1a"/>
        <w:sz w:val="12"/>
        <w:szCs w:val="12"/>
        <w:highlight w:val="white"/>
      </w:rPr>
      <w:t>2</w:t>
    </w:r>
    <w:r>
      <w:rPr>
        <w:rFonts w:ascii="Verdana" w:cs="Verdana" w:eastAsia="Verdana" w:hAnsi="Verdana"/>
        <w:color w:val="1a1a1a"/>
        <w:sz w:val="12"/>
        <w:szCs w:val="12"/>
        <w:highlight w:val="white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jc w:val="left"/>
      <w:rPr>
        <w:color w:val="000000"/>
        <w:sz w:val="24"/>
      </w:rPr>
    </w:pPr>
    <w:r>
      <w:rPr>
        <w:b/>
        <w:bCs/>
        <w:noProof/>
        <w:color w:val="000000"/>
        <w:sz w:val="24"/>
      </w:rPr>
      <w:drawing>
        <wp:inline distL="0" distT="0" distB="0" distR="0">
          <wp:extent cx="792307" cy="793983"/>
          <wp:effectExtent l="114300" t="38100" r="274955" b="177800"/>
          <wp:docPr id="4097" name="image1.png" descr="Obrázok, na ktorom je grafika, pestrofarebnosť, snímka obrazovky, kruh&#10;&#10;Obsah vygenerovaný pomocou AI môže byť nesprávny.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92307" cy="793983"/>
                  </a:xfrm>
                  <a:prstGeom prst="rect"/>
                  <a:ln>
                    <a:noFill/>
                  </a:ln>
                  <a:effectLst>
                    <a:outerShdw rotWithShape="false" sx="100000" sy="100000" dist="139700" dir="2700000" blurRad="292100" kx="0" ky="0" algn="tl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qFormat/>
    <w:pPr>
      <w:jc w:val="both"/>
    </w:pPr>
    <w:rPr>
      <w:sz w:val="21"/>
    </w:rPr>
  </w:style>
  <w:style w:type="paragraph" w:styleId="style1">
    <w:name w:val="heading 1"/>
    <w:basedOn w:val="style4098"/>
    <w:next w:val="style4098"/>
    <w:qFormat/>
    <w:uiPriority w:val="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style2">
    <w:name w:val="heading 2"/>
    <w:basedOn w:val="style4098"/>
    <w:next w:val="style4098"/>
    <w:qFormat/>
    <w:uiPriority w:val="9"/>
    <w:pPr>
      <w:widowControl w:val="false"/>
      <w:pBdr>
        <w:left w:val="none" w:sz="0" w:space="0" w:color="000000"/>
        <w:right w:val="none" w:sz="0" w:space="0" w:color="000000"/>
        <w:top w:val="none" w:sz="0" w:space="0" w:color="000000"/>
        <w:bottom w:val="none" w:sz="0" w:space="0" w:color="000000"/>
        <w:between w:val="none" w:sz="0" w:space="0" w:color="000000"/>
      </w:pBdr>
      <w:ind w:left="317"/>
      <w:outlineLvl w:val="1"/>
    </w:pPr>
    <w:rPr>
      <w:rFonts w:ascii="Arial" w:cs="Arial" w:eastAsia="Arial" w:hAnsi="Arial"/>
      <w:b/>
      <w:bCs/>
      <w:sz w:val="22"/>
      <w:szCs w:val="22"/>
      <w:u w:val="single"/>
    </w:rPr>
  </w:style>
  <w:style w:type="paragraph" w:styleId="style3">
    <w:name w:val="heading 3"/>
    <w:basedOn w:val="style4098"/>
    <w:next w:val="style4098"/>
    <w:qFormat/>
    <w:uiPriority w:val="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style4">
    <w:name w:val="heading 4"/>
    <w:basedOn w:val="style4098"/>
    <w:next w:val="style4098"/>
    <w:qFormat/>
    <w:uiPriority w:val="9"/>
    <w:pPr>
      <w:keepNext/>
      <w:keepLines/>
      <w:spacing w:before="240" w:after="40"/>
      <w:outlineLvl w:val="3"/>
    </w:pPr>
    <w:rPr>
      <w:b/>
      <w:bCs/>
    </w:rPr>
  </w:style>
  <w:style w:type="paragraph" w:styleId="style5">
    <w:name w:val="heading 5"/>
    <w:basedOn w:val="style4098"/>
    <w:next w:val="style4098"/>
    <w:qFormat/>
    <w:uiPriority w:val="9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style6">
    <w:name w:val="heading 6"/>
    <w:basedOn w:val="style4098"/>
    <w:next w:val="style4098"/>
    <w:qFormat/>
    <w:uiPriority w:val="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álny1"/>
    <w:next w:val="style4098"/>
    <w:pPr/>
  </w:style>
  <w:style w:type="paragraph" w:styleId="style62">
    <w:name w:val="Title"/>
    <w:basedOn w:val="style4098"/>
    <w:next w:val="style4098"/>
    <w:qFormat/>
    <w:uiPriority w:val="10"/>
    <w:pPr>
      <w:keepNext/>
      <w:keepLines/>
      <w:spacing w:before="480" w:after="120"/>
    </w:pPr>
    <w:rPr>
      <w:b/>
      <w:bCs/>
      <w:sz w:val="72"/>
      <w:szCs w:val="72"/>
    </w:rPr>
  </w:style>
  <w:style w:type="paragraph" w:styleId="style74">
    <w:name w:val="Subtitle"/>
    <w:basedOn w:val="style4098"/>
    <w:next w:val="style4098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top w:w="0" w:type="dxa"/>
        <w:left w:w="55" w:type="dxa"/>
        <w:bottom w:w="0" w:type="dxa"/>
        <w:right w:w="70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paragraph" w:styleId="style178">
    <w:name w:val="Revision"/>
    <w:next w:val="style178"/>
    <w:uiPriority w:val="99"/>
    <w:pPr/>
    <w:rPr>
      <w:sz w:val="21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Hlavička Char"/>
    <w:basedOn w:val="style65"/>
    <w:next w:val="style4101"/>
    <w:link w:val="style31"/>
    <w:uiPriority w:val="99"/>
    <w:rPr>
      <w:sz w:val="21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2">
    <w:name w:val="Päta Char"/>
    <w:basedOn w:val="style65"/>
    <w:next w:val="style4102"/>
    <w:link w:val="style32"/>
    <w:uiPriority w:val="99"/>
    <w:rPr>
      <w:sz w:val="21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3"/>
    <w:uiPriority w:val="99"/>
    <w:pPr/>
    <w:rPr>
      <w:sz w:val="20"/>
      <w:szCs w:val="20"/>
    </w:rPr>
  </w:style>
  <w:style w:type="character" w:customStyle="1" w:styleId="style4103">
    <w:name w:val="Text komentára Char"/>
    <w:basedOn w:val="style65"/>
    <w:next w:val="style4103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Predmet komentára Char"/>
    <w:basedOn w:val="style4103"/>
    <w:next w:val="style4104"/>
    <w:link w:val="style106"/>
    <w:uiPriority w:val="99"/>
    <w:rPr>
      <w:b/>
      <w:bCs/>
      <w:sz w:val="20"/>
      <w:szCs w:val="20"/>
    </w:rPr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373d460-ab93-4795-b28f-b36a1e3bcd46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1111</Words>
  <Pages>4</Pages>
  <Characters>5485</Characters>
  <Application>WPS Office</Application>
  <DocSecurity>0</DocSecurity>
  <Paragraphs>123</Paragraphs>
  <ScaleCrop>false</ScaleCrop>
  <LinksUpToDate>false</LinksUpToDate>
  <CharactersWithSpaces>6504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2026-02-23T13:46:00Z</dcterms:created>
  <dc:creator>WPS Office</dc:creator>
  <lastModifiedBy>TB311XU</lastModifiedBy>
  <dcterms:modified xsi:type="dcterms:W3CDTF">2026-02-24T19:34:23Z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740d8069d35649eba1e09733ab9c755c</vt:lpwstr>
  </property>
</Properties>
</file>