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7C189FE2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„Zabezpečenie licencií na využívanie produktov Forcepoint DLP“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2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3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819"/>
        <w:gridCol w:w="1843"/>
        <w:gridCol w:w="1559"/>
        <w:gridCol w:w="1417"/>
        <w:gridCol w:w="1418"/>
        <w:gridCol w:w="1737"/>
      </w:tblGrid>
      <w:tr w:rsidR="00650FDE" w:rsidRPr="00A1399C" w14:paraId="280894FF" w14:textId="77777777" w:rsidTr="00D852EB">
        <w:trPr>
          <w:trHeight w:val="1648"/>
          <w:jc w:val="center"/>
        </w:trPr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1B515938" w14:textId="77777777" w:rsidR="00650FDE" w:rsidRPr="00A1399C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819" w:type="dxa"/>
            <w:shd w:val="clear" w:color="000000" w:fill="D9D9D9"/>
            <w:noWrap/>
            <w:vAlign w:val="center"/>
            <w:hideMark/>
          </w:tcPr>
          <w:p w14:paraId="1AD87058" w14:textId="77777777" w:rsidR="00650FDE" w:rsidRPr="00A1399C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14:paraId="7C5A9FE1" w14:textId="77777777" w:rsidR="00650FDE" w:rsidRPr="00A1399C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584253C" w14:textId="77777777" w:rsidR="00650FDE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í/podpory</w:t>
            </w:r>
          </w:p>
          <w:p w14:paraId="09952E7D" w14:textId="77777777" w:rsidR="00650FDE" w:rsidRPr="00A1399C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(od - do)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B253406" w14:textId="77777777" w:rsidR="00650FDE" w:rsidRPr="008C0B4B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produktov, pre ktoré je potrebné zabezpečiť licencie /podporu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1D499004" w14:textId="77777777" w:rsidR="00650FDE" w:rsidRPr="003148DB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37" w:type="dxa"/>
            <w:shd w:val="clear" w:color="000000" w:fill="D9D9D9"/>
            <w:noWrap/>
            <w:vAlign w:val="center"/>
            <w:hideMark/>
          </w:tcPr>
          <w:p w14:paraId="2A26A805" w14:textId="77777777" w:rsidR="00650FDE" w:rsidRPr="00A1399C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Celková cena za položku (súčin jedn.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ceny za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položku a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počtu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produktov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EUR bez DPH</w:t>
            </w:r>
          </w:p>
        </w:tc>
      </w:tr>
      <w:tr w:rsidR="00650FDE" w:rsidRPr="00C43AB3" w14:paraId="6EA2AC87" w14:textId="77777777" w:rsidTr="00D852EB">
        <w:trPr>
          <w:trHeight w:val="1969"/>
          <w:jc w:val="center"/>
        </w:trPr>
        <w:tc>
          <w:tcPr>
            <w:tcW w:w="988" w:type="dxa"/>
            <w:noWrap/>
            <w:vAlign w:val="center"/>
          </w:tcPr>
          <w:p w14:paraId="6C48B18F" w14:textId="77777777" w:rsidR="00650FDE" w:rsidRPr="00C43AB3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819" w:type="dxa"/>
            <w:noWrap/>
          </w:tcPr>
          <w:p w14:paraId="3ACA0483" w14:textId="77777777" w:rsidR="00650FDE" w:rsidRDefault="00650FDE" w:rsidP="00A80C81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Forcepoint</w:t>
            </w:r>
            <w:proofErr w:type="spellEnd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DLP </w:t>
            </w: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network</w:t>
            </w:r>
            <w:proofErr w:type="spellEnd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(IP </w:t>
            </w: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Protection</w:t>
            </w:r>
            <w:proofErr w:type="spellEnd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) - Licencia umožňujúca použitie funkcie "</w:t>
            </w: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Forcepoint</w:t>
            </w:r>
            <w:proofErr w:type="spellEnd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DLP </w:t>
            </w: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Discover</w:t>
            </w:r>
            <w:proofErr w:type="spellEnd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". Táto funkcia umožňuje objavovať, klasifikovať a monitorovať citlivé údaje na rôznych miestach, ako sú webové stránky, cloudové aplikácie, e-maily, sieťové komunikácie a koncové zariadenia. Pomáha identifikovať a chrániť osobné údaje, finančné informácie, obchodné tajomstvá a iné citlivé dáta.</w:t>
            </w:r>
          </w:p>
          <w:p w14:paraId="0966856E" w14:textId="77777777" w:rsidR="00650FDE" w:rsidRDefault="00650FDE" w:rsidP="00A80C81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Súčasťou licencie je zároveň</w:t>
            </w:r>
          </w:p>
          <w:p w14:paraId="1CDE24B5" w14:textId="60D74598" w:rsidR="00650FDE" w:rsidRPr="00650FDE" w:rsidRDefault="00650FDE" w:rsidP="00A80C81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Essentail</w:t>
            </w:r>
            <w:proofErr w:type="spellEnd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</w:t>
            </w: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Support</w:t>
            </w:r>
            <w:proofErr w:type="spellEnd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- Podpora k licencii "</w:t>
            </w: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Forcepoint</w:t>
            </w:r>
            <w:proofErr w:type="spellEnd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DLP </w:t>
            </w: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Discover</w:t>
            </w:r>
            <w:proofErr w:type="spellEnd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umožňuje riešiť technické problémy s produktom a robiť jeho aktualizácie.</w:t>
            </w:r>
          </w:p>
          <w:p w14:paraId="1132F817" w14:textId="77777777" w:rsidR="00650FDE" w:rsidRPr="00650FDE" w:rsidRDefault="00650FDE" w:rsidP="00A80C81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Zahŕňa:</w:t>
            </w:r>
          </w:p>
          <w:p w14:paraId="036ABA9A" w14:textId="4740F1EF" w:rsidR="00650FDE" w:rsidRPr="00A80C81" w:rsidRDefault="00650FDE" w:rsidP="00390227">
            <w:pPr>
              <w:pStyle w:val="Odsekzoznamu"/>
              <w:numPr>
                <w:ilvl w:val="0"/>
                <w:numId w:val="47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prístup k dostupným bezpečnostným funkciám a sťahovaniu softvéru, upgradom, aktualizáciám a</w:t>
            </w:r>
            <w:r w:rsidR="00A80C8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opravám, ako aj kontrole technickej dokumentácie.</w:t>
            </w:r>
          </w:p>
          <w:p w14:paraId="30855587" w14:textId="04C58A71" w:rsidR="00650FDE" w:rsidRPr="00650FDE" w:rsidRDefault="00650FDE" w:rsidP="00A80C81">
            <w:pPr>
              <w:pStyle w:val="Odsekzoznamu"/>
              <w:numPr>
                <w:ilvl w:val="0"/>
                <w:numId w:val="47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24x7x365 prístup k online podpore umiestnenej na: </w:t>
            </w: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Support</w:t>
            </w:r>
            <w:proofErr w:type="spellEnd"/>
          </w:p>
          <w:p w14:paraId="062EDCA3" w14:textId="665C872E" w:rsidR="00650FDE" w:rsidRPr="00650FDE" w:rsidRDefault="00650FDE" w:rsidP="00A80C81">
            <w:pPr>
              <w:pStyle w:val="Odsekzoznamu"/>
              <w:numPr>
                <w:ilvl w:val="0"/>
                <w:numId w:val="47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prístup k znalostnej databáze a dokumentácii</w:t>
            </w:r>
          </w:p>
          <w:p w14:paraId="4ED2FC5B" w14:textId="48E3E019" w:rsidR="00650FDE" w:rsidRPr="00650FDE" w:rsidRDefault="00650FDE" w:rsidP="00A80C81">
            <w:pPr>
              <w:pStyle w:val="Odsekzoznamu"/>
              <w:numPr>
                <w:ilvl w:val="0"/>
                <w:numId w:val="47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prístup k zákazníckym fóram</w:t>
            </w:r>
          </w:p>
          <w:p w14:paraId="0F28102B" w14:textId="18A22F67" w:rsidR="00650FDE" w:rsidRPr="00650FDE" w:rsidRDefault="00650FDE" w:rsidP="00A80C81">
            <w:pPr>
              <w:pStyle w:val="Odsekzoznamu"/>
              <w:numPr>
                <w:ilvl w:val="0"/>
                <w:numId w:val="47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predplatné </w:t>
            </w: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Tech</w:t>
            </w:r>
            <w:proofErr w:type="spellEnd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Alerts</w:t>
            </w:r>
            <w:proofErr w:type="spellEnd"/>
          </w:p>
          <w:p w14:paraId="0F0104AF" w14:textId="7F59F8A9" w:rsidR="00650FDE" w:rsidRPr="00650FDE" w:rsidRDefault="00650FDE" w:rsidP="00A80C81">
            <w:pPr>
              <w:pStyle w:val="Odsekzoznamu"/>
              <w:numPr>
                <w:ilvl w:val="0"/>
                <w:numId w:val="47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prístup k odosielaniu a sledovaniu prípadov podpory</w:t>
            </w:r>
          </w:p>
          <w:p w14:paraId="351D76DB" w14:textId="487FECB7" w:rsidR="00650FDE" w:rsidRPr="00650FDE" w:rsidRDefault="00650FDE" w:rsidP="00A80C81">
            <w:pPr>
              <w:pStyle w:val="Odsekzoznamu"/>
              <w:numPr>
                <w:ilvl w:val="0"/>
                <w:numId w:val="47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24x7 podporu k problémom so závažnosťou jedna</w:t>
            </w:r>
          </w:p>
          <w:p w14:paraId="313CB37F" w14:textId="6369455E" w:rsidR="00650FDE" w:rsidRPr="00650FDE" w:rsidRDefault="00650FDE" w:rsidP="00A80C81">
            <w:pPr>
              <w:pStyle w:val="Odsekzoznamu"/>
              <w:numPr>
                <w:ilvl w:val="0"/>
                <w:numId w:val="47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50FDE">
              <w:rPr>
                <w:rFonts w:ascii="Times New Roman" w:eastAsia="Times New Roman" w:hAnsi="Times New Roman"/>
                <w:color w:val="000000"/>
                <w:lang w:eastAsia="sk-SK"/>
              </w:rPr>
              <w:t>podporu počas bežnej pracovnej doby k závažnostiam dva, tri a štyri.</w:t>
            </w:r>
          </w:p>
        </w:tc>
        <w:tc>
          <w:tcPr>
            <w:tcW w:w="1843" w:type="dxa"/>
            <w:vAlign w:val="center"/>
          </w:tcPr>
          <w:p w14:paraId="400DFB4B" w14:textId="77777777" w:rsidR="00650FDE" w:rsidRDefault="00650FDE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650FDE">
              <w:rPr>
                <w:rFonts w:ascii="Times New Roman" w:hAnsi="Times New Roman"/>
                <w:color w:val="000000" w:themeColor="text1"/>
                <w:lang w:eastAsia="zh-CN"/>
              </w:rPr>
              <w:lastRenderedPageBreak/>
              <w:t>DLPNIP</w:t>
            </w:r>
          </w:p>
          <w:p w14:paraId="6A359822" w14:textId="77777777" w:rsidR="00650FDE" w:rsidRDefault="00650FDE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</w:p>
          <w:p w14:paraId="00BED25A" w14:textId="7B0BBA81" w:rsidR="00650FDE" w:rsidRPr="005A5F2F" w:rsidRDefault="00650FDE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650FDE">
              <w:rPr>
                <w:rFonts w:ascii="Times New Roman" w:hAnsi="Times New Roman"/>
                <w:color w:val="000000" w:themeColor="text1"/>
                <w:lang w:eastAsia="zh-CN"/>
              </w:rPr>
              <w:t>SPRT</w:t>
            </w:r>
          </w:p>
        </w:tc>
        <w:tc>
          <w:tcPr>
            <w:tcW w:w="1559" w:type="dxa"/>
            <w:vAlign w:val="center"/>
          </w:tcPr>
          <w:p w14:paraId="7B2F202E" w14:textId="1643188F" w:rsidR="00650FDE" w:rsidRDefault="00650FDE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31.03.2026</w:t>
            </w:r>
          </w:p>
          <w:p w14:paraId="59F286BF" w14:textId="77777777" w:rsidR="00650FDE" w:rsidRDefault="00650FDE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4828438C" w14:textId="0056DC73" w:rsidR="00650FDE" w:rsidRPr="005A5F2F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30.03.2027</w:t>
            </w:r>
          </w:p>
        </w:tc>
        <w:tc>
          <w:tcPr>
            <w:tcW w:w="1417" w:type="dxa"/>
            <w:vAlign w:val="center"/>
          </w:tcPr>
          <w:p w14:paraId="4BB43CDB" w14:textId="034FC66E" w:rsidR="00650FDE" w:rsidRPr="005A5F2F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1700</w:t>
            </w:r>
          </w:p>
        </w:tc>
        <w:tc>
          <w:tcPr>
            <w:tcW w:w="1418" w:type="dxa"/>
            <w:noWrap/>
            <w:vAlign w:val="center"/>
          </w:tcPr>
          <w:p w14:paraId="5C8F8615" w14:textId="77777777" w:rsidR="00650FDE" w:rsidRPr="00C43AB3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37" w:type="dxa"/>
            <w:noWrap/>
            <w:vAlign w:val="center"/>
          </w:tcPr>
          <w:p w14:paraId="0917BC62" w14:textId="77777777" w:rsidR="00650FDE" w:rsidRPr="00C43AB3" w:rsidRDefault="00650FDE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A80C81" w:rsidRPr="00C43AB3" w14:paraId="7796338D" w14:textId="77777777" w:rsidTr="00D852EB">
        <w:trPr>
          <w:trHeight w:val="1969"/>
          <w:jc w:val="center"/>
        </w:trPr>
        <w:tc>
          <w:tcPr>
            <w:tcW w:w="988" w:type="dxa"/>
            <w:noWrap/>
            <w:vAlign w:val="center"/>
          </w:tcPr>
          <w:p w14:paraId="63E17304" w14:textId="5844A8B9" w:rsidR="00A80C81" w:rsidRDefault="00A80C81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4819" w:type="dxa"/>
            <w:noWrap/>
          </w:tcPr>
          <w:p w14:paraId="762A6FCD" w14:textId="77777777" w:rsidR="00A80C81" w:rsidRDefault="00A80C81" w:rsidP="00A80C81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Forcepoint</w:t>
            </w:r>
            <w:proofErr w:type="spellEnd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DLP </w:t>
            </w: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Endpoint</w:t>
            </w:r>
            <w:proofErr w:type="spellEnd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(IP </w:t>
            </w: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Protection</w:t>
            </w:r>
            <w:proofErr w:type="spellEnd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) - Licencia umožňujúca použitie funkcie "</w:t>
            </w: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Forcepoint</w:t>
            </w:r>
            <w:proofErr w:type="spellEnd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DLP </w:t>
            </w: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Endpoint</w:t>
            </w:r>
            <w:proofErr w:type="spellEnd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". Táto funkcia je súčasťou riešenia pre prevenciu úniku údajov na koncových zariadeniach. Monitoruje prevádzku v reálnom čase a uplatňuje prispôsobené bezpečnostné politiky na aplikácie a úložné rozhrania.</w:t>
            </w:r>
          </w:p>
          <w:p w14:paraId="62EA859C" w14:textId="77777777" w:rsidR="00A80C81" w:rsidRDefault="00A80C81" w:rsidP="00A80C81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Súčasťou licencie je zároveň</w:t>
            </w:r>
          </w:p>
          <w:p w14:paraId="15AC0A89" w14:textId="77777777" w:rsidR="00A80C81" w:rsidRPr="00A80C81" w:rsidRDefault="00A80C81" w:rsidP="00A80C81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Essentail</w:t>
            </w:r>
            <w:proofErr w:type="spellEnd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</w:t>
            </w: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Support</w:t>
            </w:r>
            <w:proofErr w:type="spellEnd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- Podpora k licencii "</w:t>
            </w: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Forcepoint</w:t>
            </w:r>
            <w:proofErr w:type="spellEnd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DLP </w:t>
            </w: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Endpoint</w:t>
            </w:r>
            <w:proofErr w:type="spellEnd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" umožňuje riešiť technické problémy s produktom a robiť jeho aktualizácie.</w:t>
            </w:r>
          </w:p>
          <w:p w14:paraId="041CF6F3" w14:textId="77777777" w:rsidR="00A80C81" w:rsidRPr="00A80C81" w:rsidRDefault="00A80C81" w:rsidP="00A80C81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Zahŕňa:</w:t>
            </w:r>
          </w:p>
          <w:p w14:paraId="6D2EA6D5" w14:textId="721A22AC" w:rsidR="00A80C81" w:rsidRPr="00A80C81" w:rsidRDefault="00A80C81" w:rsidP="00A80C81">
            <w:pPr>
              <w:pStyle w:val="Odsekzoznamu"/>
              <w:numPr>
                <w:ilvl w:val="0"/>
                <w:numId w:val="48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prístup k dostupným bezpečnostným funkciám a sťahovaniu softvéru, upgradom, aktualizáciám a opravám, ako aj kontrole technickej dokumentácie.</w:t>
            </w:r>
          </w:p>
          <w:p w14:paraId="31C33B61" w14:textId="795F7055" w:rsidR="00A80C81" w:rsidRPr="00A80C81" w:rsidRDefault="00A80C81" w:rsidP="00A80C81">
            <w:pPr>
              <w:pStyle w:val="Odsekzoznamu"/>
              <w:numPr>
                <w:ilvl w:val="0"/>
                <w:numId w:val="48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24x7x365 prístup k online podpore umiestnenej na: </w:t>
            </w: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Support</w:t>
            </w:r>
            <w:proofErr w:type="spellEnd"/>
          </w:p>
          <w:p w14:paraId="29C9D7C6" w14:textId="181384FF" w:rsidR="00A80C81" w:rsidRPr="00A80C81" w:rsidRDefault="00A80C81" w:rsidP="00A80C81">
            <w:pPr>
              <w:pStyle w:val="Odsekzoznamu"/>
              <w:numPr>
                <w:ilvl w:val="0"/>
                <w:numId w:val="48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prístup k znalostnej databáze a dokumentácii</w:t>
            </w:r>
          </w:p>
          <w:p w14:paraId="3F67911C" w14:textId="56C25C77" w:rsidR="00A80C81" w:rsidRPr="00A80C81" w:rsidRDefault="00A80C81" w:rsidP="00A80C81">
            <w:pPr>
              <w:pStyle w:val="Odsekzoznamu"/>
              <w:numPr>
                <w:ilvl w:val="0"/>
                <w:numId w:val="48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prístup k zákazníckym fóram</w:t>
            </w:r>
          </w:p>
          <w:p w14:paraId="0336B245" w14:textId="44F184FC" w:rsidR="00A80C81" w:rsidRPr="00A80C81" w:rsidRDefault="00A80C81" w:rsidP="00A80C81">
            <w:pPr>
              <w:pStyle w:val="Odsekzoznamu"/>
              <w:numPr>
                <w:ilvl w:val="0"/>
                <w:numId w:val="48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predplatné </w:t>
            </w: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Tech</w:t>
            </w:r>
            <w:proofErr w:type="spellEnd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Alerts</w:t>
            </w:r>
            <w:proofErr w:type="spellEnd"/>
          </w:p>
          <w:p w14:paraId="6461C566" w14:textId="6CDE4941" w:rsidR="00A80C81" w:rsidRPr="00A80C81" w:rsidRDefault="00A80C81" w:rsidP="00A80C81">
            <w:pPr>
              <w:pStyle w:val="Odsekzoznamu"/>
              <w:numPr>
                <w:ilvl w:val="0"/>
                <w:numId w:val="48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prístup k odosielaniu a sledovaniu prípadov podpory</w:t>
            </w:r>
          </w:p>
          <w:p w14:paraId="15DECD13" w14:textId="5D3D07FD" w:rsidR="00A80C81" w:rsidRPr="00A80C81" w:rsidRDefault="00A80C81" w:rsidP="00A80C81">
            <w:pPr>
              <w:pStyle w:val="Odsekzoznamu"/>
              <w:numPr>
                <w:ilvl w:val="0"/>
                <w:numId w:val="48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24x7 podporu k problémom so závažnosťou jedna</w:t>
            </w:r>
          </w:p>
          <w:p w14:paraId="5B065E2E" w14:textId="05B55E7B" w:rsidR="00A80C81" w:rsidRPr="00A80C81" w:rsidRDefault="00A80C81" w:rsidP="00A80C81">
            <w:pPr>
              <w:pStyle w:val="Odsekzoznamu"/>
              <w:numPr>
                <w:ilvl w:val="0"/>
                <w:numId w:val="48"/>
              </w:numPr>
              <w:spacing w:after="120"/>
              <w:ind w:left="354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A80C81">
              <w:rPr>
                <w:rFonts w:ascii="Times New Roman" w:eastAsia="Times New Roman" w:hAnsi="Times New Roman"/>
                <w:color w:val="000000"/>
                <w:lang w:eastAsia="sk-SK"/>
              </w:rPr>
              <w:t>podporu počas bežnej pracovnej doby k závažnostiam dva, tri a štyri.</w:t>
            </w:r>
          </w:p>
        </w:tc>
        <w:tc>
          <w:tcPr>
            <w:tcW w:w="1843" w:type="dxa"/>
            <w:vAlign w:val="center"/>
          </w:tcPr>
          <w:p w14:paraId="0A696EFD" w14:textId="77777777" w:rsidR="00A80C81" w:rsidRDefault="00A80C81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A80C81">
              <w:rPr>
                <w:rFonts w:ascii="Times New Roman" w:hAnsi="Times New Roman"/>
                <w:color w:val="000000" w:themeColor="text1"/>
                <w:lang w:eastAsia="zh-CN"/>
              </w:rPr>
              <w:lastRenderedPageBreak/>
              <w:t>DLPEIP</w:t>
            </w:r>
          </w:p>
          <w:p w14:paraId="16879A98" w14:textId="77777777" w:rsidR="00A80C81" w:rsidRDefault="00A80C81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</w:p>
          <w:p w14:paraId="1E5802F9" w14:textId="1484CC75" w:rsidR="00A80C81" w:rsidRPr="00650FDE" w:rsidRDefault="00A80C81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650FDE">
              <w:rPr>
                <w:rFonts w:ascii="Times New Roman" w:hAnsi="Times New Roman"/>
                <w:color w:val="000000" w:themeColor="text1"/>
                <w:lang w:eastAsia="zh-CN"/>
              </w:rPr>
              <w:t>SPRT</w:t>
            </w:r>
          </w:p>
        </w:tc>
        <w:tc>
          <w:tcPr>
            <w:tcW w:w="1559" w:type="dxa"/>
            <w:vAlign w:val="center"/>
          </w:tcPr>
          <w:p w14:paraId="468E569E" w14:textId="77777777" w:rsidR="00A80C81" w:rsidRDefault="00A80C81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31.03.2026</w:t>
            </w:r>
          </w:p>
          <w:p w14:paraId="5D9DC742" w14:textId="77777777" w:rsidR="00A80C81" w:rsidRDefault="00A80C81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3176D264" w14:textId="08F22358" w:rsidR="00A80C81" w:rsidRDefault="00A80C81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30.03.2027</w:t>
            </w:r>
          </w:p>
        </w:tc>
        <w:tc>
          <w:tcPr>
            <w:tcW w:w="1417" w:type="dxa"/>
            <w:vAlign w:val="center"/>
          </w:tcPr>
          <w:p w14:paraId="36720831" w14:textId="148368F4" w:rsidR="00A80C81" w:rsidRDefault="00A80C81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1700</w:t>
            </w:r>
          </w:p>
        </w:tc>
        <w:tc>
          <w:tcPr>
            <w:tcW w:w="1418" w:type="dxa"/>
            <w:noWrap/>
            <w:vAlign w:val="center"/>
          </w:tcPr>
          <w:p w14:paraId="4FB10CAD" w14:textId="77777777" w:rsidR="00A80C81" w:rsidRPr="00C43AB3" w:rsidRDefault="00A80C81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37" w:type="dxa"/>
            <w:noWrap/>
            <w:vAlign w:val="center"/>
          </w:tcPr>
          <w:p w14:paraId="5640309F" w14:textId="77777777" w:rsidR="00A80C81" w:rsidRPr="00C43AB3" w:rsidRDefault="00A80C81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A80C81" w:rsidRPr="00C43AB3" w14:paraId="18EA7470" w14:textId="77777777" w:rsidTr="00D852EB">
        <w:trPr>
          <w:gridAfter w:val="4"/>
          <w:wAfter w:w="6131" w:type="dxa"/>
          <w:trHeight w:val="693"/>
          <w:jc w:val="center"/>
        </w:trPr>
        <w:tc>
          <w:tcPr>
            <w:tcW w:w="5807" w:type="dxa"/>
            <w:gridSpan w:val="2"/>
            <w:shd w:val="clear" w:color="auto" w:fill="C5E0B3" w:themeFill="accent6" w:themeFillTint="66"/>
            <w:noWrap/>
            <w:vAlign w:val="center"/>
          </w:tcPr>
          <w:p w14:paraId="0AC4EDA3" w14:textId="2F34764A" w:rsidR="00A80C81" w:rsidRPr="00A80C81" w:rsidRDefault="00A80C81" w:rsidP="00A80C81">
            <w:pPr>
              <w:spacing w:after="120"/>
              <w:ind w:right="57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Cena za celý predmet zákazky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v EUR 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bez DPH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3FDD2ED4" w14:textId="77777777" w:rsidR="00A80C81" w:rsidRPr="00A80C81" w:rsidRDefault="00A80C81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6D3819">
      <w:headerReference w:type="first" r:id="rId11"/>
      <w:pgSz w:w="16838" w:h="11906" w:orient="landscape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FEBD" w14:textId="77777777" w:rsidR="00AC1340" w:rsidRDefault="00AC1340">
      <w:pPr>
        <w:spacing w:after="0" w:line="240" w:lineRule="auto"/>
      </w:pPr>
      <w:r>
        <w:separator/>
      </w:r>
    </w:p>
  </w:endnote>
  <w:endnote w:type="continuationSeparator" w:id="0">
    <w:p w14:paraId="75A57272" w14:textId="77777777" w:rsidR="00AC1340" w:rsidRDefault="00AC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9724" w14:textId="77777777" w:rsidR="00AC1340" w:rsidRDefault="00AC1340">
      <w:pPr>
        <w:spacing w:after="0" w:line="240" w:lineRule="auto"/>
      </w:pPr>
      <w:r>
        <w:separator/>
      </w:r>
    </w:p>
  </w:footnote>
  <w:footnote w:type="continuationSeparator" w:id="0">
    <w:p w14:paraId="69D1D67C" w14:textId="77777777" w:rsidR="00AC1340" w:rsidRDefault="00AC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0"/>
  </w:num>
  <w:num w:numId="2" w16cid:durableId="228421152">
    <w:abstractNumId w:val="47"/>
  </w:num>
  <w:num w:numId="3" w16cid:durableId="1308513335">
    <w:abstractNumId w:val="4"/>
  </w:num>
  <w:num w:numId="4" w16cid:durableId="1155414123">
    <w:abstractNumId w:val="38"/>
  </w:num>
  <w:num w:numId="5" w16cid:durableId="1106149302">
    <w:abstractNumId w:val="23"/>
  </w:num>
  <w:num w:numId="6" w16cid:durableId="1044603061">
    <w:abstractNumId w:val="40"/>
  </w:num>
  <w:num w:numId="7" w16cid:durableId="2075817131">
    <w:abstractNumId w:val="7"/>
  </w:num>
  <w:num w:numId="8" w16cid:durableId="2044940930">
    <w:abstractNumId w:val="44"/>
  </w:num>
  <w:num w:numId="9" w16cid:durableId="135730520">
    <w:abstractNumId w:val="17"/>
  </w:num>
  <w:num w:numId="10" w16cid:durableId="1892425285">
    <w:abstractNumId w:val="39"/>
  </w:num>
  <w:num w:numId="11" w16cid:durableId="2055808719">
    <w:abstractNumId w:val="9"/>
  </w:num>
  <w:num w:numId="12" w16cid:durableId="1709841764">
    <w:abstractNumId w:val="27"/>
  </w:num>
  <w:num w:numId="13" w16cid:durableId="1509758015">
    <w:abstractNumId w:val="37"/>
  </w:num>
  <w:num w:numId="14" w16cid:durableId="1041057973">
    <w:abstractNumId w:val="21"/>
  </w:num>
  <w:num w:numId="15" w16cid:durableId="2063475989">
    <w:abstractNumId w:val="46"/>
  </w:num>
  <w:num w:numId="16" w16cid:durableId="515119526">
    <w:abstractNumId w:val="31"/>
  </w:num>
  <w:num w:numId="17" w16cid:durableId="132410660">
    <w:abstractNumId w:val="26"/>
  </w:num>
  <w:num w:numId="18" w16cid:durableId="191964206">
    <w:abstractNumId w:val="8"/>
  </w:num>
  <w:num w:numId="19" w16cid:durableId="923799572">
    <w:abstractNumId w:val="18"/>
  </w:num>
  <w:num w:numId="20" w16cid:durableId="665211239">
    <w:abstractNumId w:val="5"/>
  </w:num>
  <w:num w:numId="21" w16cid:durableId="784348688">
    <w:abstractNumId w:val="33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6"/>
  </w:num>
  <w:num w:numId="25" w16cid:durableId="847717029">
    <w:abstractNumId w:val="10"/>
  </w:num>
  <w:num w:numId="26" w16cid:durableId="853231777">
    <w:abstractNumId w:val="45"/>
  </w:num>
  <w:num w:numId="27" w16cid:durableId="1240404221">
    <w:abstractNumId w:val="34"/>
  </w:num>
  <w:num w:numId="28" w16cid:durableId="883366988">
    <w:abstractNumId w:val="28"/>
  </w:num>
  <w:num w:numId="29" w16cid:durableId="1549492987">
    <w:abstractNumId w:val="35"/>
  </w:num>
  <w:num w:numId="30" w16cid:durableId="1679769528">
    <w:abstractNumId w:val="32"/>
  </w:num>
  <w:num w:numId="31" w16cid:durableId="1906799681">
    <w:abstractNumId w:val="30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2"/>
  </w:num>
  <w:num w:numId="35" w16cid:durableId="834419892">
    <w:abstractNumId w:val="22"/>
  </w:num>
  <w:num w:numId="36" w16cid:durableId="2140220296">
    <w:abstractNumId w:val="13"/>
  </w:num>
  <w:num w:numId="37" w16cid:durableId="1241986788">
    <w:abstractNumId w:val="25"/>
  </w:num>
  <w:num w:numId="38" w16cid:durableId="1933010734">
    <w:abstractNumId w:val="41"/>
  </w:num>
  <w:num w:numId="39" w16cid:durableId="1335763352">
    <w:abstractNumId w:val="15"/>
  </w:num>
  <w:num w:numId="40" w16cid:durableId="993723531">
    <w:abstractNumId w:val="19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4"/>
  </w:num>
  <w:num w:numId="44" w16cid:durableId="1442529257">
    <w:abstractNumId w:val="24"/>
  </w:num>
  <w:num w:numId="45" w16cid:durableId="850685413">
    <w:abstractNumId w:val="43"/>
  </w:num>
  <w:num w:numId="46" w16cid:durableId="219563750">
    <w:abstractNumId w:val="16"/>
  </w:num>
  <w:num w:numId="47" w16cid:durableId="924917540">
    <w:abstractNumId w:val="29"/>
  </w:num>
  <w:num w:numId="48" w16cid:durableId="201845848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D06C2"/>
    <w:rsid w:val="000D2841"/>
    <w:rsid w:val="000D43D2"/>
    <w:rsid w:val="000D4F95"/>
    <w:rsid w:val="000D787E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26418"/>
    <w:rsid w:val="00A32C48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4203</Words>
  <Characters>23960</Characters>
  <Application>Microsoft Office Word</Application>
  <DocSecurity>4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2026-02-12T13:34:00Z</dcterms:created>
  <dcterms:modified xsi:type="dcterms:W3CDTF">2026-02-12T13:34:00Z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