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14E80" w14:textId="77777777" w:rsidR="00796701" w:rsidRDefault="00796701" w:rsidP="00796701">
      <w:pPr>
        <w:spacing w:after="0" w:line="276" w:lineRule="auto"/>
        <w:ind w:left="2653" w:firstLine="179"/>
        <w:jc w:val="left"/>
        <w:rPr>
          <w:rFonts w:ascii="Arial" w:hAnsi="Arial" w:cs="Arial"/>
          <w:b/>
          <w:sz w:val="24"/>
          <w:szCs w:val="24"/>
        </w:rPr>
      </w:pPr>
    </w:p>
    <w:p w14:paraId="131D52F4" w14:textId="77777777" w:rsidR="00796701" w:rsidRDefault="00796701" w:rsidP="00451630">
      <w:pPr>
        <w:spacing w:after="0" w:line="276" w:lineRule="auto"/>
        <w:ind w:left="3361"/>
        <w:jc w:val="left"/>
        <w:rPr>
          <w:rFonts w:ascii="Arial" w:hAnsi="Arial" w:cs="Arial"/>
          <w:b/>
          <w:sz w:val="24"/>
          <w:szCs w:val="24"/>
        </w:rPr>
      </w:pPr>
      <w:r w:rsidRPr="00B64A55">
        <w:rPr>
          <w:rFonts w:ascii="Arial" w:hAnsi="Arial" w:cs="Arial"/>
          <w:b/>
          <w:sz w:val="24"/>
          <w:szCs w:val="24"/>
        </w:rPr>
        <w:t>ZOZNAM DÔVERNÝCH INFORMÁCIÍ</w:t>
      </w:r>
    </w:p>
    <w:p w14:paraId="670414EF" w14:textId="77777777"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22A3FACE" w14:textId="77777777"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07D96C7C" w14:textId="77777777" w:rsidR="00796701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  <w:r w:rsidRPr="00396C62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1E594" wp14:editId="3C7154B4">
                <wp:simplePos x="0" y="0"/>
                <wp:positionH relativeFrom="column">
                  <wp:posOffset>3998801</wp:posOffset>
                </wp:positionH>
                <wp:positionV relativeFrom="paragraph">
                  <wp:posOffset>9698</wp:posOffset>
                </wp:positionV>
                <wp:extent cx="2360930" cy="1404620"/>
                <wp:effectExtent l="0" t="0" r="317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E8C7A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50901F94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441842F6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71CDBB2B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4.85pt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sSkeLN4AAAAKAQAADwAAAGRycy9kb3ducmV2&#10;LnhtbEyPTU/DMAyG70j8h8hIXBBLFokNStNpfF24bRSJo9d4baFxqibbCr+e9AQ3W8+r14/z1eg6&#10;caQhtJ4NzGcKBHHlbcu1gfLt5foWRIjIFjvPZOCbAqyK87McM+tPvKHjNtYilXDI0EATY59JGaqG&#10;HIaZ74kT2/vBYUzrUEs74CmVu05qpRbSYcvpQoM9PTZUfW0PzsDPQ/m0fr6K872OH/p9417L6hON&#10;ubwY1/cgIo3xLwyTflKHIjnt/IFtEJ2Bhb5bpmgCNyAmrtQ07QxorZcgi1z+f6H4BQ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LEpHizeAAAACgEAAA8AAAAAAAAAAAAAAAAAhAQAAGRy&#10;cy9kb3ducmV2LnhtbFBLBQYAAAAABAAEAPMAAACPBQAAAAA=&#10;" stroked="f">
                <v:textbox style="mso-fit-shape-to-text:t">
                  <w:txbxContent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2374A3" w14:textId="77777777" w:rsid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5A3E75C4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2938D744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04A7173C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19330FDF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56F4A4E5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0266B897" w14:textId="77777777" w:rsidR="00396C62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39C432B3" w14:textId="6ED8C44C" w:rsidR="00796701" w:rsidRDefault="00796701" w:rsidP="00796701">
      <w:pPr>
        <w:pStyle w:val="Zkladntext"/>
        <w:spacing w:line="276" w:lineRule="auto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</w:t>
      </w:r>
      <w:r>
        <w:rPr>
          <w:rFonts w:ascii="Arial" w:hAnsi="Arial" w:cs="Arial"/>
          <w:w w:val="105"/>
          <w:sz w:val="22"/>
          <w:szCs w:val="22"/>
        </w:rPr>
        <w:t>v</w:t>
      </w:r>
      <w:r w:rsidRPr="00DC0B2E">
        <w:rPr>
          <w:rFonts w:ascii="Arial" w:hAnsi="Arial" w:cs="Arial"/>
          <w:w w:val="105"/>
          <w:sz w:val="22"/>
          <w:szCs w:val="22"/>
        </w:rPr>
        <w:t xml:space="preserve">yhlasujem, že ponuka predložená vo verejnom obstarávaní na predmet zákazky </w:t>
      </w:r>
      <w:r w:rsidR="0055510E" w:rsidRPr="0055510E">
        <w:rPr>
          <w:rFonts w:ascii="Arial" w:hAnsi="Arial" w:cs="Arial"/>
          <w:b/>
          <w:sz w:val="22"/>
          <w:szCs w:val="22"/>
        </w:rPr>
        <w:t>„</w:t>
      </w:r>
      <w:r w:rsidR="00416096" w:rsidRPr="00416096">
        <w:rPr>
          <w:rFonts w:ascii="Arial" w:hAnsi="Arial" w:cs="Arial"/>
          <w:b/>
          <w:sz w:val="22"/>
          <w:szCs w:val="22"/>
        </w:rPr>
        <w:t>Výmena predpínacej výstuže, odvodnenia a sanácia spodnej stavby diaľničného mosta ev.č. D1-231 Dovalovec</w:t>
      </w:r>
      <w:r w:rsidR="0055510E" w:rsidRPr="0055510E">
        <w:rPr>
          <w:rFonts w:ascii="Arial" w:hAnsi="Arial" w:cs="Arial"/>
          <w:b/>
          <w:sz w:val="22"/>
          <w:szCs w:val="22"/>
        </w:rPr>
        <w:t>“</w:t>
      </w:r>
      <w:r w:rsidRPr="00796701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</w:t>
      </w:r>
      <w:r>
        <w:rPr>
          <w:rFonts w:ascii="Arial" w:hAnsi="Arial" w:cs="Arial"/>
          <w:w w:val="105"/>
          <w:sz w:val="22"/>
          <w:szCs w:val="22"/>
        </w:rPr>
        <w:t xml:space="preserve">a </w:t>
      </w:r>
      <w:r w:rsidRPr="00DC0B2E">
        <w:rPr>
          <w:rFonts w:ascii="Arial" w:hAnsi="Arial" w:cs="Arial"/>
          <w:w w:val="105"/>
          <w:sz w:val="22"/>
          <w:szCs w:val="22"/>
        </w:rPr>
        <w:t xml:space="preserve">zverejnenej v Úradnom vestníku Európskej únie </w:t>
      </w:r>
      <w:r w:rsidR="007D7AB6" w:rsidRPr="00DC0B2E">
        <w:rPr>
          <w:rFonts w:ascii="Arial" w:hAnsi="Arial" w:cs="Arial"/>
          <w:w w:val="105"/>
          <w:sz w:val="22"/>
          <w:szCs w:val="22"/>
        </w:rPr>
        <w:t xml:space="preserve">únie </w:t>
      </w:r>
      <w:r w:rsidR="007D7AB6" w:rsidRPr="007A0097">
        <w:rPr>
          <w:rFonts w:ascii="Arial" w:hAnsi="Arial" w:cs="Arial"/>
          <w:w w:val="105"/>
          <w:sz w:val="22"/>
          <w:szCs w:val="22"/>
        </w:rPr>
        <w:t>č. OJ S 30/2026 zo dňa 12.2.2026 pod označením č. 102010-2026</w:t>
      </w:r>
      <w:r w:rsidR="007D7AB6">
        <w:rPr>
          <w:rFonts w:ascii="Arial" w:hAnsi="Arial" w:cs="Arial"/>
          <w:w w:val="105"/>
          <w:sz w:val="22"/>
          <w:szCs w:val="22"/>
        </w:rPr>
        <w:t xml:space="preserve"> </w:t>
      </w:r>
      <w:bookmarkStart w:id="0" w:name="_GoBack"/>
      <w:bookmarkEnd w:id="0"/>
      <w:r w:rsidRPr="00DC0B2E">
        <w:rPr>
          <w:rFonts w:ascii="Arial" w:hAnsi="Arial" w:cs="Arial"/>
          <w:w w:val="105"/>
          <w:sz w:val="22"/>
          <w:szCs w:val="22"/>
        </w:rPr>
        <w:t xml:space="preserve">a vo Vestníku verejného obstarávania č.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E60953">
        <w:rPr>
          <w:rFonts w:ascii="Arial" w:hAnsi="Arial" w:cs="Arial"/>
          <w:w w:val="105"/>
          <w:sz w:val="22"/>
          <w:szCs w:val="22"/>
        </w:rPr>
        <w:t>6</w:t>
      </w:r>
      <w:r>
        <w:rPr>
          <w:rFonts w:ascii="Arial" w:hAnsi="Arial" w:cs="Arial"/>
          <w:w w:val="105"/>
          <w:sz w:val="22"/>
          <w:szCs w:val="22"/>
        </w:rPr>
        <w:t xml:space="preserve"> pod označením</w:t>
      </w:r>
      <w:r w:rsidRPr="00DC0B2E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>:</w:t>
      </w:r>
    </w:p>
    <w:p w14:paraId="36D9DF90" w14:textId="77777777" w:rsidR="00796701" w:rsidRPr="00796701" w:rsidRDefault="00480870" w:rsidP="00480870">
      <w:pPr>
        <w:pStyle w:val="Zkladntext"/>
        <w:tabs>
          <w:tab w:val="left" w:pos="569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F625C52" w14:textId="77777777"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neobsahuje žiadne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1"/>
        <w:t>*</w:t>
      </w:r>
    </w:p>
    <w:p w14:paraId="5B7C9ACB" w14:textId="77777777" w:rsidR="00796701" w:rsidRPr="00B64A55" w:rsidRDefault="00796701" w:rsidP="00796701">
      <w:pPr>
        <w:pStyle w:val="Zkladn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564B31E4" w14:textId="77777777"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obsahuje dôverné informácie, ktoré sú v ponuke označené slovom</w:t>
      </w:r>
      <w:r w:rsidRPr="00B64A55">
        <w:rPr>
          <w:rFonts w:cs="Arial"/>
          <w:spacing w:val="-9"/>
          <w:w w:val="105"/>
        </w:rPr>
        <w:t xml:space="preserve"> </w:t>
      </w:r>
      <w:r w:rsidRPr="00B64A55">
        <w:rPr>
          <w:rFonts w:cs="Arial"/>
          <w:w w:val="105"/>
        </w:rPr>
        <w:t>„DÔVERNÉ“.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2"/>
        <w:t>*</w:t>
      </w:r>
    </w:p>
    <w:p w14:paraId="1DC5D0FF" w14:textId="77777777" w:rsidR="00796701" w:rsidRPr="00B64A55" w:rsidRDefault="00796701" w:rsidP="00796701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14:paraId="48EF7FF5" w14:textId="77777777"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rPr>
          <w:rFonts w:cs="Arial"/>
        </w:rPr>
      </w:pPr>
      <w:r w:rsidRPr="00B64A55">
        <w:rPr>
          <w:rFonts w:cs="Arial"/>
          <w:w w:val="105"/>
        </w:rPr>
        <w:t>obsahuje nasledovné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informácie: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3"/>
        <w:t>*</w:t>
      </w:r>
    </w:p>
    <w:p w14:paraId="270CB21F" w14:textId="77777777" w:rsidR="00796701" w:rsidRPr="00B64A55" w:rsidRDefault="00796701" w:rsidP="00796701">
      <w:pPr>
        <w:pStyle w:val="Zkladntext"/>
        <w:spacing w:before="6"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112" w:tblpY="1"/>
        <w:tblOverlap w:val="never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2121"/>
      </w:tblGrid>
      <w:tr w:rsidR="00796701" w:rsidRPr="00B64A55" w14:paraId="2C9BB08E" w14:textId="77777777" w:rsidTr="0020699B">
        <w:trPr>
          <w:trHeight w:val="374"/>
        </w:trPr>
        <w:tc>
          <w:tcPr>
            <w:tcW w:w="706" w:type="dxa"/>
            <w:shd w:val="clear" w:color="auto" w:fill="DBE5F1"/>
            <w:vAlign w:val="center"/>
          </w:tcPr>
          <w:p w14:paraId="2D1A1A1E" w14:textId="77777777" w:rsidR="00796701" w:rsidRPr="0020699B" w:rsidRDefault="00796701" w:rsidP="0020699B">
            <w:pPr>
              <w:pStyle w:val="TableParagraph"/>
              <w:spacing w:before="76" w:line="276" w:lineRule="auto"/>
              <w:jc w:val="center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>P. č.</w:t>
            </w:r>
          </w:p>
        </w:tc>
        <w:tc>
          <w:tcPr>
            <w:tcW w:w="6524" w:type="dxa"/>
            <w:shd w:val="clear" w:color="auto" w:fill="DBE5F1"/>
            <w:vAlign w:val="center"/>
          </w:tcPr>
          <w:p w14:paraId="5D68B5FB" w14:textId="77777777" w:rsidR="00796701" w:rsidRPr="0020699B" w:rsidRDefault="0020699B" w:rsidP="0020699B">
            <w:pPr>
              <w:pStyle w:val="TableParagraph"/>
              <w:spacing w:before="76" w:line="276" w:lineRule="auto"/>
              <w:ind w:right="2429"/>
              <w:jc w:val="center"/>
              <w:rPr>
                <w:b/>
                <w:lang w:val="sk-SK"/>
              </w:rPr>
            </w:pPr>
            <w:r>
              <w:rPr>
                <w:b/>
                <w:w w:val="105"/>
                <w:lang w:val="sk-SK"/>
              </w:rPr>
              <w:t xml:space="preserve">                             </w:t>
            </w:r>
            <w:r w:rsidR="00796701" w:rsidRPr="0020699B">
              <w:rPr>
                <w:b/>
                <w:w w:val="105"/>
                <w:lang w:val="sk-SK"/>
              </w:rPr>
              <w:t>Názov dokumentu</w:t>
            </w:r>
          </w:p>
        </w:tc>
        <w:tc>
          <w:tcPr>
            <w:tcW w:w="2121" w:type="dxa"/>
            <w:shd w:val="clear" w:color="auto" w:fill="DBE5F1"/>
            <w:vAlign w:val="center"/>
          </w:tcPr>
          <w:p w14:paraId="151A4A29" w14:textId="77777777" w:rsidR="00796701" w:rsidRPr="0020699B" w:rsidRDefault="0020699B" w:rsidP="0020699B">
            <w:pPr>
              <w:pStyle w:val="TableParagraph"/>
              <w:spacing w:before="76" w:line="276" w:lineRule="auto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 xml:space="preserve"> </w:t>
            </w:r>
            <w:r w:rsidR="00796701" w:rsidRPr="0020699B">
              <w:rPr>
                <w:b/>
                <w:w w:val="105"/>
                <w:lang w:val="sk-SK"/>
              </w:rPr>
              <w:t>Strana ponuky</w:t>
            </w:r>
          </w:p>
        </w:tc>
      </w:tr>
      <w:tr w:rsidR="00796701" w:rsidRPr="00B64A55" w14:paraId="328B39A9" w14:textId="77777777" w:rsidTr="0020699B">
        <w:trPr>
          <w:trHeight w:val="374"/>
        </w:trPr>
        <w:tc>
          <w:tcPr>
            <w:tcW w:w="706" w:type="dxa"/>
            <w:shd w:val="clear" w:color="auto" w:fill="DBE5F1"/>
          </w:tcPr>
          <w:p w14:paraId="6BD1111F" w14:textId="77777777" w:rsidR="00796701" w:rsidRPr="00B64A55" w:rsidRDefault="00796701" w:rsidP="00324633">
            <w:pPr>
              <w:pStyle w:val="TableParagraph"/>
              <w:spacing w:before="76" w:line="276" w:lineRule="auto"/>
              <w:rPr>
                <w:w w:val="105"/>
                <w:lang w:val="sk-SK"/>
              </w:rPr>
            </w:pPr>
          </w:p>
        </w:tc>
        <w:tc>
          <w:tcPr>
            <w:tcW w:w="6524" w:type="dxa"/>
            <w:shd w:val="clear" w:color="auto" w:fill="DBE5F1"/>
          </w:tcPr>
          <w:p w14:paraId="4E8AD4C9" w14:textId="77777777" w:rsidR="00796701" w:rsidRPr="00B64A55" w:rsidRDefault="00796701" w:rsidP="00324633">
            <w:pPr>
              <w:pStyle w:val="TableParagraph"/>
              <w:spacing w:before="76" w:line="276" w:lineRule="auto"/>
              <w:ind w:left="2437" w:right="2429"/>
              <w:jc w:val="center"/>
              <w:rPr>
                <w:w w:val="105"/>
                <w:lang w:val="sk-SK"/>
              </w:rPr>
            </w:pPr>
          </w:p>
        </w:tc>
        <w:tc>
          <w:tcPr>
            <w:tcW w:w="2121" w:type="dxa"/>
            <w:shd w:val="clear" w:color="auto" w:fill="DBE5F1"/>
          </w:tcPr>
          <w:p w14:paraId="3F120D0B" w14:textId="77777777" w:rsidR="00796701" w:rsidRPr="00B64A55" w:rsidRDefault="00796701" w:rsidP="00324633">
            <w:pPr>
              <w:pStyle w:val="TableParagraph"/>
              <w:spacing w:before="76" w:line="276" w:lineRule="auto"/>
              <w:ind w:left="268"/>
              <w:rPr>
                <w:w w:val="105"/>
                <w:lang w:val="sk-SK"/>
              </w:rPr>
            </w:pPr>
          </w:p>
        </w:tc>
      </w:tr>
      <w:tr w:rsidR="00796701" w:rsidRPr="00B64A55" w14:paraId="46851078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222FD9FE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1.</w:t>
            </w:r>
          </w:p>
        </w:tc>
        <w:tc>
          <w:tcPr>
            <w:tcW w:w="6524" w:type="dxa"/>
          </w:tcPr>
          <w:p w14:paraId="20CAB7B2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1BF5FA03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14:paraId="67F1F2C9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79D59B17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2.</w:t>
            </w:r>
          </w:p>
        </w:tc>
        <w:tc>
          <w:tcPr>
            <w:tcW w:w="6524" w:type="dxa"/>
          </w:tcPr>
          <w:p w14:paraId="12ABB6D9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60924F1D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14:paraId="4E90C91F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47FBEE66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3.</w:t>
            </w:r>
          </w:p>
        </w:tc>
        <w:tc>
          <w:tcPr>
            <w:tcW w:w="6524" w:type="dxa"/>
          </w:tcPr>
          <w:p w14:paraId="26F58FAE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3595CAC5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23809722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1732CA45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12868785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4E09B39C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653C4DA6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557BBB4F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06CDB605" w14:textId="77777777" w:rsidR="00796701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7089C96C" w14:textId="368030B1" w:rsidR="0020699B" w:rsidRDefault="0020699B" w:rsidP="007D7AB6">
      <w:pPr>
        <w:spacing w:after="0" w:line="276" w:lineRule="auto"/>
        <w:rPr>
          <w:rFonts w:ascii="Arial" w:hAnsi="Arial" w:cs="Arial"/>
        </w:rPr>
      </w:pPr>
    </w:p>
    <w:p w14:paraId="7101261F" w14:textId="77777777" w:rsidR="0020699B" w:rsidRPr="00B64A55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14:paraId="5420770F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  <w:r w:rsidRPr="00B64A55">
        <w:rPr>
          <w:rFonts w:ascii="Arial" w:hAnsi="Arial" w:cs="Arial"/>
        </w:rPr>
        <w:t>V .........................   dňa</w:t>
      </w:r>
      <w:r w:rsidR="0020699B">
        <w:rPr>
          <w:rFonts w:ascii="Arial" w:hAnsi="Arial" w:cs="Arial"/>
        </w:rPr>
        <w:t xml:space="preserve"> ........................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...........................................</w:t>
      </w:r>
    </w:p>
    <w:p w14:paraId="7C8467C4" w14:textId="77777777" w:rsidR="0020699B" w:rsidRDefault="0020699B" w:rsidP="0020699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>
        <w:rPr>
          <w:rFonts w:ascii="Arial" w:hAnsi="Arial" w:cs="Arial"/>
        </w:rPr>
        <w:t>meno a priezvisko, funkcia</w:t>
      </w:r>
    </w:p>
    <w:p w14:paraId="7E8DCAED" w14:textId="77777777" w:rsidR="00796701" w:rsidRPr="00B64A55" w:rsidRDefault="00796701" w:rsidP="0020699B">
      <w:pPr>
        <w:spacing w:after="0" w:line="276" w:lineRule="auto"/>
        <w:rPr>
          <w:rFonts w:ascii="Arial" w:hAnsi="Arial" w:cs="Arial"/>
          <w:vertAlign w:val="superscript"/>
        </w:rPr>
      </w:pPr>
      <w:r w:rsidRPr="00B64A55">
        <w:rPr>
          <w:rFonts w:ascii="Arial" w:hAnsi="Arial" w:cs="Arial"/>
        </w:rPr>
        <w:t xml:space="preserve"> 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podpis</w:t>
      </w:r>
      <w:r w:rsidR="002020F5">
        <w:rPr>
          <w:rStyle w:val="Odkaznapoznmkupodiarou"/>
          <w:rFonts w:ascii="Arial" w:hAnsi="Arial" w:cs="Arial"/>
        </w:rPr>
        <w:footnoteReference w:customMarkFollows="1" w:id="4"/>
        <w:t>**</w:t>
      </w:r>
    </w:p>
    <w:p w14:paraId="20AEE8B3" w14:textId="77777777" w:rsidR="002020F5" w:rsidRPr="00796701" w:rsidRDefault="002020F5" w:rsidP="00796701"/>
    <w:sectPr w:rsidR="002020F5" w:rsidRPr="00796701" w:rsidSect="008F6E3F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9A480" w14:textId="77777777" w:rsidR="00490401" w:rsidRDefault="00490401" w:rsidP="00796701">
      <w:pPr>
        <w:spacing w:after="0"/>
      </w:pPr>
      <w:r>
        <w:separator/>
      </w:r>
    </w:p>
  </w:endnote>
  <w:endnote w:type="continuationSeparator" w:id="0">
    <w:p w14:paraId="248E21B8" w14:textId="77777777" w:rsidR="00490401" w:rsidRDefault="00490401" w:rsidP="00796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7A282" w14:textId="77777777" w:rsidR="00490401" w:rsidRDefault="00490401" w:rsidP="00796701">
      <w:pPr>
        <w:spacing w:after="0"/>
      </w:pPr>
      <w:r>
        <w:separator/>
      </w:r>
    </w:p>
  </w:footnote>
  <w:footnote w:type="continuationSeparator" w:id="0">
    <w:p w14:paraId="78752323" w14:textId="77777777" w:rsidR="00490401" w:rsidRDefault="00490401" w:rsidP="00796701">
      <w:pPr>
        <w:spacing w:after="0"/>
      </w:pPr>
      <w:r>
        <w:continuationSeparator/>
      </w:r>
    </w:p>
  </w:footnote>
  <w:footnote w:id="1">
    <w:p w14:paraId="1ADD210A" w14:textId="77777777" w:rsidR="002020F5" w:rsidRPr="0020699B" w:rsidRDefault="002020F5" w:rsidP="00396C62">
      <w:pPr>
        <w:spacing w:after="60" w:line="276" w:lineRule="auto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20699B">
        <w:rPr>
          <w:rFonts w:ascii="Arial" w:hAnsi="Arial" w:cs="Arial"/>
          <w:i/>
          <w:sz w:val="16"/>
          <w:szCs w:val="16"/>
        </w:rPr>
        <w:t>Nehodiace sa prečiarknite</w:t>
      </w:r>
    </w:p>
    <w:p w14:paraId="30494337" w14:textId="77777777" w:rsidR="002020F5" w:rsidRPr="0020699B" w:rsidRDefault="002020F5" w:rsidP="002020F5">
      <w:pPr>
        <w:spacing w:before="3"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A472DF" w14:textId="77777777" w:rsidR="002020F5" w:rsidRPr="0020699B" w:rsidRDefault="002020F5" w:rsidP="002020F5">
      <w:pPr>
        <w:spacing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V prípade skupiny dodávateľov podpis každého člena skupiny alebo člena skupiny, ktorý je splnomocnený konať v danej veci za členov skupiny.</w:t>
      </w:r>
    </w:p>
    <w:p w14:paraId="10D778FB" w14:textId="77777777" w:rsidR="002020F5" w:rsidRPr="0020699B" w:rsidRDefault="002020F5" w:rsidP="00396C62">
      <w:pPr>
        <w:spacing w:after="60" w:line="276" w:lineRule="auto"/>
        <w:rPr>
          <w:rFonts w:ascii="Arial" w:hAnsi="Arial" w:cs="Arial"/>
          <w:sz w:val="16"/>
          <w:szCs w:val="16"/>
        </w:rPr>
      </w:pPr>
    </w:p>
    <w:p w14:paraId="3548EFDA" w14:textId="77777777" w:rsidR="002020F5" w:rsidRDefault="002020F5" w:rsidP="00396C62">
      <w:pPr>
        <w:pStyle w:val="Textpoznmkypodiarou"/>
        <w:spacing w:after="60"/>
      </w:pPr>
    </w:p>
  </w:footnote>
  <w:footnote w:id="2">
    <w:p w14:paraId="4A2660A7" w14:textId="77777777" w:rsidR="002020F5" w:rsidRDefault="002020F5">
      <w:pPr>
        <w:pStyle w:val="Textpoznmkypodiarou"/>
      </w:pPr>
    </w:p>
  </w:footnote>
  <w:footnote w:id="3">
    <w:p w14:paraId="3D56B412" w14:textId="77777777" w:rsidR="002020F5" w:rsidRDefault="002020F5">
      <w:pPr>
        <w:pStyle w:val="Textpoznmkypodiarou"/>
      </w:pPr>
    </w:p>
  </w:footnote>
  <w:footnote w:id="4">
    <w:p w14:paraId="4246E25E" w14:textId="77777777" w:rsidR="002020F5" w:rsidRDefault="002020F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59DAA" w14:textId="4EF0811F" w:rsidR="00796701" w:rsidRPr="00B64A55" w:rsidRDefault="0055510E" w:rsidP="00796701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416096" w:rsidRPr="00416096">
      <w:rPr>
        <w:rFonts w:ascii="Arial" w:hAnsi="Arial" w:cs="Arial"/>
        <w:sz w:val="16"/>
        <w:szCs w:val="16"/>
      </w:rPr>
      <w:t>Výmena predpínacej výstuže, odvodnenia a sanácia spodnej stavby diaľničného mosta ev.č. D1-231 Dovalovec</w:t>
    </w:r>
    <w:r w:rsidRPr="00F568C0">
      <w:rPr>
        <w:rFonts w:ascii="Arial" w:hAnsi="Arial" w:cs="Arial"/>
        <w:sz w:val="16"/>
        <w:szCs w:val="16"/>
      </w:rPr>
      <w:t>“</w:t>
    </w:r>
    <w:r w:rsidR="00796701" w:rsidRPr="00B64A55">
      <w:rPr>
        <w:rFonts w:ascii="Arial" w:hAnsi="Arial" w:cs="Arial"/>
        <w:sz w:val="16"/>
        <w:szCs w:val="16"/>
      </w:rPr>
      <w:ptab w:relativeTo="margin" w:alignment="right" w:leader="none"/>
    </w:r>
    <w:r w:rsidR="00796701" w:rsidRPr="00B64A55">
      <w:rPr>
        <w:rFonts w:ascii="Arial" w:hAnsi="Arial" w:cs="Arial"/>
        <w:sz w:val="16"/>
        <w:szCs w:val="16"/>
      </w:rPr>
      <w:t>Príloha č. 5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01"/>
    <w:rsid w:val="00012872"/>
    <w:rsid w:val="002020F5"/>
    <w:rsid w:val="0020699B"/>
    <w:rsid w:val="00345659"/>
    <w:rsid w:val="003938A7"/>
    <w:rsid w:val="00396C62"/>
    <w:rsid w:val="00416096"/>
    <w:rsid w:val="00451630"/>
    <w:rsid w:val="00480870"/>
    <w:rsid w:val="00490401"/>
    <w:rsid w:val="00501A1F"/>
    <w:rsid w:val="0055510E"/>
    <w:rsid w:val="00673FA8"/>
    <w:rsid w:val="00796701"/>
    <w:rsid w:val="007D7AB6"/>
    <w:rsid w:val="008C4907"/>
    <w:rsid w:val="008F6E3F"/>
    <w:rsid w:val="00A9126B"/>
    <w:rsid w:val="00B17B07"/>
    <w:rsid w:val="00B82690"/>
    <w:rsid w:val="00E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77BCE"/>
  <w15:chartTrackingRefBased/>
  <w15:docId w15:val="{BE364E8C-0834-4575-8169-19D5467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701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96701"/>
  </w:style>
  <w:style w:type="paragraph" w:styleId="Pta">
    <w:name w:val="footer"/>
    <w:basedOn w:val="Normlny"/>
    <w:link w:val="Pt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96701"/>
  </w:style>
  <w:style w:type="paragraph" w:styleId="Zkladntext">
    <w:name w:val="Body Text"/>
    <w:aliases w:val="Char"/>
    <w:basedOn w:val="Normlny"/>
    <w:link w:val="ZkladntextChar"/>
    <w:rsid w:val="00796701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796701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796701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796701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796701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699B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699B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699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8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8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08C6-3798-44C6-AE5B-52F8CA52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Závodská Elena</cp:lastModifiedBy>
  <cp:revision>6</cp:revision>
  <cp:lastPrinted>2025-02-17T13:10:00Z</cp:lastPrinted>
  <dcterms:created xsi:type="dcterms:W3CDTF">2025-02-20T08:41:00Z</dcterms:created>
  <dcterms:modified xsi:type="dcterms:W3CDTF">2026-02-12T07:31:00Z</dcterms:modified>
</cp:coreProperties>
</file>